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A8315" w14:textId="77777777" w:rsidR="00C612BB" w:rsidRPr="00511347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</w:pP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Additional file 2</w:t>
      </w:r>
    </w:p>
    <w:p w14:paraId="2453B4D1" w14:textId="77777777" w:rsidR="00C612BB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S1: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Differences of the bacterial relative abundance at genus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level between food categories</w:t>
      </w:r>
      <w:r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>.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>Y axis food categories have higher (orange), or lower (green) abundance of a given genus against X axis food categories. The ANCOM method was used for comparisons with the Benjamini-Hochberg procedure for false discovery rate control. Significant comparisons (q &lt; 0.05) in all the individuals are represented.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(PDF)</w:t>
      </w:r>
    </w:p>
    <w:p w14:paraId="3A4C76E4" w14:textId="77777777" w:rsidR="00C612BB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S2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: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Differences of the bacterial relative abundance at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 species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level between food categories</w:t>
      </w:r>
      <w:r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>.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 xml:space="preserve">Y axis food categories have higher (orange), or lower (green) abundance of a given 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species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 xml:space="preserve"> against X axis food categories. The ANCOM method was used for comparisons with the Benjamini-Hochberg procedure for false discovery rate control. Significant comparisons (q &lt; 0.05) in all the individuals are represented.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(PDF)</w:t>
      </w:r>
    </w:p>
    <w:p w14:paraId="2279CED0" w14:textId="77777777" w:rsidR="00C612BB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S3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: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Differences of the bacterial relative abundance at genus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level between food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s</w:t>
      </w:r>
      <w:r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>.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>Y axis food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 xml:space="preserve"> have higher (orange), or lower (green) abundance of a given genus against X axis food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>. The ANCOM method was used for comparisons with the Benjamini-Hochberg procedure for false discovery rate control. Significant comparisons (q &lt; 0.05) in all the individuals are represented.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(PDF)</w:t>
      </w:r>
    </w:p>
    <w:p w14:paraId="35FFCE11" w14:textId="77777777" w:rsidR="00C612BB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S4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: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Differences of the bacterial relative abundance at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 species </w:t>
      </w:r>
      <w:r w:rsidRPr="00511347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level between food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s</w:t>
      </w:r>
      <w:r w:rsidRPr="005324C5">
        <w:rPr>
          <w:rFonts w:ascii="LM Roman 10" w:eastAsia="LM Roman 10" w:hAnsi="LM Roman 10" w:cs="LM Roman 10"/>
          <w:b/>
          <w:sz w:val="24"/>
          <w:szCs w:val="24"/>
          <w:lang w:val="en-US"/>
        </w:rPr>
        <w:t>.</w:t>
      </w:r>
      <w:r w:rsidRPr="005324C5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>Y axis food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 xml:space="preserve"> have higher (orange) or lower (green) abundance of a given 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species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 xml:space="preserve"> against X axis food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s</w:t>
      </w:r>
      <w:r w:rsidRPr="00511347">
        <w:rPr>
          <w:rFonts w:ascii="LM Roman 10" w:eastAsia="LM Roman 10" w:hAnsi="LM Roman 10" w:cs="LM Roman 10"/>
          <w:sz w:val="24"/>
          <w:szCs w:val="24"/>
          <w:lang w:val="en-US"/>
        </w:rPr>
        <w:t>. The ANCOM method was used for comparisons with the Benjamini-Hochberg procedure for false discovery rate control. Significant comparisons (q &lt; 0.05) in all the individuals are represented.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(PDF)</w:t>
      </w:r>
    </w:p>
    <w:p w14:paraId="3191271C" w14:textId="77777777" w:rsidR="00C612BB" w:rsidRDefault="00C612BB" w:rsidP="00C612BB">
      <w:pPr>
        <w:spacing w:line="480" w:lineRule="auto"/>
        <w:jc w:val="both"/>
        <w:rPr>
          <w:rFonts w:ascii="LM Roman 10" w:eastAsia="LM Roman 10" w:hAnsi="LM Roman 10" w:cs="LM Roman 10"/>
          <w:sz w:val="24"/>
          <w:szCs w:val="24"/>
          <w:lang w:val="en-US"/>
        </w:rPr>
      </w:pPr>
      <w:r w:rsidRPr="000A7B98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Figure S5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: </w:t>
      </w:r>
      <w:r w:rsidRPr="00B931E6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Differential relative abundance of bacterial genera 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among</w:t>
      </w:r>
      <w:r w:rsidRPr="00B931E6"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 xml:space="preserve"> cooking method</w:t>
      </w:r>
      <w:r>
        <w:rPr>
          <w:rFonts w:ascii="LM Roman 10" w:eastAsia="LM Roman 10" w:hAnsi="LM Roman 10" w:cs="LM Roman 10"/>
          <w:b/>
          <w:bCs/>
          <w:sz w:val="24"/>
          <w:szCs w:val="24"/>
          <w:lang w:val="en-US"/>
        </w:rPr>
        <w:t>s per food category</w:t>
      </w:r>
      <w:r w:rsidRPr="00B931E6">
        <w:rPr>
          <w:rFonts w:ascii="LM Roman 10" w:eastAsia="LM Roman 10" w:hAnsi="LM Roman 10" w:cs="LM Roman 10"/>
          <w:sz w:val="24"/>
          <w:szCs w:val="24"/>
          <w:lang w:val="en-US"/>
        </w:rPr>
        <w:t>.</w:t>
      </w:r>
      <w:r w:rsidRPr="000A7B98">
        <w:rPr>
          <w:rFonts w:ascii="LM Roman 10" w:eastAsia="LM Roman 10" w:hAnsi="LM Roman 10" w:cs="LM Roman 10"/>
          <w:sz w:val="24"/>
          <w:szCs w:val="24"/>
          <w:lang w:val="en-US"/>
        </w:rPr>
        <w:t xml:space="preserve"> </w:t>
      </w:r>
      <w:r w:rsidRPr="005A6AC9">
        <w:rPr>
          <w:rFonts w:ascii="LM Roman 10" w:eastAsia="LM Roman 10" w:hAnsi="LM Roman 10" w:cs="LM Roman 10"/>
          <w:sz w:val="24"/>
          <w:szCs w:val="24"/>
          <w:lang w:val="en-US"/>
        </w:rPr>
        <w:t>Genera have higher (orange)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>,</w:t>
      </w:r>
      <w:r w:rsidRPr="005A6AC9">
        <w:rPr>
          <w:rFonts w:ascii="LM Roman 10" w:eastAsia="LM Roman 10" w:hAnsi="LM Roman 10" w:cs="LM Roman 10"/>
          <w:sz w:val="24"/>
          <w:szCs w:val="24"/>
          <w:lang w:val="en-US"/>
        </w:rPr>
        <w:t xml:space="preserve"> or lower (green) abundance in a given food category/cooking method combination when compared against the same food category with other cooking methods (X axis). The ANCOM method was used for comparisons with the Benjamini-Hochberg procedure for false discovery rate control. Significant comparisons (q &lt; 0.05) in at least one individual are represented. Those comparisons significant in two individuals are indicated with a 2.</w:t>
      </w:r>
      <w:r>
        <w:rPr>
          <w:rFonts w:ascii="LM Roman 10" w:eastAsia="LM Roman 10" w:hAnsi="LM Roman 10" w:cs="LM Roman 10"/>
          <w:sz w:val="24"/>
          <w:szCs w:val="24"/>
          <w:lang w:val="en-US"/>
        </w:rPr>
        <w:t xml:space="preserve"> (PDF)</w:t>
      </w:r>
    </w:p>
    <w:p w14:paraId="33690DB2" w14:textId="77777777" w:rsidR="00845700" w:rsidRDefault="00845700"/>
    <w:sectPr w:rsidR="00845700" w:rsidSect="00E813C9">
      <w:footerReference w:type="default" r:id="rId6"/>
      <w:pgSz w:w="11906" w:h="16838"/>
      <w:pgMar w:top="1134" w:right="1133" w:bottom="1134" w:left="1134" w:header="0" w:footer="0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E1216" w14:textId="77777777" w:rsidR="00161E9C" w:rsidRDefault="00161E9C">
      <w:r>
        <w:separator/>
      </w:r>
    </w:p>
  </w:endnote>
  <w:endnote w:type="continuationSeparator" w:id="0">
    <w:p w14:paraId="184683D7" w14:textId="77777777" w:rsidR="00161E9C" w:rsidRDefault="0016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">
    <w:altName w:val="Cambria"/>
    <w:charset w:val="4D"/>
    <w:family w:val="roman"/>
    <w:pitch w:val="default"/>
    <w:sig w:usb0="00000003" w:usb1="00000000" w:usb2="00000000" w:usb3="00000000" w:csb0="00000001" w:csb1="00000000"/>
  </w:font>
  <w:font w:name="Lohit Devanagari">
    <w:altName w:val="Cambria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M Roman 10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63B35" w14:textId="77777777" w:rsidR="001D70E4" w:rsidRDefault="00C612B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66A3885" w14:textId="77777777" w:rsidR="001D70E4" w:rsidRDefault="0016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DAC42" w14:textId="77777777" w:rsidR="00161E9C" w:rsidRDefault="00161E9C">
      <w:r>
        <w:separator/>
      </w:r>
    </w:p>
  </w:footnote>
  <w:footnote w:type="continuationSeparator" w:id="0">
    <w:p w14:paraId="760CF794" w14:textId="77777777" w:rsidR="00161E9C" w:rsidRDefault="0016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B"/>
    <w:rsid w:val="00025872"/>
    <w:rsid w:val="00161E9C"/>
    <w:rsid w:val="004924E9"/>
    <w:rsid w:val="00662157"/>
    <w:rsid w:val="00845700"/>
    <w:rsid w:val="00C6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9EA62"/>
  <w15:chartTrackingRefBased/>
  <w15:docId w15:val="{2BEBC5C7-53F0-4172-B4D4-2CA1B41C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2BB"/>
    <w:pPr>
      <w:spacing w:after="0" w:line="240" w:lineRule="auto"/>
    </w:pPr>
    <w:rPr>
      <w:rFonts w:ascii="Liberation Serif" w:eastAsia="Noto Sans CJK SC" w:hAnsi="Liberation Serif" w:cs="Lohit Devanagari"/>
      <w:kern w:val="2"/>
      <w:sz w:val="20"/>
      <w:szCs w:val="20"/>
      <w:lang w:val="es-E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C612BB"/>
    <w:rPr>
      <w:rFonts w:cs="Mangal"/>
      <w:szCs w:val="18"/>
    </w:rPr>
  </w:style>
  <w:style w:type="paragraph" w:styleId="Footer">
    <w:name w:val="footer"/>
    <w:basedOn w:val="Normal"/>
    <w:link w:val="FooterChar"/>
    <w:uiPriority w:val="99"/>
    <w:unhideWhenUsed/>
    <w:rsid w:val="00C612BB"/>
    <w:pPr>
      <w:tabs>
        <w:tab w:val="center" w:pos="4252"/>
        <w:tab w:val="right" w:pos="8504"/>
      </w:tabs>
    </w:pPr>
    <w:rPr>
      <w:rFonts w:asciiTheme="minorHAnsi" w:eastAsiaTheme="minorHAnsi" w:hAnsiTheme="minorHAnsi" w:cs="Mangal"/>
      <w:kern w:val="0"/>
      <w:sz w:val="22"/>
      <w:szCs w:val="18"/>
      <w:lang w:val="en-US" w:eastAsia="en-US" w:bidi="ar-SA"/>
    </w:rPr>
  </w:style>
  <w:style w:type="character" w:customStyle="1" w:styleId="FooterChar1">
    <w:name w:val="Footer Char1"/>
    <w:basedOn w:val="DefaultParagraphFont"/>
    <w:uiPriority w:val="99"/>
    <w:semiHidden/>
    <w:rsid w:val="00C612BB"/>
    <w:rPr>
      <w:rFonts w:ascii="Liberation Serif" w:eastAsia="Noto Sans CJK SC" w:hAnsi="Liberation Serif" w:cs="Mangal"/>
      <w:kern w:val="2"/>
      <w:sz w:val="20"/>
      <w:szCs w:val="18"/>
      <w:lang w:val="es-ES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C61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1865</Characters>
  <Application>Microsoft Office Word</Application>
  <DocSecurity>0</DocSecurity>
  <Lines>15</Lines>
  <Paragraphs>4</Paragraphs>
  <ScaleCrop>false</ScaleCrop>
  <Company>Springer Nature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2022-12-28T11:56:00Z</dcterms:created>
  <dcterms:modified xsi:type="dcterms:W3CDTF">2022-12-28T11:56:00Z</dcterms:modified>
</cp:coreProperties>
</file>