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1503"/>
        <w:gridCol w:w="2181"/>
        <w:gridCol w:w="418"/>
        <w:gridCol w:w="9024"/>
        <w:gridCol w:w="995"/>
        <w:gridCol w:w="866"/>
      </w:tblGrid>
      <w:tr w:rsidR="005B23F8" w:rsidRPr="007333E8" w:rsidTr="003D0E43">
        <w:trPr>
          <w:trHeight w:val="169"/>
          <w:jc w:val="center"/>
        </w:trPr>
        <w:tc>
          <w:tcPr>
            <w:tcW w:w="690" w:type="dxa"/>
            <w:shd w:val="clear" w:color="auto" w:fill="auto"/>
            <w:noWrap/>
            <w:vAlign w:val="center"/>
            <w:hideMark/>
          </w:tcPr>
          <w:p w:rsidR="005B23F8" w:rsidRPr="007333E8" w:rsidRDefault="005B23F8" w:rsidP="003D0E43">
            <w:pPr>
              <w:spacing w:before="0" w:after="0"/>
              <w:jc w:val="center"/>
              <w:rPr>
                <w:rFonts w:cs="Times New Roman"/>
                <w:sz w:val="20"/>
                <w:lang w:val="it-IT"/>
              </w:rPr>
            </w:pPr>
            <w:bookmarkStart w:id="0" w:name="_GoBack"/>
            <w:bookmarkEnd w:id="0"/>
            <w:r w:rsidRPr="007333E8">
              <w:rPr>
                <w:rFonts w:cs="Times New Roman"/>
                <w:sz w:val="20"/>
                <w:lang w:val="it-IT"/>
              </w:rPr>
              <w:t>Rank</w:t>
            </w:r>
          </w:p>
        </w:tc>
        <w:tc>
          <w:tcPr>
            <w:tcW w:w="1503" w:type="dxa"/>
            <w:shd w:val="clear" w:color="auto" w:fill="auto"/>
            <w:noWrap/>
            <w:vAlign w:val="center"/>
            <w:hideMark/>
          </w:tcPr>
          <w:p w:rsidR="005B23F8" w:rsidRPr="007333E8" w:rsidRDefault="005B23F8" w:rsidP="003D0E43">
            <w:pPr>
              <w:spacing w:before="0" w:after="0"/>
              <w:jc w:val="center"/>
              <w:rPr>
                <w:rFonts w:cs="Times New Roman"/>
                <w:sz w:val="20"/>
                <w:lang w:val="it-IT"/>
              </w:rPr>
            </w:pPr>
            <w:r>
              <w:rPr>
                <w:rFonts w:cs="Times New Roman"/>
                <w:sz w:val="20"/>
                <w:lang w:val="it-IT"/>
              </w:rPr>
              <w:t>Group</w:t>
            </w:r>
          </w:p>
        </w:tc>
        <w:tc>
          <w:tcPr>
            <w:tcW w:w="2181" w:type="dxa"/>
            <w:shd w:val="clear" w:color="auto" w:fill="auto"/>
            <w:noWrap/>
            <w:vAlign w:val="center"/>
            <w:hideMark/>
          </w:tcPr>
          <w:p w:rsidR="005B23F8" w:rsidRPr="007333E8" w:rsidRDefault="005B23F8" w:rsidP="003D0E43">
            <w:pPr>
              <w:spacing w:before="0" w:after="0"/>
              <w:jc w:val="center"/>
              <w:rPr>
                <w:rFonts w:cs="Times New Roman"/>
                <w:sz w:val="20"/>
                <w:lang w:val="it-IT"/>
              </w:rPr>
            </w:pPr>
            <w:r>
              <w:rPr>
                <w:rFonts w:cs="Times New Roman"/>
                <w:sz w:val="20"/>
                <w:lang w:val="it-IT"/>
              </w:rPr>
              <w:t>Subgroup</w:t>
            </w:r>
          </w:p>
        </w:tc>
        <w:tc>
          <w:tcPr>
            <w:tcW w:w="9442" w:type="dxa"/>
            <w:gridSpan w:val="2"/>
            <w:shd w:val="clear" w:color="auto" w:fill="auto"/>
            <w:noWrap/>
            <w:vAlign w:val="center"/>
            <w:hideMark/>
          </w:tcPr>
          <w:p w:rsidR="005B23F8" w:rsidRPr="007333E8" w:rsidRDefault="005B23F8" w:rsidP="003D0E43">
            <w:pPr>
              <w:spacing w:before="0" w:after="0"/>
              <w:jc w:val="center"/>
              <w:rPr>
                <w:rFonts w:cs="Times New Roman"/>
                <w:sz w:val="20"/>
                <w:lang w:val="it-IT"/>
              </w:rPr>
            </w:pPr>
            <w:r>
              <w:rPr>
                <w:rFonts w:cs="Times New Roman"/>
                <w:sz w:val="20"/>
                <w:lang w:val="it-IT"/>
              </w:rPr>
              <w:t>Strategy</w:t>
            </w:r>
          </w:p>
        </w:tc>
        <w:tc>
          <w:tcPr>
            <w:tcW w:w="995" w:type="dxa"/>
            <w:shd w:val="clear" w:color="auto" w:fill="auto"/>
            <w:noWrap/>
            <w:vAlign w:val="center"/>
            <w:hideMark/>
          </w:tcPr>
          <w:p w:rsidR="005B23F8" w:rsidRPr="001A06F4" w:rsidRDefault="005B23F8" w:rsidP="003D0E43">
            <w:pPr>
              <w:spacing w:before="0" w:after="0"/>
              <w:jc w:val="center"/>
              <w:rPr>
                <w:rFonts w:cs="Times New Roman"/>
                <w:sz w:val="20"/>
                <w:lang w:val="en-US"/>
              </w:rPr>
            </w:pPr>
            <w:r w:rsidRPr="001A06F4">
              <w:rPr>
                <w:rFonts w:cs="Times New Roman"/>
                <w:sz w:val="20"/>
                <w:lang w:val="en-US"/>
              </w:rPr>
              <w:t xml:space="preserve">No. of studies per </w:t>
            </w:r>
            <w:r>
              <w:rPr>
                <w:rFonts w:cs="Times New Roman"/>
                <w:sz w:val="20"/>
                <w:lang w:val="en-US"/>
              </w:rPr>
              <w:t>sub</w:t>
            </w:r>
            <w:r w:rsidRPr="001A06F4">
              <w:rPr>
                <w:rFonts w:cs="Times New Roman"/>
                <w:sz w:val="20"/>
                <w:lang w:val="en-US"/>
              </w:rPr>
              <w:t>group</w:t>
            </w:r>
          </w:p>
        </w:tc>
        <w:tc>
          <w:tcPr>
            <w:tcW w:w="866" w:type="dxa"/>
            <w:shd w:val="clear" w:color="auto" w:fill="auto"/>
            <w:noWrap/>
            <w:vAlign w:val="center"/>
            <w:hideMark/>
          </w:tcPr>
          <w:p w:rsidR="005B23F8" w:rsidRPr="001A06F4" w:rsidRDefault="005B23F8" w:rsidP="003D0E43">
            <w:pPr>
              <w:spacing w:before="0" w:after="0"/>
              <w:jc w:val="center"/>
              <w:rPr>
                <w:rFonts w:cs="Times New Roman"/>
                <w:sz w:val="20"/>
                <w:lang w:val="en-US"/>
              </w:rPr>
            </w:pPr>
            <w:r w:rsidRPr="001A06F4">
              <w:rPr>
                <w:rFonts w:cs="Times New Roman"/>
                <w:sz w:val="20"/>
                <w:lang w:val="en-US"/>
              </w:rPr>
              <w:t>No. of studies per strategy</w:t>
            </w:r>
          </w:p>
        </w:tc>
      </w:tr>
      <w:tr w:rsidR="005B23F8" w:rsidRPr="007333E8" w:rsidTr="003D0E43">
        <w:trPr>
          <w:trHeight w:val="108"/>
          <w:jc w:val="center"/>
        </w:trPr>
        <w:tc>
          <w:tcPr>
            <w:tcW w:w="690"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1503"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Stakeholder inclusion</w:t>
            </w:r>
          </w:p>
        </w:tc>
        <w:tc>
          <w:tcPr>
            <w:tcW w:w="2181"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Engagement of professional fishers</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Engagement of fishers and fishing cooperatives into MPA design, management, rule-agreement and surveillance</w:t>
            </w:r>
          </w:p>
        </w:tc>
        <w:tc>
          <w:tcPr>
            <w:tcW w:w="995"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13</w:t>
            </w:r>
          </w:p>
        </w:tc>
        <w:tc>
          <w:tcPr>
            <w:tcW w:w="866"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40</w:t>
            </w:r>
          </w:p>
        </w:tc>
      </w:tr>
      <w:tr w:rsidR="005B23F8" w:rsidRPr="007333E8" w:rsidTr="003D0E43">
        <w:trPr>
          <w:trHeight w:val="108"/>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Presence of fishermen within the MPA management board</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Creation of fishers management subcommittees with support from coordinator and monitoring teams, with decision powers on regulation changes, penalty impositions, use of space, size and/or catch limitations, and others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220"/>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Engagement of local communities</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Involvement of local communities in MPA consultation, designation, decision-making and management processes through community-based co-management organizations</w:t>
            </w:r>
          </w:p>
        </w:tc>
        <w:tc>
          <w:tcPr>
            <w:tcW w:w="995"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12</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220"/>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Engagement of local leaders to foster voluntary surveillance</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Involvement of an NGO to assist the local community with participation and to establish a collaborative platform</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Incorporate goals and objectives of local communities into the development of MPA proposals to provide communities with a greater sense of ownership</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restart"/>
            <w:shd w:val="clear" w:color="auto" w:fill="auto"/>
            <w:vAlign w:val="center"/>
            <w:hideMark/>
          </w:tcPr>
          <w:p w:rsidR="005B23F8" w:rsidRPr="001A06F4" w:rsidRDefault="005B23F8" w:rsidP="003D0E43">
            <w:pPr>
              <w:spacing w:before="0" w:after="0"/>
              <w:jc w:val="left"/>
              <w:rPr>
                <w:rFonts w:cs="Times New Roman"/>
                <w:b w:val="0"/>
                <w:sz w:val="20"/>
                <w:lang w:val="en-US"/>
              </w:rPr>
            </w:pPr>
            <w:r w:rsidRPr="001A06F4">
              <w:rPr>
                <w:rFonts w:cs="Times New Roman"/>
                <w:b w:val="0"/>
                <w:sz w:val="20"/>
                <w:lang w:val="en-US"/>
              </w:rPr>
              <w:t>Promotion of joint ventures among different stakeholder classes</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Participation of various stakeholder groups in MPA institutional design (i.e., setting boundaries, rule-making), MPA establishment and implementation, MPA management</w:t>
            </w:r>
          </w:p>
        </w:tc>
        <w:tc>
          <w:tcPr>
            <w:tcW w:w="995"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11</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08"/>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Creation of a permanent governance and co-management body including government members, fishers, fishing industry, academia and environmental NGOs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22"/>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shd w:val="clear" w:color="auto" w:fill="auto"/>
            <w:noWrap/>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Engagement of recreational fishers</w:t>
            </w:r>
          </w:p>
        </w:tc>
        <w:tc>
          <w:tcPr>
            <w:tcW w:w="418"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Involvement of recreational fishers into MPA planning, design, enforcement, advocacy, conservation, management and research</w:t>
            </w:r>
          </w:p>
        </w:tc>
        <w:tc>
          <w:tcPr>
            <w:tcW w:w="995"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15"/>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shd w:val="clear" w:color="auto" w:fill="auto"/>
            <w:noWrap/>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Engagement of enterpreneurs</w:t>
            </w:r>
          </w:p>
        </w:tc>
        <w:tc>
          <w:tcPr>
            <w:tcW w:w="418"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Engagement of entrepreneurs in existing networks with coastal communities to create and exploit opportunities for marine conservation</w:t>
            </w:r>
          </w:p>
        </w:tc>
        <w:tc>
          <w:tcPr>
            <w:tcW w:w="995"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15"/>
          <w:jc w:val="center"/>
        </w:trPr>
        <w:tc>
          <w:tcPr>
            <w:tcW w:w="690"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1503"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Improve communication/</w:t>
            </w:r>
          </w:p>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Raise awareness</w:t>
            </w:r>
          </w:p>
        </w:tc>
        <w:tc>
          <w:tcPr>
            <w:tcW w:w="2181"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Communication to stakeholders</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Increase social capital by implementing outreach education activities for government officials, teachers, students, tourism operators, the general public and all visitors in the MPA, including: environmental education, awareness about human impacts on environment, importance/vulnerability of marine ecosystems, understanding and acceptance of MPA objectives, benefits of MPAs, desired MPA outcomes</w:t>
            </w:r>
          </w:p>
        </w:tc>
        <w:tc>
          <w:tcPr>
            <w:tcW w:w="995"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25</w:t>
            </w:r>
          </w:p>
        </w:tc>
        <w:tc>
          <w:tcPr>
            <w:tcW w:w="866"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38</w:t>
            </w: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Investment in community outreach to help retain political support, to the extent that public perceptions may influence government decisions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Facilitate community support for MPAs and creating a sense of pride and recognition by pairing stakeholder engagement with educational efforts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Launch communication campaigns based on: brochures, websites, social media, events, school campaigns and visits, volunteering programs, tourist activities, shows, concerts, workshops on local gastronomy and food sustainability</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5</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Consultation with affected communities about what positive MPA impacts are desired at the local level</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6</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Communicate with all stakeholders before establishing MPAs to gather perceptions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7</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Involvement of fishers to communicate with tourists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8</w:t>
            </w:r>
          </w:p>
        </w:tc>
        <w:tc>
          <w:tcPr>
            <w:tcW w:w="9024" w:type="dxa"/>
            <w:shd w:val="clear" w:color="auto" w:fill="auto"/>
            <w:noWrap/>
            <w:vAlign w:val="center"/>
            <w:hideMark/>
          </w:tcPr>
          <w:p w:rsidR="005B23F8" w:rsidRPr="007333E8" w:rsidRDefault="005B23F8" w:rsidP="003D0E43">
            <w:pPr>
              <w:spacing w:before="0" w:after="0"/>
              <w:rPr>
                <w:rFonts w:cs="Times New Roman"/>
                <w:b w:val="0"/>
                <w:sz w:val="20"/>
                <w:lang w:val="it-IT"/>
              </w:rPr>
            </w:pPr>
            <w:r w:rsidRPr="007333E8">
              <w:rPr>
                <w:rFonts w:cs="Times New Roman"/>
                <w:b w:val="0"/>
                <w:sz w:val="20"/>
                <w:lang w:val="it-IT"/>
              </w:rPr>
              <w:t>Improved MPA signage</w:t>
            </w:r>
          </w:p>
        </w:tc>
        <w:tc>
          <w:tcPr>
            <w:tcW w:w="995" w:type="dxa"/>
            <w:vMerge/>
            <w:vAlign w:val="center"/>
            <w:hideMark/>
          </w:tcPr>
          <w:p w:rsidR="005B23F8" w:rsidRPr="007333E8" w:rsidRDefault="005B23F8" w:rsidP="003D0E43">
            <w:pPr>
              <w:spacing w:before="0" w:after="0"/>
              <w:jc w:val="center"/>
              <w:rPr>
                <w:rFonts w:cs="Times New Roman"/>
                <w:b w:val="0"/>
                <w:sz w:val="20"/>
                <w:lang w:val="it-IT"/>
              </w:rPr>
            </w:pP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Fishery-specific communication</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 xml:space="preserve">Launch education programs to raise awareness about marine conservation for fishers and emphasize how poaching personally affects fishers, to promote stewardship norms and moral responsibility, to enhance </w:t>
            </w:r>
            <w:r w:rsidRPr="001A06F4">
              <w:rPr>
                <w:rFonts w:cs="Times New Roman"/>
                <w:b w:val="0"/>
                <w:sz w:val="20"/>
                <w:lang w:val="en-US"/>
              </w:rPr>
              <w:lastRenderedPageBreak/>
              <w:t>participation and compliance, to inform fishers about MPA and its rules and benefits, and to increase MPA acceptance</w:t>
            </w:r>
          </w:p>
        </w:tc>
        <w:tc>
          <w:tcPr>
            <w:tcW w:w="995"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lastRenderedPageBreak/>
              <w:t>13</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42"/>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Increase dialogue among scientists, managers and fishers to reduce the disparity in understanding fisheries benefits from MPAs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1503" w:type="dxa"/>
            <w:vMerge w:val="restart"/>
            <w:shd w:val="clear" w:color="auto" w:fill="auto"/>
            <w:vAlign w:val="center"/>
            <w:hideMark/>
          </w:tcPr>
          <w:p w:rsidR="005B23F8" w:rsidRPr="001A06F4" w:rsidRDefault="005B23F8" w:rsidP="003D0E43">
            <w:pPr>
              <w:spacing w:before="0" w:after="0"/>
              <w:jc w:val="left"/>
              <w:rPr>
                <w:rFonts w:cs="Times New Roman"/>
                <w:b w:val="0"/>
                <w:sz w:val="20"/>
                <w:lang w:val="en-US"/>
              </w:rPr>
            </w:pPr>
            <w:r w:rsidRPr="001A06F4">
              <w:rPr>
                <w:rFonts w:cs="Times New Roman"/>
                <w:b w:val="0"/>
                <w:sz w:val="20"/>
                <w:lang w:val="en-US"/>
              </w:rPr>
              <w:t>Enforcement and monitoring, control and surveillance</w:t>
            </w:r>
          </w:p>
        </w:tc>
        <w:tc>
          <w:tcPr>
            <w:tcW w:w="2181" w:type="dxa"/>
            <w:vMerge w:val="restart"/>
            <w:shd w:val="clear" w:color="auto" w:fill="auto"/>
            <w:vAlign w:val="center"/>
            <w:hideMark/>
          </w:tcPr>
          <w:p w:rsidR="005B23F8" w:rsidRPr="001A06F4" w:rsidRDefault="005B23F8" w:rsidP="003D0E43">
            <w:pPr>
              <w:spacing w:before="0" w:after="0"/>
              <w:jc w:val="left"/>
              <w:rPr>
                <w:rFonts w:cs="Times New Roman"/>
                <w:b w:val="0"/>
                <w:sz w:val="20"/>
                <w:lang w:val="en-US"/>
              </w:rPr>
            </w:pPr>
            <w:r w:rsidRPr="001A06F4">
              <w:rPr>
                <w:rFonts w:cs="Times New Roman"/>
                <w:b w:val="0"/>
                <w:sz w:val="20"/>
                <w:lang w:val="en-US"/>
              </w:rPr>
              <w:t>Enforcement and monitoring, control and surveillance</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Ensure sufficient enforcement of rules for both professional and recreational fisheries to tackle non-compliance and ensure resource rebuilding</w:t>
            </w:r>
          </w:p>
        </w:tc>
        <w:tc>
          <w:tcPr>
            <w:tcW w:w="995"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31</w:t>
            </w:r>
          </w:p>
        </w:tc>
        <w:tc>
          <w:tcPr>
            <w:tcW w:w="866"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32</w:t>
            </w:r>
          </w:p>
        </w:tc>
      </w:tr>
      <w:tr w:rsidR="005B23F8" w:rsidRPr="007333E8" w:rsidTr="003D0E43">
        <w:trPr>
          <w:trHeight w:val="108"/>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Increase patrol numbers, drones, centers to facilitate night patrol, and appoint honorary wardens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Tackle free-riding that undermines the stability of voluntary agreements between fishers and MPAs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Improve anti-poaching activities and land-based video monitoring</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5</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Implement and respect MPA zoning and clearly define MPA boundaries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6</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Implement enforcement only after fishers have been included in management; otherwise it might lead to counterproductive results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7</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Ensure surveillance resources including publicly-supported ones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8</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Ensure that sufficient surveillance technologies are available to enforce all restrictions equitably on all local and incoming users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9</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Address driving forces for non-compliance</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10</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Ensure the enforcement of Territorial Use Rights for Fisheries (TURF) by supporting fisher associations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Ensure clear penalties and sanctions against perpetrators are in place, as well as that the latter are paid in full</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Control restaurants and fishmongers to make sure that they do not buy fish on the black market</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15"/>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Secure enforcement through collaboration between MPA rangers and police</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220"/>
          <w:jc w:val="center"/>
        </w:trPr>
        <w:tc>
          <w:tcPr>
            <w:tcW w:w="690"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c>
          <w:tcPr>
            <w:tcW w:w="1503" w:type="dxa"/>
            <w:vMerge w:val="restart"/>
            <w:shd w:val="clear" w:color="auto" w:fill="auto"/>
            <w:vAlign w:val="center"/>
            <w:hideMark/>
          </w:tcPr>
          <w:p w:rsidR="005B23F8" w:rsidRPr="001A06F4" w:rsidRDefault="005B23F8" w:rsidP="003D0E43">
            <w:pPr>
              <w:spacing w:before="0" w:after="0"/>
              <w:jc w:val="left"/>
              <w:rPr>
                <w:rFonts w:cs="Times New Roman"/>
                <w:b w:val="0"/>
                <w:sz w:val="20"/>
                <w:lang w:val="en-US"/>
              </w:rPr>
            </w:pPr>
            <w:r w:rsidRPr="001A06F4">
              <w:rPr>
                <w:rFonts w:cs="Times New Roman"/>
                <w:b w:val="0"/>
                <w:sz w:val="20"/>
                <w:lang w:val="en-US"/>
              </w:rPr>
              <w:t>Increase and secure funding/human resources</w:t>
            </w:r>
          </w:p>
        </w:tc>
        <w:tc>
          <w:tcPr>
            <w:tcW w:w="2181" w:type="dxa"/>
            <w:vMerge w:val="restart"/>
            <w:shd w:val="clear" w:color="auto" w:fill="auto"/>
            <w:vAlign w:val="center"/>
            <w:hideMark/>
          </w:tcPr>
          <w:p w:rsidR="005B23F8" w:rsidRPr="001A06F4" w:rsidRDefault="005B23F8" w:rsidP="003D0E43">
            <w:pPr>
              <w:spacing w:before="0" w:after="0"/>
              <w:jc w:val="left"/>
              <w:rPr>
                <w:rFonts w:cs="Times New Roman"/>
                <w:b w:val="0"/>
                <w:sz w:val="20"/>
                <w:lang w:val="en-US"/>
              </w:rPr>
            </w:pPr>
            <w:r w:rsidRPr="001A06F4">
              <w:rPr>
                <w:rFonts w:cs="Times New Roman"/>
                <w:b w:val="0"/>
                <w:sz w:val="20"/>
                <w:lang w:val="en-US"/>
              </w:rPr>
              <w:t>Increase and secure funding/human resources</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Establish and strengthen sustainable and long-term funding streams for adequate staffing, socio-ecological monitoring and data collection, enforcement, stakeholder permanent committees, and adaptive management</w:t>
            </w:r>
          </w:p>
        </w:tc>
        <w:tc>
          <w:tcPr>
            <w:tcW w:w="995"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24</w:t>
            </w:r>
          </w:p>
        </w:tc>
        <w:tc>
          <w:tcPr>
            <w:tcW w:w="866"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26</w:t>
            </w:r>
          </w:p>
        </w:tc>
      </w:tr>
      <w:tr w:rsidR="005B23F8" w:rsidRPr="007333E8" w:rsidTr="003D0E43">
        <w:trPr>
          <w:trHeight w:val="108"/>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7333E8" w:rsidRDefault="005B23F8" w:rsidP="003D0E43">
            <w:pPr>
              <w:spacing w:before="0" w:after="0"/>
              <w:rPr>
                <w:rFonts w:cs="Times New Roman"/>
                <w:b w:val="0"/>
                <w:sz w:val="20"/>
                <w:lang w:val="it-IT"/>
              </w:rPr>
            </w:pPr>
            <w:r>
              <w:rPr>
                <w:rFonts w:cs="Times New Roman"/>
                <w:b w:val="0"/>
                <w:sz w:val="20"/>
                <w:lang w:val="it-IT"/>
              </w:rPr>
              <w:t>Determine</w:t>
            </w:r>
            <w:r w:rsidRPr="007333E8">
              <w:rPr>
                <w:rFonts w:cs="Times New Roman"/>
                <w:b w:val="0"/>
                <w:sz w:val="20"/>
                <w:lang w:val="it-IT"/>
              </w:rPr>
              <w:t xml:space="preserve"> precise funding needs</w:t>
            </w:r>
          </w:p>
        </w:tc>
        <w:tc>
          <w:tcPr>
            <w:tcW w:w="995" w:type="dxa"/>
            <w:vMerge/>
            <w:vAlign w:val="center"/>
            <w:hideMark/>
          </w:tcPr>
          <w:p w:rsidR="005B23F8" w:rsidRPr="007333E8" w:rsidRDefault="005B23F8" w:rsidP="003D0E43">
            <w:pPr>
              <w:spacing w:before="0" w:after="0"/>
              <w:jc w:val="center"/>
              <w:rPr>
                <w:rFonts w:cs="Times New Roman"/>
                <w:b w:val="0"/>
                <w:sz w:val="20"/>
                <w:lang w:val="it-IT"/>
              </w:rPr>
            </w:pP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7333E8" w:rsidRDefault="005B23F8" w:rsidP="003D0E43">
            <w:pPr>
              <w:spacing w:before="0" w:after="0"/>
              <w:rPr>
                <w:rFonts w:cs="Times New Roman"/>
                <w:b w:val="0"/>
                <w:sz w:val="20"/>
                <w:lang w:val="it-IT"/>
              </w:rPr>
            </w:pPr>
            <w:r w:rsidRPr="007333E8">
              <w:rPr>
                <w:rFonts w:cs="Times New Roman"/>
                <w:b w:val="0"/>
                <w:sz w:val="20"/>
                <w:lang w:val="it-IT"/>
              </w:rPr>
              <w:t>Diversify income sources</w:t>
            </w:r>
          </w:p>
        </w:tc>
        <w:tc>
          <w:tcPr>
            <w:tcW w:w="995" w:type="dxa"/>
            <w:vMerge/>
            <w:vAlign w:val="center"/>
            <w:hideMark/>
          </w:tcPr>
          <w:p w:rsidR="005B23F8" w:rsidRPr="007333E8" w:rsidRDefault="005B23F8" w:rsidP="003D0E43">
            <w:pPr>
              <w:spacing w:before="0" w:after="0"/>
              <w:jc w:val="center"/>
              <w:rPr>
                <w:rFonts w:cs="Times New Roman"/>
                <w:b w:val="0"/>
                <w:sz w:val="20"/>
                <w:lang w:val="it-IT"/>
              </w:rPr>
            </w:pP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shd w:val="clear" w:color="auto" w:fill="auto"/>
            <w:noWrap/>
            <w:vAlign w:val="center"/>
            <w:hideMark/>
          </w:tcPr>
          <w:p w:rsidR="005B23F8" w:rsidRPr="007333E8" w:rsidRDefault="005B23F8" w:rsidP="003D0E43">
            <w:pPr>
              <w:spacing w:before="0" w:after="0"/>
              <w:jc w:val="left"/>
              <w:rPr>
                <w:rFonts w:cs="Times New Roman"/>
                <w:b w:val="0"/>
                <w:sz w:val="20"/>
                <w:lang w:val="it-IT"/>
              </w:rPr>
            </w:pPr>
            <w:r>
              <w:rPr>
                <w:rFonts w:cs="Times New Roman"/>
                <w:b w:val="0"/>
                <w:sz w:val="20"/>
                <w:lang w:val="it-IT"/>
              </w:rPr>
              <w:t>NGO</w:t>
            </w:r>
            <w:r w:rsidRPr="007333E8">
              <w:rPr>
                <w:rFonts w:cs="Times New Roman"/>
                <w:b w:val="0"/>
                <w:sz w:val="20"/>
                <w:lang w:val="it-IT"/>
              </w:rPr>
              <w:t>/private/</w:t>
            </w:r>
          </w:p>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Philantropic funding</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Explore new revenue streams from NGOs and private/philantropic sectors</w:t>
            </w:r>
          </w:p>
        </w:tc>
        <w:tc>
          <w:tcPr>
            <w:tcW w:w="995"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6</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09"/>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Visitor fees</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Introduce, increase, collect and widely apply diving and visitor fees</w:t>
            </w:r>
          </w:p>
        </w:tc>
        <w:tc>
          <w:tcPr>
            <w:tcW w:w="995"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Public funding</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Source funding from government social, educational and environmental budgets</w:t>
            </w:r>
          </w:p>
        </w:tc>
        <w:tc>
          <w:tcPr>
            <w:tcW w:w="995"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Apply for projects under the European Regional Development Fund (ERDF) as well as other regional funds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Conservation-finance area</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Secure funding through Conservation finance area "CFA"</w:t>
            </w:r>
          </w:p>
        </w:tc>
        <w:tc>
          <w:tcPr>
            <w:tcW w:w="995"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shd w:val="clear" w:color="auto" w:fill="auto"/>
            <w:vAlign w:val="center"/>
            <w:hideMark/>
          </w:tcPr>
          <w:p w:rsidR="005B23F8" w:rsidRPr="007333E8" w:rsidRDefault="005B23F8" w:rsidP="003D0E43">
            <w:pPr>
              <w:spacing w:before="0" w:after="0"/>
              <w:jc w:val="left"/>
              <w:rPr>
                <w:rFonts w:cs="Times New Roman"/>
                <w:b w:val="0"/>
                <w:sz w:val="20"/>
                <w:lang w:val="it-IT"/>
              </w:rPr>
            </w:pPr>
            <w:r>
              <w:rPr>
                <w:rFonts w:cs="Times New Roman"/>
                <w:b w:val="0"/>
                <w:sz w:val="20"/>
                <w:lang w:val="it-IT"/>
              </w:rPr>
              <w:t>MPA</w:t>
            </w:r>
            <w:r w:rsidRPr="007333E8">
              <w:rPr>
                <w:rFonts w:cs="Times New Roman"/>
                <w:b w:val="0"/>
                <w:sz w:val="20"/>
                <w:lang w:val="it-IT"/>
              </w:rPr>
              <w:t xml:space="preserve"> fund</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Establish an MPA fund to enhance financial sustainability and provide more financial flexibility for MPA management</w:t>
            </w:r>
          </w:p>
        </w:tc>
        <w:tc>
          <w:tcPr>
            <w:tcW w:w="995"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Ecotourism</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Reinvest revenues generated from ecotourism to support MPA management and environmental education programs</w:t>
            </w:r>
          </w:p>
        </w:tc>
        <w:tc>
          <w:tcPr>
            <w:tcW w:w="995"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Fines</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 xml:space="preserve">Reinvest revenues generated from fines for infractions </w:t>
            </w:r>
          </w:p>
        </w:tc>
        <w:tc>
          <w:tcPr>
            <w:tcW w:w="995"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shd w:val="clear" w:color="auto" w:fill="auto"/>
            <w:vAlign w:val="center"/>
            <w:hideMark/>
          </w:tcPr>
          <w:p w:rsidR="005B23F8" w:rsidRPr="001A06F4" w:rsidRDefault="005B23F8" w:rsidP="003D0E43">
            <w:pPr>
              <w:spacing w:before="0" w:after="0"/>
              <w:jc w:val="left"/>
              <w:rPr>
                <w:rFonts w:cs="Times New Roman"/>
                <w:b w:val="0"/>
                <w:sz w:val="20"/>
                <w:lang w:val="en-US"/>
              </w:rPr>
            </w:pPr>
            <w:r w:rsidRPr="001A06F4">
              <w:rPr>
                <w:rFonts w:cs="Times New Roman"/>
                <w:b w:val="0"/>
                <w:sz w:val="20"/>
                <w:lang w:val="en-US"/>
              </w:rPr>
              <w:t>Non-extractive use rights from industry</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Reinvest revenues generated from non-extractive use rights from shipping, transport and telecommunications industries</w:t>
            </w:r>
          </w:p>
        </w:tc>
        <w:tc>
          <w:tcPr>
            <w:tcW w:w="995"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Research permits</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Reinvest revenues generated from non-extractive use rights from research institutions</w:t>
            </w:r>
          </w:p>
        </w:tc>
        <w:tc>
          <w:tcPr>
            <w:tcW w:w="995"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42"/>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Biodiversity offsets</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Gather biodiversity offsets from the oil and gas sector</w:t>
            </w:r>
          </w:p>
        </w:tc>
        <w:tc>
          <w:tcPr>
            <w:tcW w:w="995"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444"/>
          <w:jc w:val="center"/>
        </w:trPr>
        <w:tc>
          <w:tcPr>
            <w:tcW w:w="690"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lastRenderedPageBreak/>
              <w:t>5</w:t>
            </w:r>
          </w:p>
        </w:tc>
        <w:tc>
          <w:tcPr>
            <w:tcW w:w="1503" w:type="dxa"/>
            <w:vMerge w:val="restart"/>
            <w:shd w:val="clear" w:color="auto" w:fill="auto"/>
            <w:vAlign w:val="center"/>
            <w:hideMark/>
          </w:tcPr>
          <w:p w:rsidR="005B23F8" w:rsidRPr="001A06F4" w:rsidRDefault="005B23F8" w:rsidP="003D0E43">
            <w:pPr>
              <w:spacing w:before="0" w:after="0"/>
              <w:jc w:val="left"/>
              <w:rPr>
                <w:rFonts w:cs="Times New Roman"/>
                <w:b w:val="0"/>
                <w:sz w:val="20"/>
                <w:lang w:val="en-US"/>
              </w:rPr>
            </w:pPr>
            <w:r w:rsidRPr="001A06F4">
              <w:rPr>
                <w:rFonts w:cs="Times New Roman"/>
                <w:b w:val="0"/>
                <w:sz w:val="20"/>
                <w:lang w:val="en-US"/>
              </w:rPr>
              <w:t>Presence of management objectives and plans</w:t>
            </w:r>
          </w:p>
        </w:tc>
        <w:tc>
          <w:tcPr>
            <w:tcW w:w="2181" w:type="dxa"/>
            <w:vMerge w:val="restart"/>
            <w:shd w:val="clear" w:color="auto" w:fill="auto"/>
            <w:vAlign w:val="center"/>
            <w:hideMark/>
          </w:tcPr>
          <w:p w:rsidR="005B23F8" w:rsidRPr="001A06F4" w:rsidRDefault="005B23F8" w:rsidP="003D0E43">
            <w:pPr>
              <w:spacing w:before="0" w:after="0"/>
              <w:jc w:val="left"/>
              <w:rPr>
                <w:rFonts w:cs="Times New Roman"/>
                <w:b w:val="0"/>
                <w:sz w:val="20"/>
                <w:lang w:val="en-US"/>
              </w:rPr>
            </w:pPr>
            <w:r w:rsidRPr="001A06F4">
              <w:rPr>
                <w:rFonts w:cs="Times New Roman"/>
                <w:b w:val="0"/>
                <w:sz w:val="20"/>
                <w:lang w:val="en-US"/>
              </w:rPr>
              <w:t>Presence of management objectives and plans</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Provide the MPA with clearly-stated, MPA-specific, uncertainty-accounting, consistent and compatible vision, objectives, management plans, restrictions, priorities, research regulations, boundaries and responsibilities</w:t>
            </w:r>
          </w:p>
        </w:tc>
        <w:tc>
          <w:tcPr>
            <w:tcW w:w="995"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22</w:t>
            </w:r>
          </w:p>
        </w:tc>
        <w:tc>
          <w:tcPr>
            <w:tcW w:w="866"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22</w:t>
            </w:r>
          </w:p>
        </w:tc>
      </w:tr>
      <w:tr w:rsidR="005B23F8" w:rsidRPr="007333E8" w:rsidTr="003D0E43">
        <w:trPr>
          <w:trHeight w:val="108"/>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Officially approve the MPA management plan</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Existence of a management plan for artisanal fisheries inside the MPA</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Management goals and objectives that are prepared with local communities and reflect their interests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5</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Ensure clarity and consistency in defining roles and responsibilities of different authorities and organisations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6</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Periodical reassessment of MPA goals and objectives, and their readjustment when needed</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49"/>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7</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Ensure clarity and consistency in defining legal objectives of MPAs, general and zone restrictions, jurisdictional boundaries, roles and responsibilities of different authorities and organizations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6</w:t>
            </w:r>
          </w:p>
        </w:tc>
        <w:tc>
          <w:tcPr>
            <w:tcW w:w="1503"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Research/</w:t>
            </w:r>
          </w:p>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Capacity development</w:t>
            </w:r>
          </w:p>
        </w:tc>
        <w:tc>
          <w:tcPr>
            <w:tcW w:w="2181"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Implement sound scientific research</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Establish a comprehensive scientific research framework</w:t>
            </w:r>
          </w:p>
        </w:tc>
        <w:tc>
          <w:tcPr>
            <w:tcW w:w="995"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11</w:t>
            </w:r>
          </w:p>
        </w:tc>
        <w:tc>
          <w:tcPr>
            <w:tcW w:w="866"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17</w:t>
            </w:r>
          </w:p>
        </w:tc>
      </w:tr>
      <w:tr w:rsidR="005B23F8" w:rsidRPr="007333E8" w:rsidTr="003D0E43">
        <w:trPr>
          <w:trHeight w:val="108"/>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Provide rigorous scientific information through ecological and environmental monitoring to improve habitat protection and ensure that clear, consistent, and useful information is available to guide MPA decision-making</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Carry out baseline monitoring and characterization of MPAs as well as long-term monitoring of MPA impacts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42"/>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Integrate local knowledge in MPA decision-making through participatory research projects among scientists, fishers and other relevant stakeholder groups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Capacity development</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Strengthen capacity of national and local institutions and create new capacity through formal and informal educational initiatives</w:t>
            </w:r>
          </w:p>
        </w:tc>
        <w:tc>
          <w:tcPr>
            <w:tcW w:w="995"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7</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Widen the professional MPA network through co-operation with research institutions and participation in national and international meetings and conferences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Provide education and training in business administration and logistics to the fishing sector to help maximise their fisheries income</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42"/>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Engage fishers in marine research</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332"/>
          <w:jc w:val="center"/>
        </w:trPr>
        <w:tc>
          <w:tcPr>
            <w:tcW w:w="690"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7</w:t>
            </w:r>
          </w:p>
        </w:tc>
        <w:tc>
          <w:tcPr>
            <w:tcW w:w="1503" w:type="dxa"/>
            <w:vMerge w:val="restart"/>
            <w:shd w:val="clear" w:color="auto" w:fill="auto"/>
            <w:vAlign w:val="center"/>
            <w:hideMark/>
          </w:tcPr>
          <w:p w:rsidR="005B23F8" w:rsidRPr="001A06F4" w:rsidRDefault="005B23F8" w:rsidP="003D0E43">
            <w:pPr>
              <w:spacing w:before="0" w:after="0"/>
              <w:jc w:val="left"/>
              <w:rPr>
                <w:rFonts w:cs="Times New Roman"/>
                <w:b w:val="0"/>
                <w:sz w:val="20"/>
                <w:lang w:val="en-US"/>
              </w:rPr>
            </w:pPr>
            <w:r w:rsidRPr="001A06F4">
              <w:rPr>
                <w:rFonts w:cs="Times New Roman"/>
                <w:b w:val="0"/>
                <w:sz w:val="20"/>
                <w:lang w:val="en-US"/>
              </w:rPr>
              <w:t>Enhance legislation/</w:t>
            </w:r>
          </w:p>
          <w:p w:rsidR="005B23F8" w:rsidRPr="001A06F4" w:rsidRDefault="005B23F8" w:rsidP="003D0E43">
            <w:pPr>
              <w:spacing w:before="0" w:after="0"/>
              <w:jc w:val="left"/>
              <w:rPr>
                <w:rFonts w:cs="Times New Roman"/>
                <w:b w:val="0"/>
                <w:sz w:val="20"/>
                <w:lang w:val="en-US"/>
              </w:rPr>
            </w:pPr>
            <w:r w:rsidRPr="001A06F4">
              <w:rPr>
                <w:rFonts w:cs="Times New Roman"/>
                <w:b w:val="0"/>
                <w:sz w:val="20"/>
                <w:lang w:val="en-US"/>
              </w:rPr>
              <w:t>Secure political will</w:t>
            </w:r>
          </w:p>
        </w:tc>
        <w:tc>
          <w:tcPr>
            <w:tcW w:w="2181"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Legislation</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Presence of international-regional-national-local regulatory obligations that require effective conservation through MPAs</w:t>
            </w:r>
          </w:p>
        </w:tc>
        <w:tc>
          <w:tcPr>
            <w:tcW w:w="995"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9</w:t>
            </w:r>
          </w:p>
        </w:tc>
        <w:tc>
          <w:tcPr>
            <w:tcW w:w="866"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15</w:t>
            </w:r>
          </w:p>
        </w:tc>
      </w:tr>
      <w:tr w:rsidR="005B23F8" w:rsidRPr="007333E8" w:rsidTr="003D0E43">
        <w:trPr>
          <w:trHeight w:val="108"/>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Improve national and local legislation to: promote enforcement, reduce incentive to poaching, increase penalties for non-compliance, address special issues of artisanal fisheries, promote co-management and territorial approaches, back the establishment of voluntary agreements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Require a license for recreational fishing, in order to make it less profitable and attractive for those looking for an easy profit through illegal fish sale</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240"/>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noWrap/>
            <w:vAlign w:val="bottom"/>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Incorporate the ecosystem service concept and local people’s perceptions of ecosystem service into policy-related decisions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Political will</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Presence of a political will to control tourism, coastal development and illegal fishing, and to enforce regulations to protect natural resources and have effective MPAs in place</w:t>
            </w:r>
          </w:p>
        </w:tc>
        <w:tc>
          <w:tcPr>
            <w:tcW w:w="995"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8</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42"/>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Ensure clear and long-run commitment from government agencies as well as government support for MPAs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332"/>
          <w:jc w:val="center"/>
        </w:trPr>
        <w:tc>
          <w:tcPr>
            <w:tcW w:w="690"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8</w:t>
            </w:r>
          </w:p>
        </w:tc>
        <w:tc>
          <w:tcPr>
            <w:tcW w:w="1503" w:type="dxa"/>
            <w:vMerge w:val="restart"/>
            <w:shd w:val="clear" w:color="auto" w:fill="auto"/>
            <w:vAlign w:val="center"/>
            <w:hideMark/>
          </w:tcPr>
          <w:p w:rsidR="005B23F8" w:rsidRPr="001A06F4" w:rsidRDefault="005B23F8" w:rsidP="003D0E43">
            <w:pPr>
              <w:spacing w:before="0" w:after="0"/>
              <w:jc w:val="left"/>
              <w:rPr>
                <w:rFonts w:cs="Times New Roman"/>
                <w:b w:val="0"/>
                <w:sz w:val="20"/>
                <w:lang w:val="en-US"/>
              </w:rPr>
            </w:pPr>
            <w:r w:rsidRPr="001A06F4">
              <w:rPr>
                <w:rFonts w:cs="Times New Roman"/>
                <w:b w:val="0"/>
                <w:sz w:val="20"/>
                <w:lang w:val="en-US"/>
              </w:rPr>
              <w:t>Economic and market-based incentives</w:t>
            </w:r>
          </w:p>
        </w:tc>
        <w:tc>
          <w:tcPr>
            <w:tcW w:w="2181"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Livelihood diversification</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Diversify livelihoods to reduce pressure on stocks and to improve resilience of local communities, namely fishing ones, by: introducing appropriate incentives, proposing economic alternatives to fishing and promoting alternative livelihoods e.g. water taxis or MPA rangers</w:t>
            </w:r>
          </w:p>
        </w:tc>
        <w:tc>
          <w:tcPr>
            <w:tcW w:w="995"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9</w:t>
            </w:r>
          </w:p>
        </w:tc>
        <w:tc>
          <w:tcPr>
            <w:tcW w:w="866"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13</w:t>
            </w: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Work with tourism through gastronomic workshops or underwater photo competitions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Prioritize local employment in the MPA e.g. dive operators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967"/>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Compensation</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 xml:space="preserve">Appropriate economic benefits/compensations must be generated for fishers to mitigate negative socio-economic impacts of MPAs. Namely: introducing incentives to encourage compliance such as compensation for lost </w:t>
            </w:r>
            <w:r>
              <w:rPr>
                <w:rFonts w:cs="Times New Roman"/>
                <w:b w:val="0"/>
                <w:sz w:val="20"/>
                <w:lang w:val="it-IT"/>
              </w:rPr>
              <w:t>ﬁ</w:t>
            </w:r>
            <w:r w:rsidRPr="001A06F4">
              <w:rPr>
                <w:rFonts w:cs="Times New Roman"/>
                <w:b w:val="0"/>
                <w:sz w:val="20"/>
                <w:lang w:val="en-US"/>
              </w:rPr>
              <w:t>shing grounds (e.g. by creating arti</w:t>
            </w:r>
            <w:r w:rsidRPr="007333E8">
              <w:rPr>
                <w:rFonts w:cs="Times New Roman"/>
                <w:b w:val="0"/>
                <w:sz w:val="20"/>
                <w:lang w:val="it-IT"/>
              </w:rPr>
              <w:t>ﬁ</w:t>
            </w:r>
            <w:r w:rsidRPr="001A06F4">
              <w:rPr>
                <w:rFonts w:cs="Times New Roman"/>
                <w:b w:val="0"/>
                <w:sz w:val="20"/>
                <w:lang w:val="en-US"/>
              </w:rPr>
              <w:t xml:space="preserve">cial reefs), ensuring that good </w:t>
            </w:r>
            <w:r w:rsidRPr="007333E8">
              <w:rPr>
                <w:rFonts w:cs="Times New Roman"/>
                <w:b w:val="0"/>
                <w:sz w:val="20"/>
                <w:lang w:val="it-IT"/>
              </w:rPr>
              <w:t>ﬁ</w:t>
            </w:r>
            <w:r w:rsidRPr="001A06F4">
              <w:rPr>
                <w:rFonts w:cs="Times New Roman"/>
                <w:b w:val="0"/>
                <w:sz w:val="20"/>
                <w:lang w:val="en-US"/>
              </w:rPr>
              <w:t>shing grounds are accessible in close range of local communities, implementing strategies for adding value to seafood products, introducing direct economic compensation of fishers for loss of fishing grounds until compensation by spillover occurs, co-designing MBI-programs with artisanal fishers to compensate them through outcome-based philantrophy and biodiversity offsets</w:t>
            </w:r>
          </w:p>
        </w:tc>
        <w:tc>
          <w:tcPr>
            <w:tcW w:w="995"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6</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461"/>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Eco-labelling</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Encourage seafood certification and eco-labelling (capitalising on routine data collection, assessment and management activities already carried out in well-managed MPAs can reduce certification costs, which are generally out of reach for artisanal fishery communities)</w:t>
            </w:r>
          </w:p>
        </w:tc>
        <w:tc>
          <w:tcPr>
            <w:tcW w:w="995"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34"/>
          <w:jc w:val="center"/>
        </w:trPr>
        <w:tc>
          <w:tcPr>
            <w:tcW w:w="690"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9</w:t>
            </w:r>
          </w:p>
        </w:tc>
        <w:tc>
          <w:tcPr>
            <w:tcW w:w="1503"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Peer pressure</w:t>
            </w:r>
          </w:p>
        </w:tc>
        <w:tc>
          <w:tcPr>
            <w:tcW w:w="2181"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Direct involvement of fishers</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Involve recreational fishers into MPA monitoring</w:t>
            </w:r>
          </w:p>
        </w:tc>
        <w:tc>
          <w:tcPr>
            <w:tcW w:w="995"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10</w:t>
            </w:r>
          </w:p>
        </w:tc>
        <w:tc>
          <w:tcPr>
            <w:tcW w:w="866"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10</w:t>
            </w:r>
          </w:p>
        </w:tc>
      </w:tr>
      <w:tr w:rsidR="005B23F8" w:rsidRPr="007333E8" w:rsidTr="003D0E43">
        <w:trPr>
          <w:trHeight w:val="108"/>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noWrap/>
            <w:vAlign w:val="bottom"/>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Recruit and training former fishers as park rangers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Ease voluntary reporting of rule violations by fishers also through fishers’ involvement in all MPA phases so to increase acceptance</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42"/>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Ease fishers reporting to the MPA Consortium staff in case of poaching by non-residents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42"/>
          <w:jc w:val="center"/>
        </w:trPr>
        <w:tc>
          <w:tcPr>
            <w:tcW w:w="690"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10</w:t>
            </w:r>
          </w:p>
        </w:tc>
        <w:tc>
          <w:tcPr>
            <w:tcW w:w="1503"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Pr>
                <w:rFonts w:cs="Times New Roman"/>
                <w:b w:val="0"/>
                <w:sz w:val="20"/>
                <w:lang w:val="it-IT"/>
              </w:rPr>
              <w:t>Conflict avoidance and resolution</w:t>
            </w:r>
          </w:p>
        </w:tc>
        <w:tc>
          <w:tcPr>
            <w:tcW w:w="2181" w:type="dxa"/>
            <w:vMerge w:val="restart"/>
            <w:shd w:val="clear" w:color="auto" w:fill="auto"/>
            <w:noWrap/>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Conflict avoidance</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Map and quantify conflicting stakeholder groups</w:t>
            </w:r>
          </w:p>
        </w:tc>
        <w:tc>
          <w:tcPr>
            <w:tcW w:w="995"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7</w:t>
            </w:r>
          </w:p>
        </w:tc>
        <w:tc>
          <w:tcPr>
            <w:tcW w:w="866"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9</w:t>
            </w: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Implement multiple-use zones in agreement with stakeholders to provide a legal and spatial basis for controlling conflicts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Discuss spatial management and spatial conflicts with fishers to identify win-win solutions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34"/>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Implement a systematic application of zoning criteria to reduce conflicts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42"/>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5</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Adapt existing regulations to local specificity to reduce conflicts between policy makers and local community</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42"/>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shd w:val="clear" w:color="auto" w:fill="auto"/>
            <w:noWrap/>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Conflict resolution</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Solve conflicts among directly-competing user groups, namely fishers vs tourism/divers</w:t>
            </w:r>
          </w:p>
        </w:tc>
        <w:tc>
          <w:tcPr>
            <w:tcW w:w="995" w:type="dxa"/>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866" w:type="dxa"/>
            <w:vMerge/>
            <w:vAlign w:val="center"/>
            <w:hideMark/>
          </w:tcPr>
          <w:p w:rsidR="005B23F8" w:rsidRPr="007333E8" w:rsidRDefault="005B23F8" w:rsidP="003D0E43">
            <w:pPr>
              <w:spacing w:before="0" w:after="0"/>
              <w:jc w:val="center"/>
              <w:rPr>
                <w:rFonts w:cs="Times New Roman"/>
                <w:b w:val="0"/>
                <w:sz w:val="20"/>
                <w:lang w:val="it-IT"/>
              </w:rPr>
            </w:pPr>
          </w:p>
        </w:tc>
      </w:tr>
      <w:tr w:rsidR="005B23F8" w:rsidRPr="007333E8" w:rsidTr="003D0E43">
        <w:trPr>
          <w:trHeight w:val="134"/>
          <w:jc w:val="center"/>
        </w:trPr>
        <w:tc>
          <w:tcPr>
            <w:tcW w:w="690"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11</w:t>
            </w:r>
          </w:p>
        </w:tc>
        <w:tc>
          <w:tcPr>
            <w:tcW w:w="1503"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Ecotourism</w:t>
            </w:r>
          </w:p>
        </w:tc>
        <w:tc>
          <w:tcPr>
            <w:tcW w:w="2181"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Promotion of ecotourism</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Promotion of ecotourism activities inside the MPA (e.g., snorkelling, diving, observation of marine fauna)</w:t>
            </w:r>
          </w:p>
        </w:tc>
        <w:tc>
          <w:tcPr>
            <w:tcW w:w="995"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Pr>
                <w:rFonts w:cs="Times New Roman"/>
                <w:b w:val="0"/>
                <w:sz w:val="20"/>
                <w:lang w:val="it-IT"/>
              </w:rPr>
              <w:t>9</w:t>
            </w:r>
          </w:p>
        </w:tc>
        <w:tc>
          <w:tcPr>
            <w:tcW w:w="866"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Pr>
                <w:rFonts w:cs="Times New Roman"/>
                <w:b w:val="0"/>
                <w:sz w:val="20"/>
                <w:lang w:val="it-IT"/>
              </w:rPr>
              <w:t>9</w:t>
            </w:r>
          </w:p>
        </w:tc>
      </w:tr>
      <w:tr w:rsidR="005B23F8" w:rsidRPr="007333E8" w:rsidTr="003D0E43">
        <w:trPr>
          <w:trHeight w:val="108"/>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Reduction of negative environmental impacts of tourism inside the MPA</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0"/>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Invest efforts for extending the tourism season</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0"/>
          <w:jc w:val="center"/>
        </w:trPr>
        <w:tc>
          <w:tcPr>
            <w:tcW w:w="690" w:type="dxa"/>
            <w:vMerge/>
            <w:vAlign w:val="center"/>
          </w:tcPr>
          <w:p w:rsidR="005B23F8" w:rsidRPr="001A06F4" w:rsidRDefault="005B23F8" w:rsidP="003D0E43">
            <w:pPr>
              <w:spacing w:before="0" w:after="0"/>
              <w:jc w:val="center"/>
              <w:rPr>
                <w:rFonts w:cs="Times New Roman"/>
                <w:b w:val="0"/>
                <w:sz w:val="20"/>
                <w:lang w:val="en-US"/>
              </w:rPr>
            </w:pPr>
          </w:p>
        </w:tc>
        <w:tc>
          <w:tcPr>
            <w:tcW w:w="1503" w:type="dxa"/>
            <w:vMerge/>
            <w:vAlign w:val="center"/>
          </w:tcPr>
          <w:p w:rsidR="005B23F8" w:rsidRPr="001A06F4" w:rsidRDefault="005B23F8" w:rsidP="003D0E43">
            <w:pPr>
              <w:spacing w:before="0" w:after="0"/>
              <w:jc w:val="left"/>
              <w:rPr>
                <w:rFonts w:cs="Times New Roman"/>
                <w:b w:val="0"/>
                <w:sz w:val="20"/>
                <w:lang w:val="en-US"/>
              </w:rPr>
            </w:pPr>
          </w:p>
        </w:tc>
        <w:tc>
          <w:tcPr>
            <w:tcW w:w="2181" w:type="dxa"/>
            <w:vMerge/>
            <w:vAlign w:val="center"/>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bottom"/>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c>
          <w:tcPr>
            <w:tcW w:w="9024" w:type="dxa"/>
            <w:shd w:val="clear" w:color="auto" w:fill="auto"/>
            <w:noWrap/>
            <w:vAlign w:val="center"/>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Development of ecotourism as a source of MPA funding</w:t>
            </w:r>
          </w:p>
        </w:tc>
        <w:tc>
          <w:tcPr>
            <w:tcW w:w="995" w:type="dxa"/>
            <w:vMerge/>
            <w:vAlign w:val="center"/>
          </w:tcPr>
          <w:p w:rsidR="005B23F8" w:rsidRPr="001A06F4" w:rsidRDefault="005B23F8" w:rsidP="003D0E43">
            <w:pPr>
              <w:spacing w:before="0" w:after="0"/>
              <w:jc w:val="center"/>
              <w:rPr>
                <w:rFonts w:cs="Times New Roman"/>
                <w:b w:val="0"/>
                <w:sz w:val="20"/>
                <w:lang w:val="en-US"/>
              </w:rPr>
            </w:pPr>
          </w:p>
        </w:tc>
        <w:tc>
          <w:tcPr>
            <w:tcW w:w="866" w:type="dxa"/>
            <w:vMerge/>
            <w:vAlign w:val="center"/>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0"/>
          <w:jc w:val="center"/>
        </w:trPr>
        <w:tc>
          <w:tcPr>
            <w:tcW w:w="690" w:type="dxa"/>
            <w:vMerge/>
            <w:vAlign w:val="center"/>
          </w:tcPr>
          <w:p w:rsidR="005B23F8" w:rsidRPr="001A06F4" w:rsidRDefault="005B23F8" w:rsidP="003D0E43">
            <w:pPr>
              <w:spacing w:before="0" w:after="0"/>
              <w:jc w:val="center"/>
              <w:rPr>
                <w:rFonts w:cs="Times New Roman"/>
                <w:b w:val="0"/>
                <w:sz w:val="20"/>
                <w:lang w:val="en-US"/>
              </w:rPr>
            </w:pPr>
          </w:p>
        </w:tc>
        <w:tc>
          <w:tcPr>
            <w:tcW w:w="1503" w:type="dxa"/>
            <w:vMerge/>
            <w:vAlign w:val="center"/>
          </w:tcPr>
          <w:p w:rsidR="005B23F8" w:rsidRPr="001A06F4" w:rsidRDefault="005B23F8" w:rsidP="003D0E43">
            <w:pPr>
              <w:spacing w:before="0" w:after="0"/>
              <w:jc w:val="left"/>
              <w:rPr>
                <w:rFonts w:cs="Times New Roman"/>
                <w:b w:val="0"/>
                <w:sz w:val="20"/>
                <w:lang w:val="en-US"/>
              </w:rPr>
            </w:pPr>
          </w:p>
        </w:tc>
        <w:tc>
          <w:tcPr>
            <w:tcW w:w="2181" w:type="dxa"/>
            <w:vMerge/>
            <w:vAlign w:val="center"/>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5</w:t>
            </w:r>
          </w:p>
        </w:tc>
        <w:tc>
          <w:tcPr>
            <w:tcW w:w="9024" w:type="dxa"/>
            <w:shd w:val="clear" w:color="auto" w:fill="auto"/>
            <w:noWrap/>
            <w:vAlign w:val="center"/>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Promotion of synergies among the MPA and the tourism and agricultural sectors</w:t>
            </w:r>
          </w:p>
        </w:tc>
        <w:tc>
          <w:tcPr>
            <w:tcW w:w="995" w:type="dxa"/>
            <w:vMerge/>
            <w:vAlign w:val="center"/>
          </w:tcPr>
          <w:p w:rsidR="005B23F8" w:rsidRPr="001A06F4" w:rsidRDefault="005B23F8" w:rsidP="003D0E43">
            <w:pPr>
              <w:spacing w:before="0" w:after="0"/>
              <w:jc w:val="center"/>
              <w:rPr>
                <w:rFonts w:cs="Times New Roman"/>
                <w:b w:val="0"/>
                <w:sz w:val="20"/>
                <w:lang w:val="en-US"/>
              </w:rPr>
            </w:pPr>
          </w:p>
        </w:tc>
        <w:tc>
          <w:tcPr>
            <w:tcW w:w="866" w:type="dxa"/>
            <w:vMerge/>
            <w:vAlign w:val="center"/>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0"/>
          <w:jc w:val="center"/>
        </w:trPr>
        <w:tc>
          <w:tcPr>
            <w:tcW w:w="690" w:type="dxa"/>
            <w:vMerge/>
            <w:vAlign w:val="center"/>
          </w:tcPr>
          <w:p w:rsidR="005B23F8" w:rsidRPr="001A06F4" w:rsidRDefault="005B23F8" w:rsidP="003D0E43">
            <w:pPr>
              <w:spacing w:before="0" w:after="0"/>
              <w:jc w:val="center"/>
              <w:rPr>
                <w:rFonts w:cs="Times New Roman"/>
                <w:b w:val="0"/>
                <w:sz w:val="20"/>
                <w:lang w:val="en-US"/>
              </w:rPr>
            </w:pPr>
          </w:p>
        </w:tc>
        <w:tc>
          <w:tcPr>
            <w:tcW w:w="1503" w:type="dxa"/>
            <w:vMerge/>
            <w:vAlign w:val="center"/>
          </w:tcPr>
          <w:p w:rsidR="005B23F8" w:rsidRPr="001A06F4" w:rsidRDefault="005B23F8" w:rsidP="003D0E43">
            <w:pPr>
              <w:spacing w:before="0" w:after="0"/>
              <w:jc w:val="left"/>
              <w:rPr>
                <w:rFonts w:cs="Times New Roman"/>
                <w:b w:val="0"/>
                <w:sz w:val="20"/>
                <w:lang w:val="en-US"/>
              </w:rPr>
            </w:pPr>
          </w:p>
        </w:tc>
        <w:tc>
          <w:tcPr>
            <w:tcW w:w="2181" w:type="dxa"/>
            <w:vMerge/>
            <w:vAlign w:val="center"/>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6</w:t>
            </w:r>
          </w:p>
        </w:tc>
        <w:tc>
          <w:tcPr>
            <w:tcW w:w="9024" w:type="dxa"/>
            <w:shd w:val="clear" w:color="auto" w:fill="auto"/>
            <w:noWrap/>
            <w:vAlign w:val="center"/>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Promotion of green marketing for tourism inside the MPA</w:t>
            </w:r>
          </w:p>
        </w:tc>
        <w:tc>
          <w:tcPr>
            <w:tcW w:w="995" w:type="dxa"/>
            <w:vMerge/>
            <w:vAlign w:val="center"/>
          </w:tcPr>
          <w:p w:rsidR="005B23F8" w:rsidRPr="001A06F4" w:rsidRDefault="005B23F8" w:rsidP="003D0E43">
            <w:pPr>
              <w:spacing w:before="0" w:after="0"/>
              <w:jc w:val="center"/>
              <w:rPr>
                <w:rFonts w:cs="Times New Roman"/>
                <w:b w:val="0"/>
                <w:sz w:val="20"/>
                <w:lang w:val="en-US"/>
              </w:rPr>
            </w:pPr>
          </w:p>
        </w:tc>
        <w:tc>
          <w:tcPr>
            <w:tcW w:w="866" w:type="dxa"/>
            <w:vMerge/>
            <w:vAlign w:val="center"/>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63"/>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shd w:val="clear" w:color="auto" w:fill="auto"/>
            <w:vAlign w:val="center"/>
            <w:hideMark/>
          </w:tcPr>
          <w:p w:rsidR="005B23F8" w:rsidRPr="007333E8" w:rsidRDefault="005B23F8" w:rsidP="003D0E43">
            <w:pPr>
              <w:spacing w:before="0" w:after="0"/>
              <w:jc w:val="left"/>
              <w:rPr>
                <w:rFonts w:cs="Times New Roman"/>
                <w:b w:val="0"/>
                <w:sz w:val="20"/>
                <w:lang w:val="it-IT"/>
              </w:rPr>
            </w:pPr>
            <w:r>
              <w:rPr>
                <w:rFonts w:cs="Times New Roman"/>
                <w:b w:val="0"/>
                <w:sz w:val="20"/>
                <w:lang w:val="it-IT"/>
              </w:rPr>
              <w:t>Promotion of pescatourism</w:t>
            </w:r>
          </w:p>
        </w:tc>
        <w:tc>
          <w:tcPr>
            <w:tcW w:w="418" w:type="dxa"/>
            <w:shd w:val="clear" w:color="auto" w:fill="auto"/>
            <w:noWrap/>
            <w:vAlign w:val="center"/>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Reduction of bureaucratic obstacles and promotion of pescatourism in MPAs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08"/>
          <w:jc w:val="center"/>
        </w:trPr>
        <w:tc>
          <w:tcPr>
            <w:tcW w:w="690"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12</w:t>
            </w:r>
          </w:p>
        </w:tc>
        <w:tc>
          <w:tcPr>
            <w:tcW w:w="1503"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Infrastructures</w:t>
            </w:r>
            <w:r>
              <w:rPr>
                <w:rFonts w:cs="Times New Roman"/>
                <w:b w:val="0"/>
                <w:sz w:val="20"/>
                <w:lang w:val="it-IT"/>
              </w:rPr>
              <w:t xml:space="preserve"> and equipment</w:t>
            </w:r>
          </w:p>
        </w:tc>
        <w:tc>
          <w:tcPr>
            <w:tcW w:w="2181" w:type="dxa"/>
            <w:vMerge w:val="restart"/>
            <w:shd w:val="clear" w:color="auto" w:fill="auto"/>
            <w:vAlign w:val="center"/>
            <w:hideMark/>
          </w:tcPr>
          <w:p w:rsidR="005B23F8" w:rsidRPr="007333E8" w:rsidRDefault="005B23F8" w:rsidP="003D0E43">
            <w:pPr>
              <w:spacing w:before="0" w:after="0"/>
              <w:jc w:val="left"/>
              <w:rPr>
                <w:rFonts w:cs="Times New Roman"/>
                <w:b w:val="0"/>
                <w:sz w:val="20"/>
                <w:lang w:val="it-IT"/>
              </w:rPr>
            </w:pPr>
            <w:r w:rsidRPr="007333E8">
              <w:rPr>
                <w:rFonts w:cs="Times New Roman"/>
                <w:b w:val="0"/>
                <w:sz w:val="20"/>
                <w:lang w:val="it-IT"/>
              </w:rPr>
              <w:t>Securing adequate infrastructures</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Provide the MPA with adequate infrastructures to ensure its functioning (video and GPS monitoring technology for surveillance and enforcement, adequate demarcation buoys and mooring buoys for tourism, sufficient fuel for patrolling)</w:t>
            </w:r>
          </w:p>
        </w:tc>
        <w:tc>
          <w:tcPr>
            <w:tcW w:w="995"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7</w:t>
            </w:r>
          </w:p>
        </w:tc>
        <w:tc>
          <w:tcPr>
            <w:tcW w:w="866"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7</w:t>
            </w:r>
          </w:p>
        </w:tc>
      </w:tr>
      <w:tr w:rsidR="005B23F8" w:rsidRPr="007333E8" w:rsidTr="003D0E43">
        <w:trPr>
          <w:trHeight w:val="108"/>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Introduction of an MPA-staff assistance for fishers in case of rough weather and/or technical problems to the boat to build a better relationship between MPA and fishers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42"/>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Reinvestment of MPA income in facilities including those for the local community</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42"/>
          <w:jc w:val="center"/>
        </w:trPr>
        <w:tc>
          <w:tcPr>
            <w:tcW w:w="690"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13</w:t>
            </w:r>
          </w:p>
        </w:tc>
        <w:tc>
          <w:tcPr>
            <w:tcW w:w="1503" w:type="dxa"/>
            <w:vMerge w:val="restart"/>
            <w:shd w:val="clear" w:color="auto" w:fill="auto"/>
            <w:vAlign w:val="center"/>
            <w:hideMark/>
          </w:tcPr>
          <w:p w:rsidR="005B23F8" w:rsidRPr="001A06F4" w:rsidRDefault="005B23F8" w:rsidP="003D0E43">
            <w:pPr>
              <w:spacing w:before="0" w:after="0"/>
              <w:jc w:val="left"/>
              <w:rPr>
                <w:rFonts w:cs="Times New Roman"/>
                <w:b w:val="0"/>
                <w:sz w:val="20"/>
                <w:lang w:val="en-US"/>
              </w:rPr>
            </w:pPr>
            <w:r w:rsidRPr="001A06F4">
              <w:rPr>
                <w:rFonts w:cs="Times New Roman"/>
                <w:b w:val="0"/>
                <w:sz w:val="20"/>
                <w:lang w:val="en-US"/>
              </w:rPr>
              <w:t>Considering the surrounding network of MPAs</w:t>
            </w:r>
          </w:p>
        </w:tc>
        <w:tc>
          <w:tcPr>
            <w:tcW w:w="2181" w:type="dxa"/>
            <w:vMerge w:val="restart"/>
            <w:shd w:val="clear" w:color="auto" w:fill="auto"/>
            <w:vAlign w:val="center"/>
            <w:hideMark/>
          </w:tcPr>
          <w:p w:rsidR="005B23F8" w:rsidRPr="001A06F4" w:rsidRDefault="005B23F8" w:rsidP="003D0E43">
            <w:pPr>
              <w:spacing w:before="0" w:after="0"/>
              <w:jc w:val="left"/>
              <w:rPr>
                <w:rFonts w:cs="Times New Roman"/>
                <w:b w:val="0"/>
                <w:sz w:val="20"/>
                <w:lang w:val="en-US"/>
              </w:rPr>
            </w:pPr>
            <w:r w:rsidRPr="001A06F4">
              <w:rPr>
                <w:rFonts w:cs="Times New Roman"/>
                <w:b w:val="0"/>
                <w:sz w:val="20"/>
                <w:lang w:val="en-US"/>
              </w:rPr>
              <w:t>Considering the surrounding network of MPAs when managing the mpa</w:t>
            </w: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1</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Establishment of effective and timely communication streams with neighbouring MPAs</w:t>
            </w:r>
          </w:p>
        </w:tc>
        <w:tc>
          <w:tcPr>
            <w:tcW w:w="995" w:type="dxa"/>
            <w:vMerge w:val="restart"/>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c>
          <w:tcPr>
            <w:tcW w:w="866" w:type="dxa"/>
            <w:vMerge w:val="restart"/>
            <w:shd w:val="clear" w:color="auto" w:fill="auto"/>
            <w:noWrap/>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4</w:t>
            </w:r>
          </w:p>
        </w:tc>
      </w:tr>
      <w:tr w:rsidR="005B23F8" w:rsidRPr="007333E8" w:rsidTr="003D0E43">
        <w:trPr>
          <w:trHeight w:val="134"/>
          <w:jc w:val="center"/>
        </w:trPr>
        <w:tc>
          <w:tcPr>
            <w:tcW w:w="690" w:type="dxa"/>
            <w:vMerge/>
            <w:vAlign w:val="center"/>
            <w:hideMark/>
          </w:tcPr>
          <w:p w:rsidR="005B23F8" w:rsidRPr="007333E8" w:rsidRDefault="005B23F8" w:rsidP="003D0E43">
            <w:pPr>
              <w:spacing w:before="0" w:after="0"/>
              <w:jc w:val="center"/>
              <w:rPr>
                <w:rFonts w:cs="Times New Roman"/>
                <w:b w:val="0"/>
                <w:sz w:val="20"/>
                <w:lang w:val="it-IT"/>
              </w:rPr>
            </w:pPr>
          </w:p>
        </w:tc>
        <w:tc>
          <w:tcPr>
            <w:tcW w:w="1503" w:type="dxa"/>
            <w:vMerge/>
            <w:vAlign w:val="center"/>
            <w:hideMark/>
          </w:tcPr>
          <w:p w:rsidR="005B23F8" w:rsidRPr="007333E8" w:rsidRDefault="005B23F8" w:rsidP="003D0E43">
            <w:pPr>
              <w:spacing w:before="0" w:after="0"/>
              <w:jc w:val="left"/>
              <w:rPr>
                <w:rFonts w:cs="Times New Roman"/>
                <w:b w:val="0"/>
                <w:sz w:val="20"/>
                <w:lang w:val="it-IT"/>
              </w:rPr>
            </w:pPr>
          </w:p>
        </w:tc>
        <w:tc>
          <w:tcPr>
            <w:tcW w:w="2181" w:type="dxa"/>
            <w:vMerge/>
            <w:vAlign w:val="center"/>
            <w:hideMark/>
          </w:tcPr>
          <w:p w:rsidR="005B23F8" w:rsidRPr="007333E8" w:rsidRDefault="005B23F8" w:rsidP="003D0E43">
            <w:pPr>
              <w:spacing w:before="0" w:after="0"/>
              <w:jc w:val="left"/>
              <w:rPr>
                <w:rFonts w:cs="Times New Roman"/>
                <w:b w:val="0"/>
                <w:sz w:val="20"/>
                <w:lang w:val="it-IT"/>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2</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Gather inputs from regional networks of MPA managers and scientists to support stakeholder committees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r w:rsidR="005B23F8" w:rsidRPr="007333E8" w:rsidTr="003D0E43">
        <w:trPr>
          <w:trHeight w:val="142"/>
          <w:jc w:val="center"/>
        </w:trPr>
        <w:tc>
          <w:tcPr>
            <w:tcW w:w="690" w:type="dxa"/>
            <w:vMerge/>
            <w:vAlign w:val="center"/>
            <w:hideMark/>
          </w:tcPr>
          <w:p w:rsidR="005B23F8" w:rsidRPr="001A06F4" w:rsidRDefault="005B23F8" w:rsidP="003D0E43">
            <w:pPr>
              <w:spacing w:before="0" w:after="0"/>
              <w:jc w:val="center"/>
              <w:rPr>
                <w:rFonts w:cs="Times New Roman"/>
                <w:b w:val="0"/>
                <w:sz w:val="20"/>
                <w:lang w:val="en-US"/>
              </w:rPr>
            </w:pPr>
          </w:p>
        </w:tc>
        <w:tc>
          <w:tcPr>
            <w:tcW w:w="1503" w:type="dxa"/>
            <w:vMerge/>
            <w:vAlign w:val="center"/>
            <w:hideMark/>
          </w:tcPr>
          <w:p w:rsidR="005B23F8" w:rsidRPr="001A06F4" w:rsidRDefault="005B23F8" w:rsidP="003D0E43">
            <w:pPr>
              <w:spacing w:before="0" w:after="0"/>
              <w:jc w:val="left"/>
              <w:rPr>
                <w:rFonts w:cs="Times New Roman"/>
                <w:b w:val="0"/>
                <w:sz w:val="20"/>
                <w:lang w:val="en-US"/>
              </w:rPr>
            </w:pPr>
          </w:p>
        </w:tc>
        <w:tc>
          <w:tcPr>
            <w:tcW w:w="2181" w:type="dxa"/>
            <w:vMerge/>
            <w:vAlign w:val="center"/>
            <w:hideMark/>
          </w:tcPr>
          <w:p w:rsidR="005B23F8" w:rsidRPr="001A06F4" w:rsidRDefault="005B23F8" w:rsidP="003D0E43">
            <w:pPr>
              <w:spacing w:before="0" w:after="0"/>
              <w:jc w:val="left"/>
              <w:rPr>
                <w:rFonts w:cs="Times New Roman"/>
                <w:b w:val="0"/>
                <w:sz w:val="20"/>
                <w:lang w:val="en-US"/>
              </w:rPr>
            </w:pPr>
          </w:p>
        </w:tc>
        <w:tc>
          <w:tcPr>
            <w:tcW w:w="418" w:type="dxa"/>
            <w:shd w:val="clear" w:color="auto" w:fill="auto"/>
            <w:vAlign w:val="center"/>
            <w:hideMark/>
          </w:tcPr>
          <w:p w:rsidR="005B23F8" w:rsidRPr="007333E8" w:rsidRDefault="005B23F8" w:rsidP="003D0E43">
            <w:pPr>
              <w:spacing w:before="0" w:after="0"/>
              <w:jc w:val="center"/>
              <w:rPr>
                <w:rFonts w:cs="Times New Roman"/>
                <w:b w:val="0"/>
                <w:sz w:val="20"/>
                <w:lang w:val="it-IT"/>
              </w:rPr>
            </w:pPr>
            <w:r w:rsidRPr="007333E8">
              <w:rPr>
                <w:rFonts w:cs="Times New Roman"/>
                <w:b w:val="0"/>
                <w:sz w:val="20"/>
                <w:lang w:val="it-IT"/>
              </w:rPr>
              <w:t>3</w:t>
            </w:r>
          </w:p>
        </w:tc>
        <w:tc>
          <w:tcPr>
            <w:tcW w:w="9024" w:type="dxa"/>
            <w:shd w:val="clear" w:color="auto" w:fill="auto"/>
            <w:noWrap/>
            <w:vAlign w:val="center"/>
            <w:hideMark/>
          </w:tcPr>
          <w:p w:rsidR="005B23F8" w:rsidRPr="001A06F4" w:rsidRDefault="005B23F8" w:rsidP="003D0E43">
            <w:pPr>
              <w:spacing w:before="0" w:after="0"/>
              <w:rPr>
                <w:rFonts w:cs="Times New Roman"/>
                <w:b w:val="0"/>
                <w:sz w:val="20"/>
                <w:lang w:val="en-US"/>
              </w:rPr>
            </w:pPr>
            <w:r w:rsidRPr="001A06F4">
              <w:rPr>
                <w:rFonts w:cs="Times New Roman"/>
                <w:b w:val="0"/>
                <w:sz w:val="20"/>
                <w:lang w:val="en-US"/>
              </w:rPr>
              <w:t>Identification of additional protection needed to turn existing MPAs into effective, connected, functioning networks</w:t>
            </w:r>
          </w:p>
        </w:tc>
        <w:tc>
          <w:tcPr>
            <w:tcW w:w="995" w:type="dxa"/>
            <w:vMerge/>
            <w:vAlign w:val="center"/>
            <w:hideMark/>
          </w:tcPr>
          <w:p w:rsidR="005B23F8" w:rsidRPr="001A06F4" w:rsidRDefault="005B23F8" w:rsidP="003D0E43">
            <w:pPr>
              <w:spacing w:before="0" w:after="0"/>
              <w:jc w:val="center"/>
              <w:rPr>
                <w:rFonts w:cs="Times New Roman"/>
                <w:b w:val="0"/>
                <w:sz w:val="20"/>
                <w:lang w:val="en-US"/>
              </w:rPr>
            </w:pPr>
          </w:p>
        </w:tc>
        <w:tc>
          <w:tcPr>
            <w:tcW w:w="866" w:type="dxa"/>
            <w:vMerge/>
            <w:vAlign w:val="center"/>
            <w:hideMark/>
          </w:tcPr>
          <w:p w:rsidR="005B23F8" w:rsidRPr="001A06F4" w:rsidRDefault="005B23F8" w:rsidP="003D0E43">
            <w:pPr>
              <w:spacing w:before="0" w:after="0"/>
              <w:jc w:val="center"/>
              <w:rPr>
                <w:rFonts w:cs="Times New Roman"/>
                <w:b w:val="0"/>
                <w:sz w:val="20"/>
                <w:lang w:val="en-US"/>
              </w:rPr>
            </w:pPr>
          </w:p>
        </w:tc>
      </w:tr>
    </w:tbl>
    <w:p w:rsidR="005B23F8" w:rsidRDefault="005B23F8" w:rsidP="005B23F8">
      <w:pPr>
        <w:spacing w:before="0" w:after="0"/>
        <w:rPr>
          <w:rFonts w:cs="Times New Roman"/>
          <w:b w:val="0"/>
          <w:lang w:val="en-AU"/>
        </w:rPr>
      </w:pPr>
    </w:p>
    <w:p w:rsidR="00A84F7E" w:rsidRDefault="00A84F7E"/>
    <w:sectPr w:rsidR="00A84F7E" w:rsidSect="00C337E1">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BA9"/>
    <w:rsid w:val="005B23F8"/>
    <w:rsid w:val="00607BA9"/>
    <w:rsid w:val="00A84F7E"/>
    <w:rsid w:val="00C337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9C4B"/>
  <w15:chartTrackingRefBased/>
  <w15:docId w15:val="{219AC66B-4C09-48C3-8F95-42A171284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07BA9"/>
    <w:pPr>
      <w:spacing w:before="240" w:after="240" w:line="240" w:lineRule="auto"/>
      <w:jc w:val="both"/>
    </w:pPr>
    <w:rPr>
      <w:rFonts w:ascii="Times New Roman" w:hAnsi="Times New Roman" w:cstheme="majorBidi"/>
      <w:b/>
      <w:sz w:val="24"/>
      <w:szCs w:val="28"/>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nhideWhenUsed/>
    <w:qFormat/>
    <w:rsid w:val="005B23F8"/>
    <w:pPr>
      <w:jc w:val="left"/>
    </w:pPr>
    <w:rPr>
      <w:b w:val="0"/>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2089</Words>
  <Characters>11910</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2</cp:revision>
  <dcterms:created xsi:type="dcterms:W3CDTF">2022-12-21T12:28:00Z</dcterms:created>
  <dcterms:modified xsi:type="dcterms:W3CDTF">2022-12-21T12:28:00Z</dcterms:modified>
</cp:coreProperties>
</file>