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DE5" w:rsidRPr="007333E8" w:rsidRDefault="005F5DE5" w:rsidP="005F5DE5">
      <w:pPr>
        <w:pStyle w:val="Titolo1"/>
        <w:rPr>
          <w:lang w:val="it-IT"/>
        </w:rPr>
      </w:pPr>
      <w:r>
        <w:rPr>
          <w:lang w:val="it-IT"/>
        </w:rPr>
        <w:t>Supplementary in</w:t>
      </w:r>
      <w:bookmarkStart w:id="0" w:name="_GoBack"/>
      <w:bookmarkEnd w:id="0"/>
      <w:r>
        <w:rPr>
          <w:lang w:val="it-IT"/>
        </w:rPr>
        <w:t>formation – Online Resource 1</w:t>
      </w:r>
    </w:p>
    <w:p w:rsidR="005F5DE5" w:rsidRDefault="005F5DE5" w:rsidP="005F5DE5">
      <w:pPr>
        <w:rPr>
          <w:rFonts w:cs="Times New Roman"/>
          <w:b w:val="0"/>
          <w:lang w:val="en-US"/>
        </w:rPr>
      </w:pPr>
      <w:r w:rsidRPr="00D95811">
        <w:rPr>
          <w:rFonts w:cs="Times New Roman"/>
          <w:b w:val="0"/>
          <w:lang w:val="en-US"/>
        </w:rPr>
        <w:t>Final selection of the articles composing the literature review:</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Agius, Karl, e Michael Briguglio. </w:t>
      </w:r>
      <w:r w:rsidRPr="00922C27">
        <w:rPr>
          <w:rFonts w:cs="Times New Roman"/>
          <w:b w:val="0"/>
          <w:szCs w:val="24"/>
        </w:rPr>
        <w:t xml:space="preserve">«Mitigating Seasonality Patterns in an Archipelago: The Role of Ecotourism». </w:t>
      </w:r>
      <w:r w:rsidRPr="00922C27">
        <w:rPr>
          <w:rFonts w:cs="Times New Roman"/>
          <w:b w:val="0"/>
          <w:i/>
          <w:iCs/>
          <w:szCs w:val="24"/>
        </w:rPr>
        <w:t>Maritime Studies: MAST</w:t>
      </w:r>
      <w:r w:rsidRPr="00922C27">
        <w:rPr>
          <w:rFonts w:cs="Times New Roman"/>
          <w:b w:val="0"/>
          <w:szCs w:val="24"/>
        </w:rPr>
        <w:t xml:space="preserve"> 20, fasc. 4 (2021): 409–21. https://doi.org/10.1007/s40152-021-00238-x.</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Ahmad Kamil, Khairunnisa, Atakelty Hailu, Abbie Rogers, e Ram Pandit. «An Assessment of Marine Protected Areas as a Marine Management Strategy in Southeast Asia: A Literature Review». </w:t>
      </w:r>
      <w:r w:rsidRPr="00922C27">
        <w:rPr>
          <w:rFonts w:cs="Times New Roman"/>
          <w:b w:val="0"/>
          <w:i/>
          <w:iCs/>
          <w:szCs w:val="24"/>
        </w:rPr>
        <w:t>Ocean &amp; Coastal Management</w:t>
      </w:r>
      <w:r w:rsidRPr="00922C27">
        <w:rPr>
          <w:rFonts w:cs="Times New Roman"/>
          <w:b w:val="0"/>
          <w:szCs w:val="24"/>
        </w:rPr>
        <w:t xml:space="preserve"> 145 (1 agosto 2017): 72–81. https://doi.org/10.1016/j.ocecoaman.2017.05.008.</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Alexander, Steven M., Graham Epstein, Örjan Bodin, Derek Armitage, e Donovan Campbell. «Participation in Planning and Social Networks Increase Social Monitoring in Community-Based Conservation». </w:t>
      </w:r>
      <w:r w:rsidRPr="00922C27">
        <w:rPr>
          <w:rFonts w:cs="Times New Roman"/>
          <w:b w:val="0"/>
          <w:i/>
          <w:iCs/>
          <w:szCs w:val="24"/>
        </w:rPr>
        <w:t>Conservation Letters</w:t>
      </w:r>
      <w:r w:rsidRPr="00922C27">
        <w:rPr>
          <w:rFonts w:cs="Times New Roman"/>
          <w:b w:val="0"/>
          <w:szCs w:val="24"/>
        </w:rPr>
        <w:t xml:space="preserve"> 11, fasc. 5 (2018). http://urn.kb.se/resolve?urn=urn:nbn:se:su:diva-162042.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Arceo, Hazel O., Bertrand Cazalet, Porfirio M. Aliño, Luisa Mangialajo, e Patrice Francour. </w:t>
      </w:r>
      <w:r w:rsidRPr="00922C27">
        <w:rPr>
          <w:rFonts w:cs="Times New Roman"/>
          <w:b w:val="0"/>
          <w:szCs w:val="24"/>
        </w:rPr>
        <w:t xml:space="preserve">«Moving beyond a Top-down Fisheries Management Approach in the Northwestern Mediterranean: Some Lessons from the Philippines». </w:t>
      </w:r>
      <w:r w:rsidRPr="00922C27">
        <w:rPr>
          <w:rFonts w:cs="Times New Roman"/>
          <w:b w:val="0"/>
          <w:i/>
          <w:iCs/>
          <w:szCs w:val="24"/>
        </w:rPr>
        <w:t>Marine Policy</w:t>
      </w:r>
      <w:r w:rsidRPr="00922C27">
        <w:rPr>
          <w:rFonts w:cs="Times New Roman"/>
          <w:b w:val="0"/>
          <w:szCs w:val="24"/>
        </w:rPr>
        <w:t xml:space="preserve"> 39, fasc. C (2013): 29–42.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Arias, Adrian, Joshua E. Cinner, Rhondda E. Jones, e Robert L. Pressey. «Levels and Drivers of Fishers’ Compliance with Marine Protected Areas». </w:t>
      </w:r>
      <w:r w:rsidRPr="00922C27">
        <w:rPr>
          <w:rFonts w:cs="Times New Roman"/>
          <w:b w:val="0"/>
          <w:i/>
          <w:iCs/>
          <w:szCs w:val="24"/>
        </w:rPr>
        <w:t>Ecology and Society</w:t>
      </w:r>
      <w:r w:rsidRPr="00922C27">
        <w:rPr>
          <w:rFonts w:cs="Times New Roman"/>
          <w:b w:val="0"/>
          <w:szCs w:val="24"/>
        </w:rPr>
        <w:t xml:space="preserve"> 20, fasc. 4 (1 dicembre 2015): 19. https://doi.org/10.5751/ES-07999-200419.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Arias, Adrian, e Stephen Sutton. «Understanding Recreational Fishers’ Compliance with No-Take Zones in the Great Barrier Reef Marine Park». </w:t>
      </w:r>
      <w:r w:rsidRPr="00922C27">
        <w:rPr>
          <w:rFonts w:cs="Times New Roman"/>
          <w:b w:val="0"/>
          <w:i/>
          <w:iCs/>
          <w:szCs w:val="24"/>
        </w:rPr>
        <w:t>Ecology and Society</w:t>
      </w:r>
      <w:r w:rsidRPr="00922C27">
        <w:rPr>
          <w:rFonts w:cs="Times New Roman"/>
          <w:b w:val="0"/>
          <w:szCs w:val="24"/>
        </w:rPr>
        <w:t xml:space="preserve"> 18, fasc. 4 (30 ottobre 2013). https://doi.org/10.5751/ES-05872-180418.</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Ayer, Austin, Stuart Fulton, Jacobo Alejandro Caamal-Madrigal, e Alejandro Espinoza-Tenorio. </w:t>
      </w:r>
      <w:r w:rsidRPr="00922C27">
        <w:rPr>
          <w:rFonts w:cs="Times New Roman"/>
          <w:b w:val="0"/>
          <w:szCs w:val="24"/>
        </w:rPr>
        <w:t xml:space="preserve">«Halfway to Sustainability: Management Lessons from Community-Based, Marine No-Take Zones in the Mexican Caribbean». </w:t>
      </w:r>
      <w:r w:rsidRPr="00922C27">
        <w:rPr>
          <w:rFonts w:cs="Times New Roman"/>
          <w:b w:val="0"/>
          <w:i/>
          <w:iCs/>
          <w:szCs w:val="24"/>
        </w:rPr>
        <w:t>Marine Policy</w:t>
      </w:r>
      <w:r w:rsidRPr="00922C27">
        <w:rPr>
          <w:rFonts w:cs="Times New Roman"/>
          <w:b w:val="0"/>
          <w:szCs w:val="24"/>
        </w:rPr>
        <w:t xml:space="preserve"> 93 (1 luglio 2018): 22–30. https://doi.org/10.1016/j.marpol.2018.03.008.</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Ban, Natalie C, Katrina Kushneryk, Jenna Falk, Alanna Vachon, e Laurel Sleigh. «Improving compliance of recreational fishers with Rockfish Conservation Areas: community–academic partnership to achieve and evaluate conservation». </w:t>
      </w:r>
      <w:r w:rsidRPr="00922C27">
        <w:rPr>
          <w:rFonts w:cs="Times New Roman"/>
          <w:b w:val="0"/>
          <w:i/>
          <w:iCs/>
          <w:szCs w:val="24"/>
        </w:rPr>
        <w:t>ICES Journal of Marine Science</w:t>
      </w:r>
      <w:r w:rsidRPr="00922C27">
        <w:rPr>
          <w:rFonts w:cs="Times New Roman"/>
          <w:b w:val="0"/>
          <w:szCs w:val="24"/>
        </w:rPr>
        <w:t xml:space="preserve"> 77, fasc. 6 (1 novembre 2020): 2308–18. https://doi.org/10.1093/icesjms/fsz134.</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Batista, Marisa I., e Henrique N. Cabral. </w:t>
      </w:r>
      <w:r w:rsidRPr="00922C27">
        <w:rPr>
          <w:rFonts w:cs="Times New Roman"/>
          <w:b w:val="0"/>
          <w:szCs w:val="24"/>
        </w:rPr>
        <w:t xml:space="preserve">«An Overview of Marine Protected Areas in SW Europe: Factors Contributing to Their Management Effectiveness». </w:t>
      </w:r>
      <w:r w:rsidRPr="00922C27">
        <w:rPr>
          <w:rFonts w:cs="Times New Roman"/>
          <w:b w:val="0"/>
          <w:i/>
          <w:iCs/>
          <w:szCs w:val="24"/>
        </w:rPr>
        <w:t>Ocean &amp; Coastal Management</w:t>
      </w:r>
      <w:r w:rsidRPr="00922C27">
        <w:rPr>
          <w:rFonts w:cs="Times New Roman"/>
          <w:b w:val="0"/>
          <w:szCs w:val="24"/>
        </w:rPr>
        <w:t xml:space="preserve"> 132 (1 novembre 2016): 15–23. https://doi.org/10.1016/j.ocecoaman.2016.07.005.</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Beger, Maria, Alastair R. Harborne, Terence P. Dacles, Jean-Luc Solandt, e Gerardo L. Ledesma. «A Framework of Lessons Learned from Community-Based Marine Reserves and Its Effectiveness in Guiding a New Coastal Management Initiative in the Philippines». </w:t>
      </w:r>
      <w:r w:rsidRPr="00922C27">
        <w:rPr>
          <w:rFonts w:cs="Times New Roman"/>
          <w:b w:val="0"/>
          <w:i/>
          <w:iCs/>
          <w:szCs w:val="24"/>
        </w:rPr>
        <w:t>Environmental Management</w:t>
      </w:r>
      <w:r w:rsidRPr="00922C27">
        <w:rPr>
          <w:rFonts w:cs="Times New Roman"/>
          <w:b w:val="0"/>
          <w:szCs w:val="24"/>
        </w:rPr>
        <w:t xml:space="preserve"> 34, fasc. 6 (dicembre 2004): 786–801. https://doi.org/10.1007/s00267-004-0149-z.</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Bergseth, Brock J., Georgina G. Gurney, Michele L. Barnes, Adrian Arias, e Joshua E. Cinner. «Addressing Poaching in Marine Protected Areas through Voluntary Surveillance and Enforcement». </w:t>
      </w:r>
      <w:r w:rsidRPr="00922C27">
        <w:rPr>
          <w:rFonts w:cs="Times New Roman"/>
          <w:b w:val="0"/>
          <w:i/>
          <w:iCs/>
          <w:szCs w:val="24"/>
        </w:rPr>
        <w:t>Nature Sustainability</w:t>
      </w:r>
      <w:r w:rsidRPr="00922C27">
        <w:rPr>
          <w:rFonts w:cs="Times New Roman"/>
          <w:b w:val="0"/>
          <w:szCs w:val="24"/>
        </w:rPr>
        <w:t xml:space="preserve"> 1, fasc. 8 (agosto 2018): 421–26. </w:t>
      </w:r>
      <w:r w:rsidRPr="00922C27">
        <w:rPr>
          <w:rFonts w:cs="Times New Roman"/>
          <w:b w:val="0"/>
          <w:szCs w:val="24"/>
        </w:rPr>
        <w:lastRenderedPageBreak/>
        <w:t>https://doi.org/10.1038/s41893-018-0117-x.</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Bohorquez, John J., Anthony Dvarskas, Jennifer Jacquet, U. Rashid Sumaila, Janet Nye, e Ellen K. Pikitch. «A New Tool to Evaluate, Improve, and Sustain Marine Protected Area Financing Built on a Comprehensive Review of Finance Sources and Instruments». </w:t>
      </w:r>
      <w:r w:rsidRPr="00922C27">
        <w:rPr>
          <w:rFonts w:cs="Times New Roman"/>
          <w:b w:val="0"/>
          <w:i/>
          <w:iCs/>
          <w:szCs w:val="24"/>
        </w:rPr>
        <w:t>Frontiers in Marine Science</w:t>
      </w:r>
      <w:r w:rsidRPr="00922C27">
        <w:rPr>
          <w:rFonts w:cs="Times New Roman"/>
          <w:b w:val="0"/>
          <w:szCs w:val="24"/>
        </w:rPr>
        <w:t xml:space="preserve"> 8 (2022). https://www.frontiersin.org/articles/10.3389/fmars.2021.742846.</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Bottema, Mariska J. M., e Simon R. Bush. </w:t>
      </w:r>
      <w:r w:rsidRPr="00922C27">
        <w:rPr>
          <w:rFonts w:cs="Times New Roman"/>
          <w:b w:val="0"/>
          <w:szCs w:val="24"/>
        </w:rPr>
        <w:t xml:space="preserve">«The Durability of Private Sector-Led Marine Conservation: A Case Study of Two Entrepreneurial Marine Protected Areas in Indonesia». </w:t>
      </w:r>
      <w:r w:rsidRPr="00922C27">
        <w:rPr>
          <w:rFonts w:cs="Times New Roman"/>
          <w:b w:val="0"/>
          <w:i/>
          <w:iCs/>
          <w:szCs w:val="24"/>
        </w:rPr>
        <w:t>Ocean &amp; Coastal Management</w:t>
      </w:r>
      <w:r w:rsidRPr="00922C27">
        <w:rPr>
          <w:rFonts w:cs="Times New Roman"/>
          <w:b w:val="0"/>
          <w:szCs w:val="24"/>
        </w:rPr>
        <w:t xml:space="preserve"> 61 (1 giugno 2012): 38–48. https://doi.org/10.1016/j.ocecoaman.2012.01.004.</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Camacho, Ruleo, e Robert Steneck. </w:t>
      </w:r>
      <w:r w:rsidRPr="00922C27">
        <w:rPr>
          <w:rFonts w:cs="Times New Roman"/>
          <w:b w:val="0"/>
          <w:i/>
          <w:iCs/>
          <w:szCs w:val="24"/>
        </w:rPr>
        <w:t>Creating a TURF from the bottom-up: Antigua’s community-based coral reef no-take reserve</w:t>
      </w:r>
      <w:r w:rsidRPr="00922C27">
        <w:rPr>
          <w:rFonts w:cs="Times New Roman"/>
          <w:b w:val="0"/>
          <w:szCs w:val="24"/>
        </w:rPr>
        <w:t xml:space="preserve">. </w:t>
      </w:r>
      <w:r w:rsidRPr="00922C27">
        <w:rPr>
          <w:rFonts w:cs="Times New Roman"/>
          <w:b w:val="0"/>
          <w:i/>
          <w:iCs/>
          <w:szCs w:val="24"/>
        </w:rPr>
        <w:t>Bulletin of Marine Science</w:t>
      </w:r>
      <w:r w:rsidRPr="00922C27">
        <w:rPr>
          <w:rFonts w:cs="Times New Roman"/>
          <w:b w:val="0"/>
          <w:szCs w:val="24"/>
        </w:rPr>
        <w:t>. Vol. 93, 2017. https://doi.org/10.5343/bms.2015.1096.</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Casola, William R., Mike Rehnberg, M. Nils Peterson, Kristen Blake, Tyana Thorne, e R. Brian Langerhans. «Drivers of Long-Term Support for Marine Protected Areas in The Bahamas». </w:t>
      </w:r>
      <w:r w:rsidRPr="00922C27">
        <w:rPr>
          <w:rFonts w:cs="Times New Roman"/>
          <w:b w:val="0"/>
          <w:i/>
          <w:iCs/>
          <w:szCs w:val="24"/>
        </w:rPr>
        <w:t>Ocean &amp; Coastal Management</w:t>
      </w:r>
      <w:r w:rsidRPr="00922C27">
        <w:rPr>
          <w:rFonts w:cs="Times New Roman"/>
          <w:b w:val="0"/>
          <w:szCs w:val="24"/>
        </w:rPr>
        <w:t xml:space="preserve"> 217 (15 febbraio 2022): 106000. https://doi.org/10.1016/j.ocecoaman.2021.106000.</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Chen, Jyun-Long, Yu-Sheng Lin, e Ching-Ta Chuang. «Improving the Management of Taiwanese Fishery Resource Conservation Zones Based on Public Perceptions and Willingness to Pay for Ecosystem Services». </w:t>
      </w:r>
      <w:r w:rsidRPr="00922C27">
        <w:rPr>
          <w:rFonts w:cs="Times New Roman"/>
          <w:b w:val="0"/>
          <w:i/>
          <w:iCs/>
          <w:szCs w:val="24"/>
        </w:rPr>
        <w:t>Journal of Coastal Conservation</w:t>
      </w:r>
      <w:r w:rsidRPr="00922C27">
        <w:rPr>
          <w:rFonts w:cs="Times New Roman"/>
          <w:b w:val="0"/>
          <w:szCs w:val="24"/>
        </w:rPr>
        <w:t xml:space="preserve"> 22, fasc. 2 (1 aprile 2018): 385–98. https://doi.org/10.1007/s11852-017-0586-5.</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Cockerell, Lucy M., e Peter J. S. Jones. «Governance Analysis of St Anne Marine National Park, Seychelles». </w:t>
      </w:r>
      <w:r w:rsidRPr="00922C27">
        <w:rPr>
          <w:rFonts w:cs="Times New Roman"/>
          <w:b w:val="0"/>
          <w:i/>
          <w:iCs/>
          <w:szCs w:val="24"/>
        </w:rPr>
        <w:t>Marine Policy</w:t>
      </w:r>
      <w:r w:rsidRPr="00922C27">
        <w:rPr>
          <w:rFonts w:cs="Times New Roman"/>
          <w:b w:val="0"/>
          <w:szCs w:val="24"/>
        </w:rPr>
        <w:t xml:space="preserve"> 127 (1 maggio 2021): 103912. https://doi.org/10.1016/j.marpol.2020.103912.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Dalton, Tracey, Graham Forrester, e Richard Pollnac. «Are Caribbean MPAs Making Progress toward Their Goals and Objectives?» </w:t>
      </w:r>
      <w:r w:rsidRPr="00922C27">
        <w:rPr>
          <w:rFonts w:cs="Times New Roman"/>
          <w:b w:val="0"/>
          <w:i/>
          <w:iCs/>
          <w:szCs w:val="24"/>
        </w:rPr>
        <w:t>Marine Policy</w:t>
      </w:r>
      <w:r w:rsidRPr="00922C27">
        <w:rPr>
          <w:rFonts w:cs="Times New Roman"/>
          <w:b w:val="0"/>
          <w:szCs w:val="24"/>
        </w:rPr>
        <w:t xml:space="preserve"> 54 (1 aprile 2015): 69–76. https://doi.org/10.1016/j.marpol.2014.12.009.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D’Anna, Giovanni, Tomás Vega Fernández, Carlo Pipitone, Germana Garofalo, e Fabio Badalamenti. </w:t>
      </w:r>
      <w:r w:rsidRPr="00922C27">
        <w:rPr>
          <w:rFonts w:cs="Times New Roman"/>
          <w:b w:val="0"/>
          <w:szCs w:val="24"/>
        </w:rPr>
        <w:t xml:space="preserve">«Governance Analysis in the Egadi Islands Marine Protected Area: A Mediterranean Case Study». </w:t>
      </w:r>
      <w:r w:rsidRPr="00922C27">
        <w:rPr>
          <w:rFonts w:cs="Times New Roman"/>
          <w:b w:val="0"/>
          <w:i/>
          <w:iCs/>
          <w:szCs w:val="24"/>
        </w:rPr>
        <w:t>Marine Policy</w:t>
      </w:r>
      <w:r w:rsidRPr="00922C27">
        <w:rPr>
          <w:rFonts w:cs="Times New Roman"/>
          <w:b w:val="0"/>
          <w:szCs w:val="24"/>
        </w:rPr>
        <w:t xml:space="preserve"> 71 (1 settembre 2016): 301–9. https://doi.org/10.1016/j.marpol.2015.12.009.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Depondt, Florence, e Edmund Green. «Diving User Fees and the Financial Sustainability of Marine Protected Areas: Opportunities and Impediments». </w:t>
      </w:r>
      <w:r w:rsidRPr="00922C27">
        <w:rPr>
          <w:rFonts w:cs="Times New Roman"/>
          <w:b w:val="0"/>
          <w:i/>
          <w:iCs/>
          <w:szCs w:val="24"/>
        </w:rPr>
        <w:t>Ocean &amp; Coastal Management</w:t>
      </w:r>
      <w:r w:rsidRPr="00922C27">
        <w:rPr>
          <w:rFonts w:cs="Times New Roman"/>
          <w:b w:val="0"/>
          <w:szCs w:val="24"/>
        </w:rPr>
        <w:t xml:space="preserve"> 49, fasc. 3 (1 gennaio 2006): 188–202. https://doi.org/10.1016/j.ocecoaman.2006.02.003.</w:t>
      </w:r>
    </w:p>
    <w:p w:rsidR="005F5DE5" w:rsidRPr="000E077F"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Di Franco, Antonio, Pierre Thiriet, Giuseppe Di Carlo, Charalampos Dimitriadis, Patrice Francour, Nicolas L. Gutiérrez, Alain Jeudy de Grissac, Drosos Koutsoubas, Marco Milazzo, María del Mar Otero, Catherine Piante, Jeremiah Plass-Johnson, Susana Sainz-Trapaga, Luca Santarossa, Sergi Tudela, and P. Guidetti. </w:t>
      </w:r>
      <w:r w:rsidRPr="000E077F">
        <w:rPr>
          <w:rFonts w:cs="Times New Roman"/>
          <w:b w:val="0"/>
          <w:szCs w:val="24"/>
        </w:rPr>
        <w:t xml:space="preserve">2016. “Five Key Attributes Can Increase Marine Protected Areas Performance for Small-Scale Fisheries Management.” </w:t>
      </w:r>
      <w:r w:rsidRPr="000E077F">
        <w:rPr>
          <w:rFonts w:cs="Times New Roman"/>
          <w:b w:val="0"/>
          <w:i/>
          <w:iCs/>
          <w:szCs w:val="24"/>
        </w:rPr>
        <w:t>Scientific Reports</w:t>
      </w:r>
      <w:r w:rsidRPr="000E077F">
        <w:rPr>
          <w:rFonts w:cs="Times New Roman"/>
          <w:b w:val="0"/>
          <w:szCs w:val="24"/>
        </w:rPr>
        <w:t xml:space="preserve"> 6 (1): 38135. https://doi.org/10.1038/srep38135.</w:t>
      </w:r>
    </w:p>
    <w:p w:rsidR="005F5DE5" w:rsidRPr="000E077F"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0E077F">
        <w:rPr>
          <w:rFonts w:cs="Times New Roman"/>
          <w:b w:val="0"/>
          <w:szCs w:val="24"/>
        </w:rPr>
        <w:t xml:space="preserve">Edgar, Graham J., Rick D. Stuart-Smith, Trevor J. Willis, Stuart Kininmonth, Susan C. Baker, Stuart Banks, Neville S. Barrett, Mikel A Becerro, Anthony T F Bernard, Just Berkhout, Colin D Buxton, Stuart J Campbell, Antonia T Cooper, Marlene Davey, Sophie C Edgar, Günter Försterra, David E Galván, Alejo J Irigoyen, David J Kushner, Rodrigo Moura, P Ed Parnell, Nick T Shears, German Soler, Elisabeth M A Strain, and RJ </w:t>
      </w:r>
      <w:r w:rsidRPr="000E077F">
        <w:rPr>
          <w:rFonts w:cs="Times New Roman"/>
          <w:b w:val="0"/>
          <w:szCs w:val="24"/>
        </w:rPr>
        <w:lastRenderedPageBreak/>
        <w:t xml:space="preserve">Thomson. 2014. “Global Conservation Outcomes Depend on Marine Protected Areas with Five Key Features.” </w:t>
      </w:r>
      <w:r w:rsidRPr="000E077F">
        <w:rPr>
          <w:rFonts w:cs="Times New Roman"/>
          <w:b w:val="0"/>
          <w:i/>
          <w:iCs/>
          <w:szCs w:val="24"/>
        </w:rPr>
        <w:t>Nature</w:t>
      </w:r>
      <w:r w:rsidRPr="000E077F">
        <w:rPr>
          <w:rFonts w:cs="Times New Roman"/>
          <w:b w:val="0"/>
          <w:szCs w:val="24"/>
        </w:rPr>
        <w:t xml:space="preserve"> 506 (7487): 216–20. https://doi.org/10.1038/nature13022.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Fernández-Vidal, Duarte, e Ramón Muiño. </w:t>
      </w:r>
      <w:r w:rsidRPr="00922C27">
        <w:rPr>
          <w:rFonts w:cs="Times New Roman"/>
          <w:b w:val="0"/>
          <w:szCs w:val="24"/>
        </w:rPr>
        <w:t xml:space="preserve">«Fact or Fiction? Assessing Governance and Co-Management of Marine Reserves of Fishing Interest in Cedeira and Lira (NW Spain)». </w:t>
      </w:r>
      <w:r w:rsidRPr="00922C27">
        <w:rPr>
          <w:rFonts w:cs="Times New Roman"/>
          <w:b w:val="0"/>
          <w:i/>
          <w:iCs/>
          <w:szCs w:val="24"/>
        </w:rPr>
        <w:t>Marine Policy</w:t>
      </w:r>
      <w:r w:rsidRPr="00922C27">
        <w:rPr>
          <w:rFonts w:cs="Times New Roman"/>
          <w:b w:val="0"/>
          <w:szCs w:val="24"/>
        </w:rPr>
        <w:t xml:space="preserve"> 47 (1 luglio 2014): 15–22. https://doi.org/10.1016/j.marpol.2014.01.016.</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Ferreira, Harildon M., Rafael A. Magris, Sergio R. Floeter, e Carlos E.L. Ferreira. </w:t>
      </w:r>
      <w:r w:rsidRPr="00922C27">
        <w:rPr>
          <w:rFonts w:cs="Times New Roman"/>
          <w:b w:val="0"/>
          <w:szCs w:val="24"/>
        </w:rPr>
        <w:t xml:space="preserve">«Drivers of Ecological Effectiveness of Marine Protected Areas: A Meta-Analytic Approach from the Southwestern Atlantic Ocean (Brazil)». </w:t>
      </w:r>
      <w:r w:rsidRPr="00922C27">
        <w:rPr>
          <w:rFonts w:cs="Times New Roman"/>
          <w:b w:val="0"/>
          <w:i/>
          <w:iCs/>
          <w:szCs w:val="24"/>
        </w:rPr>
        <w:t>Journal of Environmental Management</w:t>
      </w:r>
      <w:r w:rsidRPr="00922C27">
        <w:rPr>
          <w:rFonts w:cs="Times New Roman"/>
          <w:b w:val="0"/>
          <w:szCs w:val="24"/>
        </w:rPr>
        <w:t xml:space="preserve"> 301 (gennaio 2022): 113889. https://doi.org/10.1016/j.jenvman.2021.113889.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Fleming, D. M., e P. J. S. Jones. «Challenges to Achieving Greater and Fairer Stakeholder Involvement in Marine Spatial Planning as Illustrated by the Lyme Bay Scallop Dredging Closure». </w:t>
      </w:r>
      <w:r w:rsidRPr="00922C27">
        <w:rPr>
          <w:rFonts w:cs="Times New Roman"/>
          <w:b w:val="0"/>
          <w:i/>
          <w:iCs/>
          <w:szCs w:val="24"/>
        </w:rPr>
        <w:t>Marine Policy</w:t>
      </w:r>
      <w:r w:rsidRPr="00922C27">
        <w:rPr>
          <w:rFonts w:cs="Times New Roman"/>
          <w:b w:val="0"/>
          <w:szCs w:val="24"/>
        </w:rPr>
        <w:t xml:space="preserve"> 36, fasc. 2 (1 marzo 2012): 370–77. https://doi.org/10.1016/j.marpol.2011.07.006.</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Gallacher, J., N. Simmonds, H. Fellowes, N. Brown, N. Gill, W. Clark, C. Biggs, e L. D. Rodwell. «Evaluating the Success of a Marine Protected Area: A Systematic Review Approach». </w:t>
      </w:r>
      <w:r w:rsidRPr="00922C27">
        <w:rPr>
          <w:rFonts w:cs="Times New Roman"/>
          <w:b w:val="0"/>
          <w:i/>
          <w:iCs/>
          <w:szCs w:val="24"/>
        </w:rPr>
        <w:t>Journal of Environmental Management</w:t>
      </w:r>
      <w:r w:rsidRPr="00922C27">
        <w:rPr>
          <w:rFonts w:cs="Times New Roman"/>
          <w:b w:val="0"/>
          <w:szCs w:val="24"/>
        </w:rPr>
        <w:t xml:space="preserve"> 183 (1 dicembre 2016): 280–93. https://doi.org/10.1016/j.jenvman.2016.08.029.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Garces, Len R., Michael D. Pido, Mark H. Tupper, e Geronimo T. Silvestre. </w:t>
      </w:r>
      <w:r w:rsidRPr="00922C27">
        <w:rPr>
          <w:rFonts w:cs="Times New Roman"/>
          <w:b w:val="0"/>
          <w:szCs w:val="24"/>
        </w:rPr>
        <w:t xml:space="preserve">«Evaluating the Management Effectiveness of Three Marine Protected Areas in the Calamianes Islands, Palawan Province, Philippines: Process, Selected Results and Their Implications for Planning and Management». </w:t>
      </w:r>
      <w:r w:rsidRPr="00922C27">
        <w:rPr>
          <w:rFonts w:cs="Times New Roman"/>
          <w:b w:val="0"/>
          <w:i/>
          <w:iCs/>
          <w:szCs w:val="24"/>
        </w:rPr>
        <w:t>Ocean &amp; Coastal Management</w:t>
      </w:r>
      <w:r w:rsidRPr="00922C27">
        <w:rPr>
          <w:rFonts w:cs="Times New Roman"/>
          <w:b w:val="0"/>
          <w:szCs w:val="24"/>
        </w:rPr>
        <w:t>, Special Issue: Advancing Ecosystem Based Management, 81 (1 settembre 2013): 49–57. https://doi.org/10.1016/j.ocecoaman.2012.07.014.</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Gelcich, Stefan, e C. Josh Donlan. «Incentivizing Biodiversity Conservation in Artisanal Fishing Communities through Territorial User Rights and Business Model Innovation». </w:t>
      </w:r>
      <w:r w:rsidRPr="00922C27">
        <w:rPr>
          <w:rFonts w:cs="Times New Roman"/>
          <w:b w:val="0"/>
          <w:i/>
          <w:iCs/>
          <w:szCs w:val="24"/>
        </w:rPr>
        <w:t>Conservation Biology: The Journal of the Society for Conservation Biology</w:t>
      </w:r>
      <w:r w:rsidRPr="00922C27">
        <w:rPr>
          <w:rFonts w:cs="Times New Roman"/>
          <w:b w:val="0"/>
          <w:szCs w:val="24"/>
        </w:rPr>
        <w:t xml:space="preserve"> 29, fasc. 4 (agosto 2015): 1076–85. https://doi.org/10.1111/cobi.12477.</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Gelcich, Stefan, Michel J. Kaiser, Juan Carlos Castilla, e Gareth Edwards-Jones. «Engagement in Co-Management of Marine Benthic Resources Influences Environmental Perceptions of Artisanal Fishers». </w:t>
      </w:r>
      <w:r w:rsidRPr="00922C27">
        <w:rPr>
          <w:rFonts w:cs="Times New Roman"/>
          <w:b w:val="0"/>
          <w:i/>
          <w:iCs/>
          <w:szCs w:val="24"/>
        </w:rPr>
        <w:t>Environmental Conservation</w:t>
      </w:r>
      <w:r w:rsidRPr="00922C27">
        <w:rPr>
          <w:rFonts w:cs="Times New Roman"/>
          <w:b w:val="0"/>
          <w:szCs w:val="24"/>
        </w:rPr>
        <w:t xml:space="preserve"> 35, fasc. 1 (marzo 2008): 36–45. https://doi.org/10.1017/S0376892908004475.</w:t>
      </w:r>
    </w:p>
    <w:p w:rsidR="005F5DE5" w:rsidRPr="000E077F"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0E077F">
        <w:rPr>
          <w:rFonts w:cs="Times New Roman"/>
          <w:b w:val="0"/>
          <w:szCs w:val="24"/>
        </w:rPr>
        <w:t xml:space="preserve">Gill, David A., Michael B. Mascia, Gabby N. Ahmadia, Louise Glew, Sarah E. Lester, Megan Barnes, Ian Craigie, Emily S. Darling, Christopher M. Free, Jonas Geldmann, Susie Holst, Olaf P. Jensen, Alan T. White, Xavier Basurto, Lauren Coad, Ruth D. Gates, Greg Guannel, Peter J. Mumby, Hannah Thomas, Sarah Whitmee, Stephen Woodley, and H. E. Fox. 2017. “Capacity Shortfalls Hinder the Performance of Marine Protected Areas Globally.” </w:t>
      </w:r>
      <w:r w:rsidRPr="000E077F">
        <w:rPr>
          <w:rFonts w:cs="Times New Roman"/>
          <w:b w:val="0"/>
          <w:i/>
          <w:iCs/>
          <w:szCs w:val="24"/>
        </w:rPr>
        <w:t>Nature</w:t>
      </w:r>
      <w:r w:rsidRPr="000E077F">
        <w:rPr>
          <w:rFonts w:cs="Times New Roman"/>
          <w:b w:val="0"/>
          <w:szCs w:val="24"/>
        </w:rPr>
        <w:t xml:space="preserve"> 543 (7647): 665–69. https://doi.org/10.1038/nature21708.</w:t>
      </w:r>
    </w:p>
    <w:p w:rsidR="005F5DE5" w:rsidRPr="000E077F"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0E077F">
        <w:rPr>
          <w:rFonts w:cs="Times New Roman"/>
          <w:b w:val="0"/>
          <w:szCs w:val="24"/>
        </w:rPr>
        <w:t xml:space="preserve">Granek, E. F., E. M. P. Madin, M. A. Brown, W. Figueira, D. S. Cameron, Z. Hogan, G. Kristianson, P de Villiers, JE Williams, J Post, Steffen Zahn, and R. Arlinghaus. «Engaging Recreational Fishers in Management and Conservation: Global Case Studies». </w:t>
      </w:r>
      <w:r w:rsidRPr="000E077F">
        <w:rPr>
          <w:rFonts w:cs="Times New Roman"/>
          <w:b w:val="0"/>
          <w:i/>
          <w:iCs/>
          <w:szCs w:val="24"/>
        </w:rPr>
        <w:t>Conservation Biology: The Journal of the Society for Conservation Biology</w:t>
      </w:r>
      <w:r w:rsidRPr="000E077F">
        <w:rPr>
          <w:rFonts w:cs="Times New Roman"/>
          <w:b w:val="0"/>
          <w:szCs w:val="24"/>
        </w:rPr>
        <w:t xml:space="preserve"> 22, fasc. 5 (ottobre 2008): 1125–34. https://doi.org/10.1111/j.1523-1739.2008.00977.x.</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Gravestock, Pippa, Callum M. Roberts, e Alison Bailey. «The Income Requirements of Marine Protected Areas». </w:t>
      </w:r>
      <w:r w:rsidRPr="00922C27">
        <w:rPr>
          <w:rFonts w:cs="Times New Roman"/>
          <w:b w:val="0"/>
          <w:i/>
          <w:iCs/>
          <w:szCs w:val="24"/>
        </w:rPr>
        <w:t>Ocean &amp; Coastal Management</w:t>
      </w:r>
      <w:r w:rsidRPr="00922C27">
        <w:rPr>
          <w:rFonts w:cs="Times New Roman"/>
          <w:b w:val="0"/>
          <w:szCs w:val="24"/>
        </w:rPr>
        <w:t xml:space="preserve"> 51, fasc. 3 (1 gennaio 2008): 272–83. https://doi.org/10.1016/j.ocecoaman.2007.09.004.</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Iacarella, Josephine C., Georgia Clyde, Brock J. Bergseth, e Natalie C. Ban. «A Synthesis </w:t>
      </w:r>
      <w:r w:rsidRPr="00922C27">
        <w:rPr>
          <w:rFonts w:cs="Times New Roman"/>
          <w:b w:val="0"/>
          <w:szCs w:val="24"/>
        </w:rPr>
        <w:lastRenderedPageBreak/>
        <w:t xml:space="preserve">of the Prevalence and Drivers of Non-Compliance in Marine Protected Areas». </w:t>
      </w:r>
      <w:r w:rsidRPr="00922C27">
        <w:rPr>
          <w:rFonts w:cs="Times New Roman"/>
          <w:b w:val="0"/>
          <w:i/>
          <w:iCs/>
          <w:szCs w:val="24"/>
        </w:rPr>
        <w:t>Biological Conservation</w:t>
      </w:r>
      <w:r w:rsidRPr="00922C27">
        <w:rPr>
          <w:rFonts w:cs="Times New Roman"/>
          <w:b w:val="0"/>
          <w:szCs w:val="24"/>
        </w:rPr>
        <w:t xml:space="preserve"> 255 (1 marzo 2021): 108992. https://doi.org/10.1016/j.biocon.2021.108992.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Jones, P. J. S., W. Qiu, e E. M. De Santo. </w:t>
      </w:r>
      <w:r w:rsidRPr="00922C27">
        <w:rPr>
          <w:rFonts w:cs="Times New Roman"/>
          <w:b w:val="0"/>
          <w:szCs w:val="24"/>
        </w:rPr>
        <w:t xml:space="preserve">«Governing Marine Protected Areas: Social–Ecological Resilience through Institutional Diversity». </w:t>
      </w:r>
      <w:r w:rsidRPr="00922C27">
        <w:rPr>
          <w:rFonts w:cs="Times New Roman"/>
          <w:b w:val="0"/>
          <w:i/>
          <w:iCs/>
          <w:szCs w:val="24"/>
        </w:rPr>
        <w:t>Marine Policy</w:t>
      </w:r>
      <w:r w:rsidRPr="00922C27">
        <w:rPr>
          <w:rFonts w:cs="Times New Roman"/>
          <w:b w:val="0"/>
          <w:szCs w:val="24"/>
        </w:rPr>
        <w:t>, Governing marine protected areas: towards social-ecological resilience through institutional diversity, 41 (1 settembre 2013): 5–13. https://doi.org/10.1016/j.marpol.2012.12.026.</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Jones, Peter J. S. «A Governance Analysis of the Galápagos Marine Reserve». </w:t>
      </w:r>
      <w:r w:rsidRPr="00922C27">
        <w:rPr>
          <w:rFonts w:cs="Times New Roman"/>
          <w:b w:val="0"/>
          <w:i/>
          <w:iCs/>
          <w:szCs w:val="24"/>
        </w:rPr>
        <w:t>Marine Policy</w:t>
      </w:r>
      <w:r w:rsidRPr="00922C27">
        <w:rPr>
          <w:rFonts w:cs="Times New Roman"/>
          <w:b w:val="0"/>
          <w:szCs w:val="24"/>
        </w:rPr>
        <w:t xml:space="preserve"> 41, fasc. C (2013): 65–71.</w:t>
      </w:r>
    </w:p>
    <w:p w:rsidR="005F5DE5" w:rsidRPr="00922C27" w:rsidRDefault="005F5DE5" w:rsidP="005F5DE5">
      <w:pPr>
        <w:pStyle w:val="Paragrafoelenco"/>
        <w:numPr>
          <w:ilvl w:val="0"/>
          <w:numId w:val="36"/>
        </w:numPr>
        <w:rPr>
          <w:rFonts w:cs="Times New Roman"/>
          <w:b w:val="0"/>
          <w:szCs w:val="24"/>
        </w:rPr>
      </w:pPr>
      <w:r w:rsidRPr="00922C27">
        <w:rPr>
          <w:rFonts w:cs="Times New Roman"/>
          <w:b w:val="0"/>
          <w:szCs w:val="24"/>
        </w:rPr>
        <w:t>Leverington, F., K.L. Costa, J. Courrau, H. Pavese, C. Nolte, M. Marr, L. Coad, N. Burgess, B. Bomhard and M. Hockings. 2010. Management Effectiveness Evaluation in Protected Areas da Global Study, 2 ed. University of Queensland, Brisbane</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Liao, Chun-Pei, Hsiang-Wen Huang, e Hsueh-Jung Lu. «Fishermen’s Perceptions of Coastal Fisheries Management Regulations: Key Factors to Rebuilding Coastal Fishery Resources in Taiwan». </w:t>
      </w:r>
      <w:r w:rsidRPr="00922C27">
        <w:rPr>
          <w:rFonts w:cs="Times New Roman"/>
          <w:b w:val="0"/>
          <w:i/>
          <w:iCs/>
          <w:szCs w:val="24"/>
        </w:rPr>
        <w:t>Ocean &amp; Coastal Management</w:t>
      </w:r>
      <w:r w:rsidRPr="00922C27">
        <w:rPr>
          <w:rFonts w:cs="Times New Roman"/>
          <w:b w:val="0"/>
          <w:szCs w:val="24"/>
        </w:rPr>
        <w:t xml:space="preserve"> 172 (15 aprile 2019): 1–13. https://doi.org/10.1016/j.ocecoaman.2019.01.015.</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Mangi, Stephen C., e Melanie C. Austen. </w:t>
      </w:r>
      <w:r w:rsidRPr="00922C27">
        <w:rPr>
          <w:rFonts w:cs="Times New Roman"/>
          <w:b w:val="0"/>
          <w:szCs w:val="24"/>
        </w:rPr>
        <w:t xml:space="preserve">«Perceptions of Stakeholders towards Objectives and Zoning of Marine-Protected Areas in Southern Europe». </w:t>
      </w:r>
      <w:r w:rsidRPr="00922C27">
        <w:rPr>
          <w:rFonts w:cs="Times New Roman"/>
          <w:b w:val="0"/>
          <w:i/>
          <w:iCs/>
          <w:szCs w:val="24"/>
        </w:rPr>
        <w:t>Journal for Nature Conservation</w:t>
      </w:r>
      <w:r w:rsidRPr="00922C27">
        <w:rPr>
          <w:rFonts w:cs="Times New Roman"/>
          <w:b w:val="0"/>
          <w:szCs w:val="24"/>
        </w:rPr>
        <w:t>, Special Issue on: European marine protected areas as tools for fisheries management and conservation, 16, fasc. 4 (1 dicembre 2008): 271–80. https://doi.org/10.1016/j.jnc.2008.09.002.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Matera, Jaime. «Livelihood Diversification and Institutional (Dis-)Trust: Artisanal Fishing Communities under Resource Management Programs in Providencia and Santa Catalina, Colombia». </w:t>
      </w:r>
      <w:r w:rsidRPr="00922C27">
        <w:rPr>
          <w:rFonts w:cs="Times New Roman"/>
          <w:b w:val="0"/>
          <w:i/>
          <w:iCs/>
          <w:szCs w:val="24"/>
        </w:rPr>
        <w:t>Marine Policy</w:t>
      </w:r>
      <w:r w:rsidRPr="00922C27">
        <w:rPr>
          <w:rFonts w:cs="Times New Roman"/>
          <w:b w:val="0"/>
          <w:szCs w:val="24"/>
        </w:rPr>
        <w:t xml:space="preserve"> 67 (1 maggio 2016): 22–29. https://doi.org/10.1016/j.marpol.2016.01.021.</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Maya-Jariego, Isidro, Inmaculada Martínez-Alba, e Deniza Alieva. </w:t>
      </w:r>
      <w:r w:rsidRPr="00922C27">
        <w:rPr>
          <w:rFonts w:cs="Times New Roman"/>
          <w:b w:val="0"/>
          <w:szCs w:val="24"/>
        </w:rPr>
        <w:t xml:space="preserve">«“Plenty of Black Money”: Netnography of Illegal Recreational Underwater Fishing in Southern Spain». </w:t>
      </w:r>
      <w:r w:rsidRPr="00922C27">
        <w:rPr>
          <w:rFonts w:cs="Times New Roman"/>
          <w:b w:val="0"/>
          <w:i/>
          <w:iCs/>
          <w:szCs w:val="24"/>
        </w:rPr>
        <w:t>Marine Policy</w:t>
      </w:r>
      <w:r w:rsidRPr="00922C27">
        <w:rPr>
          <w:rFonts w:cs="Times New Roman"/>
          <w:b w:val="0"/>
          <w:szCs w:val="24"/>
        </w:rPr>
        <w:t xml:space="preserve"> 126 (1 aprile 2021): 104411. https://doi.org/10.1016/j.marpol.2021.104411.</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McClanahan, Timothy, Jamie Davies, e Joseph Maina. «Factors influencing resource users and managers’ perceptions towards marine protected area management in Kenya». </w:t>
      </w:r>
      <w:r w:rsidRPr="00922C27">
        <w:rPr>
          <w:rFonts w:cs="Times New Roman"/>
          <w:b w:val="0"/>
          <w:i/>
          <w:iCs/>
          <w:szCs w:val="24"/>
        </w:rPr>
        <w:t>Environmental Conservation</w:t>
      </w:r>
      <w:r w:rsidRPr="00922C27">
        <w:rPr>
          <w:rFonts w:cs="Times New Roman"/>
          <w:b w:val="0"/>
          <w:szCs w:val="24"/>
        </w:rPr>
        <w:t xml:space="preserve"> 32, fasc. 1 (marzo 2005): 42–49. https://doi.org/10.1017/S0376892904001791.</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McNeill, Asha, Julian Clifton, e Euan S. Harvey. «Attitudes to a Marine Protected Area Are Associated with Perceived Social Impacts». </w:t>
      </w:r>
      <w:r w:rsidRPr="00922C27">
        <w:rPr>
          <w:rFonts w:cs="Times New Roman"/>
          <w:b w:val="0"/>
          <w:i/>
          <w:iCs/>
          <w:szCs w:val="24"/>
        </w:rPr>
        <w:t>Marine Policy</w:t>
      </w:r>
      <w:r w:rsidRPr="00922C27">
        <w:rPr>
          <w:rFonts w:cs="Times New Roman"/>
          <w:b w:val="0"/>
          <w:szCs w:val="24"/>
        </w:rPr>
        <w:t xml:space="preserve"> 94 (1 agosto 2018): 106–18. https://doi.org/10.1016/j.marpol.2018.04.020.</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Millage, Katherine D., Juan Carlos Villaseñor-Derbez, Darcy Bradley, Matthew G. Burgess, Hunter S. Lenihan, e Christopher Costello. «Self-Financed Marine Protected Areas». </w:t>
      </w:r>
      <w:r w:rsidRPr="00922C27">
        <w:rPr>
          <w:rFonts w:cs="Times New Roman"/>
          <w:b w:val="0"/>
          <w:i/>
          <w:iCs/>
          <w:szCs w:val="24"/>
        </w:rPr>
        <w:t>Environmental Research Letters</w:t>
      </w:r>
      <w:r w:rsidRPr="00922C27">
        <w:rPr>
          <w:rFonts w:cs="Times New Roman"/>
          <w:b w:val="0"/>
          <w:szCs w:val="24"/>
        </w:rPr>
        <w:t xml:space="preserve"> 16, fasc. 12 (novembre 2021): 125001. https://doi.org/10.1088/1748-9326/ac3439.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Mizrahi, Me’ira, Amy Diedrich, Rebecca Weeks, e Robert L Pressey. «A Systematic Review of the Socioeconomic Factors that Influence How Marine Protected Areas Impact on Ecosystems and Livelihoods». </w:t>
      </w:r>
      <w:r w:rsidRPr="00922C27">
        <w:rPr>
          <w:rFonts w:cs="Times New Roman"/>
          <w:b w:val="0"/>
          <w:i/>
          <w:iCs/>
          <w:szCs w:val="24"/>
        </w:rPr>
        <w:t>Society &amp; Natural Resources</w:t>
      </w:r>
      <w:r w:rsidRPr="00922C27">
        <w:rPr>
          <w:rFonts w:cs="Times New Roman"/>
          <w:b w:val="0"/>
          <w:szCs w:val="24"/>
        </w:rPr>
        <w:t xml:space="preserve"> 32, fasc. 1 (2 gennaio 2019): 4–20. https://doi.org/10.1080/08941920.2018.1489568.</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Moutopoulos, Dimitrios K., Ioannis Giovos, Periklis Kleitou, Demetris Kletou, Ioannis Savva, Leda L. Cai, e George Katselis. «Multi-Disciplinary Approach of Reported and Unreported Fisheries in a New Established MPA: The Case of Cavo Greco, Cyprus». </w:t>
      </w:r>
      <w:r w:rsidRPr="00922C27">
        <w:rPr>
          <w:rFonts w:cs="Times New Roman"/>
          <w:b w:val="0"/>
          <w:i/>
          <w:iCs/>
          <w:szCs w:val="24"/>
        </w:rPr>
        <w:t>Regional Studies in Marine Science</w:t>
      </w:r>
      <w:r w:rsidRPr="00922C27">
        <w:rPr>
          <w:rFonts w:cs="Times New Roman"/>
          <w:b w:val="0"/>
          <w:szCs w:val="24"/>
        </w:rPr>
        <w:t xml:space="preserve"> 47 (1 settembre 2021): 101922. </w:t>
      </w:r>
      <w:r w:rsidRPr="00922C27">
        <w:rPr>
          <w:rFonts w:cs="Times New Roman"/>
          <w:b w:val="0"/>
          <w:szCs w:val="24"/>
        </w:rPr>
        <w:lastRenderedPageBreak/>
        <w:t>https://doi.org/10.1016/j.rsma.2021.101922.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Mow, June Marie, Elizabeth Taylor, Marion Howard, Mark Baine, Ernesto Connolly, e Maio Chiquillo. «Collaborative Planning and Management of the San Andres Archipelago’s Coastal and Marine Resources: A Short Communication on the Evolution of the Seaflower Marine Protected Area». </w:t>
      </w:r>
      <w:r w:rsidRPr="00922C27">
        <w:rPr>
          <w:rFonts w:cs="Times New Roman"/>
          <w:b w:val="0"/>
          <w:i/>
          <w:iCs/>
          <w:szCs w:val="24"/>
        </w:rPr>
        <w:t>Ocean &amp; Coastal Management</w:t>
      </w:r>
      <w:r w:rsidRPr="00922C27">
        <w:rPr>
          <w:rFonts w:cs="Times New Roman"/>
          <w:b w:val="0"/>
          <w:szCs w:val="24"/>
        </w:rPr>
        <w:t>, The Galapagos Islands and the Archipelago of San Andres, 50, fasc. 3 (1 gennaio 2007): 209–22. https://doi.org/10.1016/j.ocecoaman.2006.09.001.</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Murray, Ruth. «A Governance Analysis of Three MPAs in Belize: Conservation Objectives Compromised by Tourism Development Priorities?» </w:t>
      </w:r>
      <w:r w:rsidRPr="00922C27">
        <w:rPr>
          <w:rFonts w:cs="Times New Roman"/>
          <w:b w:val="0"/>
          <w:i/>
          <w:iCs/>
          <w:szCs w:val="24"/>
        </w:rPr>
        <w:t>Marine Policy</w:t>
      </w:r>
      <w:r w:rsidRPr="00922C27">
        <w:rPr>
          <w:rFonts w:cs="Times New Roman"/>
          <w:b w:val="0"/>
          <w:szCs w:val="24"/>
        </w:rPr>
        <w:t xml:space="preserve"> 127 (1 maggio 2021): 104243. https://doi.org/10.1016/j.marpol.2020.104243.</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Murray, Samantha, e Tyler T. Hee. «A Rising Tide: California’s Ongoing Commitment to Monitoring, Managing and Enforcing Its Marine Protected Areas». </w:t>
      </w:r>
      <w:r w:rsidRPr="00922C27">
        <w:rPr>
          <w:rFonts w:cs="Times New Roman"/>
          <w:b w:val="0"/>
          <w:i/>
          <w:iCs/>
          <w:szCs w:val="24"/>
        </w:rPr>
        <w:t>Ocean &amp; Coastal Management</w:t>
      </w:r>
      <w:r w:rsidRPr="00922C27">
        <w:rPr>
          <w:rFonts w:cs="Times New Roman"/>
          <w:b w:val="0"/>
          <w:szCs w:val="24"/>
        </w:rPr>
        <w:t xml:space="preserve"> 182 (1 dicembre 2019): 104920. https://doi.org/10.1016/j.ocecoaman.2019.104920.</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Niccolini, Federico, Daniela Marzo, e Sara Scipioni. </w:t>
      </w:r>
      <w:r w:rsidRPr="00922C27">
        <w:rPr>
          <w:rFonts w:cs="Times New Roman"/>
          <w:b w:val="0"/>
          <w:i/>
          <w:iCs/>
          <w:szCs w:val="24"/>
        </w:rPr>
        <w:t>Ecosystem services, socio-economic values and Organizational profiles of Mediterranean MPAs</w:t>
      </w:r>
      <w:r w:rsidRPr="00922C27">
        <w:rPr>
          <w:rFonts w:cs="Times New Roman"/>
          <w:b w:val="0"/>
          <w:szCs w:val="24"/>
        </w:rPr>
        <w:t>, 2019.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Nordlund, Lina M., Ulrike Kloiber, Eleanor Carter, e Sibylle Riedmiller. «Chumbe Island Coral Park—Governance Analysis». </w:t>
      </w:r>
      <w:r w:rsidRPr="00922C27">
        <w:rPr>
          <w:rFonts w:cs="Times New Roman"/>
          <w:b w:val="0"/>
          <w:i/>
          <w:iCs/>
          <w:szCs w:val="24"/>
        </w:rPr>
        <w:t>Marine Policy</w:t>
      </w:r>
      <w:r w:rsidRPr="00922C27">
        <w:rPr>
          <w:rFonts w:cs="Times New Roman"/>
          <w:b w:val="0"/>
          <w:szCs w:val="24"/>
        </w:rPr>
        <w:t xml:space="preserve"> 41 (2013): 110.</w:t>
      </w:r>
    </w:p>
    <w:p w:rsidR="005F5DE5" w:rsidRPr="000E077F"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0E077F">
        <w:rPr>
          <w:rFonts w:cs="Times New Roman"/>
          <w:b w:val="0"/>
          <w:szCs w:val="24"/>
        </w:rPr>
        <w:t xml:space="preserve">Ojeda-Martínez, C., Just Bayle-Sempere, P. Sanchez-Jerez, Fuensanta Salas, Ben Stobart, Raquel Goñi, Jesús Falcón, Mariagrazia Graziano, Ivan Guala, Ruth M Higgins, Frédéric Vandeperre, Laurence Ledireach, Pablo Martín-Sosa, and S. Vaselli 2011. “Review of the Effects of Protection in Marine Protected Areas: Current Knowledge and Gaps.” </w:t>
      </w:r>
      <w:r w:rsidRPr="000E077F">
        <w:rPr>
          <w:rFonts w:cs="Times New Roman"/>
          <w:b w:val="0"/>
          <w:i/>
          <w:iCs/>
          <w:szCs w:val="24"/>
        </w:rPr>
        <w:t>Animal Biodiversity and Conservation</w:t>
      </w:r>
      <w:r w:rsidRPr="000E077F">
        <w:rPr>
          <w:rFonts w:cs="Times New Roman"/>
          <w:b w:val="0"/>
          <w:szCs w:val="24"/>
        </w:rPr>
        <w:t xml:space="preserve"> 34 (July): 191–203. https://doi.org/10.32800/abc.2011.34.0191.</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Perea-Muñoz, José Manuel, Austin Miles, e Just Tomàs Bayle-Sempere. «Sharing Goals by Timely Communication Improves Fishermen’s Satisfaction with Marine Protected Areas: A Case Study in the Mediterranean». </w:t>
      </w:r>
      <w:r w:rsidRPr="00922C27">
        <w:rPr>
          <w:rFonts w:cs="Times New Roman"/>
          <w:b w:val="0"/>
          <w:i/>
          <w:iCs/>
          <w:szCs w:val="24"/>
        </w:rPr>
        <w:t>Ambio</w:t>
      </w:r>
      <w:r w:rsidRPr="00922C27">
        <w:rPr>
          <w:rFonts w:cs="Times New Roman"/>
          <w:b w:val="0"/>
          <w:szCs w:val="24"/>
        </w:rPr>
        <w:t xml:space="preserve"> 51, fasc. 6 (1 giugno 2022): 1520–34. https://doi.org/10.1007/s13280-021-01683-y.</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Perez de Oliveira, Lucia. «Fishers as Advocates of Marine Protected Areas: A Case Study from Galicia (NW Spain)». </w:t>
      </w:r>
      <w:r w:rsidRPr="00922C27">
        <w:rPr>
          <w:rFonts w:cs="Times New Roman"/>
          <w:b w:val="0"/>
          <w:i/>
          <w:iCs/>
          <w:szCs w:val="24"/>
        </w:rPr>
        <w:t>Marine Policy</w:t>
      </w:r>
      <w:r w:rsidRPr="00922C27">
        <w:rPr>
          <w:rFonts w:cs="Times New Roman"/>
          <w:b w:val="0"/>
          <w:szCs w:val="24"/>
        </w:rPr>
        <w:t>, Governing marine protected areas: towards social-ecological resilience through institutional diversity, 41 (1 settembre 2013): 95–102. https://doi.org/10.1016/j.marpol.2012.12.024.</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Pita, Cristina, Barbara Horta e Costa, Gustavo Franco, Rui Coelho, Inês Sousa, Emanuel J. Gonçalves, Jorge M. S. Gonçalves, e Karim Erzini. </w:t>
      </w:r>
      <w:r w:rsidRPr="00922C27">
        <w:rPr>
          <w:rFonts w:cs="Times New Roman"/>
          <w:b w:val="0"/>
          <w:szCs w:val="24"/>
        </w:rPr>
        <w:t xml:space="preserve">«Fisher’s Perceptions about a Marine Protected Area over Time». </w:t>
      </w:r>
      <w:r w:rsidRPr="00922C27">
        <w:rPr>
          <w:rFonts w:cs="Times New Roman"/>
          <w:b w:val="0"/>
          <w:i/>
          <w:iCs/>
          <w:szCs w:val="24"/>
        </w:rPr>
        <w:t>Aquaculture and Fisheries</w:t>
      </w:r>
      <w:r w:rsidRPr="00922C27">
        <w:rPr>
          <w:rFonts w:cs="Times New Roman"/>
          <w:b w:val="0"/>
          <w:szCs w:val="24"/>
        </w:rPr>
        <w:t>, SI: Marine protected areas and small-scale fisheries, 5, fasc. 5 (1 settembre 2020): 273–81. https://doi.org/10.1016/j.aaf.2020.01.005.</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Pollnac, Richard, Patrick Christie, Joshua Cinner, Tracey Dalton, Tim Daw, Graham Forrester, Nicholas Graham, e Tim Mcclanahan. «Marine reserves as linked social-ecological systems». </w:t>
      </w:r>
      <w:r w:rsidRPr="00922C27">
        <w:rPr>
          <w:rFonts w:cs="Times New Roman"/>
          <w:b w:val="0"/>
          <w:i/>
          <w:iCs/>
          <w:szCs w:val="24"/>
        </w:rPr>
        <w:t>Proceedings of the National Academy of Sciences of the United States of America</w:t>
      </w:r>
      <w:r w:rsidRPr="00922C27">
        <w:rPr>
          <w:rFonts w:cs="Times New Roman"/>
          <w:b w:val="0"/>
          <w:szCs w:val="24"/>
        </w:rPr>
        <w:t xml:space="preserve"> 107 (1 febbraio 2010): 18262–65. https://doi.org/10.1073/pnas.0908266107.</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Read, Andrew D., Ronald J. West, Max Haste, e Alan Jordan. «Optimizing Voluntary Compliance in Marine Protected Areas: A Comparison of Recreational Fisher and Enforcement Officer Perspectives Using Multi-Criteria Analysis». </w:t>
      </w:r>
      <w:r w:rsidRPr="00922C27">
        <w:rPr>
          <w:rFonts w:cs="Times New Roman"/>
          <w:b w:val="0"/>
          <w:i/>
          <w:iCs/>
          <w:szCs w:val="24"/>
        </w:rPr>
        <w:t>Journal of Environmental Management</w:t>
      </w:r>
      <w:r w:rsidRPr="00922C27">
        <w:rPr>
          <w:rFonts w:cs="Times New Roman"/>
          <w:b w:val="0"/>
          <w:szCs w:val="24"/>
        </w:rPr>
        <w:t xml:space="preserve"> 92, fasc. 10 (ottobre 2011): 2558–67. https://doi.org/10.1016/j.jenvman.2011.05.022.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lastRenderedPageBreak/>
        <w:t xml:space="preserve">Renchen, Gabrielle F, e Thomas R Matthews. «Targeted education reduces marine protected area boundary encroachments: a case study from the Florida Keys». </w:t>
      </w:r>
      <w:r w:rsidRPr="00922C27">
        <w:rPr>
          <w:rFonts w:cs="Times New Roman"/>
          <w:b w:val="0"/>
          <w:i/>
          <w:iCs/>
          <w:szCs w:val="24"/>
        </w:rPr>
        <w:t>Bulletin of Marine Science</w:t>
      </w:r>
      <w:r w:rsidRPr="00922C27">
        <w:rPr>
          <w:rFonts w:cs="Times New Roman"/>
          <w:b w:val="0"/>
          <w:szCs w:val="24"/>
        </w:rPr>
        <w:t xml:space="preserve"> 94, fasc. 3 (1 luglio 2018): 1201–14. https://doi.org/10.5343/bms.2017.1104.</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Richardson, Elizabeth A., Michel J. Kaiser, Gareth Edwards-Jones, e Hugh P. Possingham. «Sensitivity of Marine-Reserve Design to the Spatial Resolution of Socioeconomic Data». </w:t>
      </w:r>
      <w:r w:rsidRPr="00922C27">
        <w:rPr>
          <w:rFonts w:cs="Times New Roman"/>
          <w:b w:val="0"/>
          <w:i/>
          <w:iCs/>
          <w:szCs w:val="24"/>
        </w:rPr>
        <w:t>Conservation Biology</w:t>
      </w:r>
      <w:r w:rsidRPr="00922C27">
        <w:rPr>
          <w:rFonts w:cs="Times New Roman"/>
          <w:b w:val="0"/>
          <w:szCs w:val="24"/>
        </w:rPr>
        <w:t xml:space="preserve"> 20, fasc. 4 (2006): 1191–1202.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Romero Manrique de Lara, David, e Serafin Corral. </w:t>
      </w:r>
      <w:r w:rsidRPr="00922C27">
        <w:rPr>
          <w:rFonts w:cs="Times New Roman"/>
          <w:b w:val="0"/>
          <w:szCs w:val="24"/>
        </w:rPr>
        <w:t xml:space="preserve">«Local Community-Based Approach for Sustainable Management of Artisanal Fisheries on Small Islands». </w:t>
      </w:r>
      <w:r w:rsidRPr="00922C27">
        <w:rPr>
          <w:rFonts w:cs="Times New Roman"/>
          <w:b w:val="0"/>
          <w:i/>
          <w:iCs/>
          <w:szCs w:val="24"/>
        </w:rPr>
        <w:t>Ocean &amp; Coastal Management</w:t>
      </w:r>
      <w:r w:rsidRPr="00922C27">
        <w:rPr>
          <w:rFonts w:cs="Times New Roman"/>
          <w:b w:val="0"/>
          <w:szCs w:val="24"/>
        </w:rPr>
        <w:t xml:space="preserve"> 142 (15 giugno 2017): 150–62. https://doi.org/10.1016/j.ocecoaman.2017.03.031.</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Romero, Pedro, Rodrigo A. Estévez, Pablo Romero, e Stefan Gelcich. </w:t>
      </w:r>
      <w:r w:rsidRPr="00922C27">
        <w:rPr>
          <w:rFonts w:cs="Times New Roman"/>
          <w:b w:val="0"/>
          <w:szCs w:val="24"/>
        </w:rPr>
        <w:t xml:space="preserve">«Artisanal Fisher Association Leaders’ Estimates of Poaching in Their Exclusive Access Management Areas». </w:t>
      </w:r>
      <w:r w:rsidRPr="00922C27">
        <w:rPr>
          <w:rFonts w:cs="Times New Roman"/>
          <w:b w:val="0"/>
          <w:i/>
          <w:iCs/>
          <w:szCs w:val="24"/>
        </w:rPr>
        <w:t>Frontiers in Marine Science</w:t>
      </w:r>
      <w:r w:rsidRPr="00922C27">
        <w:rPr>
          <w:rFonts w:cs="Times New Roman"/>
          <w:b w:val="0"/>
          <w:szCs w:val="24"/>
        </w:rPr>
        <w:t xml:space="preserve"> 8 (2022). https://www.frontiersin.org/articles/10.3389/fmars.2021.796518.</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Rossiter, Jaime Speed, e Arielle Levine. </w:t>
      </w:r>
      <w:r w:rsidRPr="00922C27">
        <w:rPr>
          <w:rFonts w:cs="Times New Roman"/>
          <w:b w:val="0"/>
          <w:szCs w:val="24"/>
        </w:rPr>
        <w:t xml:space="preserve">«What Makes a “Successful” Marine Protected Area? The Unique Context of Hawaii′s Fish Replenishment Areas». </w:t>
      </w:r>
      <w:r w:rsidRPr="00922C27">
        <w:rPr>
          <w:rFonts w:cs="Times New Roman"/>
          <w:b w:val="0"/>
          <w:i/>
          <w:iCs/>
          <w:szCs w:val="24"/>
        </w:rPr>
        <w:t>Marine Policy</w:t>
      </w:r>
      <w:r w:rsidRPr="00922C27">
        <w:rPr>
          <w:rFonts w:cs="Times New Roman"/>
          <w:b w:val="0"/>
          <w:szCs w:val="24"/>
        </w:rPr>
        <w:t xml:space="preserve"> 44 (febbraio 2014): 196–203. https://doi.org/10.1016/j.marpol.2013.08.022.</w:t>
      </w:r>
    </w:p>
    <w:p w:rsidR="005F5DE5" w:rsidRPr="00922C27" w:rsidRDefault="005F5DE5" w:rsidP="005F5DE5">
      <w:pPr>
        <w:pStyle w:val="Paragrafoelenco"/>
        <w:numPr>
          <w:ilvl w:val="0"/>
          <w:numId w:val="36"/>
        </w:numPr>
        <w:rPr>
          <w:rFonts w:cs="Times New Roman"/>
          <w:b w:val="0"/>
          <w:szCs w:val="24"/>
        </w:rPr>
      </w:pPr>
      <w:r w:rsidRPr="00922C27">
        <w:rPr>
          <w:rFonts w:cs="Times New Roman"/>
          <w:b w:val="0"/>
          <w:szCs w:val="24"/>
        </w:rPr>
        <w:t xml:space="preserve">Russi, D. 2019. The Torre Guaceto marine protected area - what can we learn from this success story? In: </w:t>
      </w:r>
      <w:r w:rsidRPr="00922C27">
        <w:rPr>
          <w:rFonts w:cs="Times New Roman"/>
          <w:b w:val="0"/>
          <w:i/>
          <w:szCs w:val="24"/>
        </w:rPr>
        <w:t>Marine Protected Areas: Science, Policy and Management</w:t>
      </w:r>
      <w:r w:rsidRPr="00922C27">
        <w:rPr>
          <w:rFonts w:cs="Times New Roman"/>
          <w:b w:val="0"/>
          <w:szCs w:val="24"/>
        </w:rPr>
        <w:t xml:space="preserve"> (John Humphreys and Robert W.E. Clark Eds). Pages 329-342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Said, Alicia, Douglas MacMillan, e Brian Campbell. «Crossroads at Sea: Escalating Conflict in a Marine Protected Area in Malta». </w:t>
      </w:r>
      <w:r w:rsidRPr="00922C27">
        <w:rPr>
          <w:rFonts w:cs="Times New Roman"/>
          <w:b w:val="0"/>
          <w:i/>
          <w:iCs/>
          <w:szCs w:val="24"/>
        </w:rPr>
        <w:t>Estuarine, Coastal and Shelf Science</w:t>
      </w:r>
      <w:r w:rsidRPr="00922C27">
        <w:rPr>
          <w:rFonts w:cs="Times New Roman"/>
          <w:b w:val="0"/>
          <w:szCs w:val="24"/>
        </w:rPr>
        <w:t xml:space="preserve"> 208 (31 agosto 2018): 52–60. https://doi.org/10.1016/j.ecss.2018.04.019.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Sánchez-Jiménez, Astrid, Álvaro Morales-Ramírez, Jimena Samper-Villarreal, e Celeste Sánchez-Noguera. «Percepción comunitaria y procesos de Gestión Integrada de Zonas Costeras en el Pacífico Norte de Costa Rica». </w:t>
      </w:r>
      <w:r w:rsidRPr="00922C27">
        <w:rPr>
          <w:rFonts w:cs="Times New Roman"/>
          <w:b w:val="0"/>
          <w:i/>
          <w:iCs/>
          <w:szCs w:val="24"/>
        </w:rPr>
        <w:t>Revista de Biología Tropical</w:t>
      </w:r>
      <w:r w:rsidRPr="00922C27">
        <w:rPr>
          <w:rFonts w:cs="Times New Roman"/>
          <w:b w:val="0"/>
          <w:szCs w:val="24"/>
        </w:rPr>
        <w:t xml:space="preserve"> 62, fasc. S4 (2014): 139–49. https://doi.org/10.15517/rbt.v62i4.20040.</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Santos Brandão, Camila dos, Alexandre Malta, e Alexandre Schiavetti. </w:t>
      </w:r>
      <w:r w:rsidRPr="00922C27">
        <w:rPr>
          <w:rFonts w:cs="Times New Roman"/>
          <w:b w:val="0"/>
          <w:szCs w:val="24"/>
        </w:rPr>
        <w:t xml:space="preserve">«Temporal Assessment of the Management Effectiveness of Reef Environments: The Role of Marine Protected Areas in Brazil». </w:t>
      </w:r>
      <w:r w:rsidRPr="00922C27">
        <w:rPr>
          <w:rFonts w:cs="Times New Roman"/>
          <w:b w:val="0"/>
          <w:i/>
          <w:iCs/>
          <w:szCs w:val="24"/>
        </w:rPr>
        <w:t>Ocean &amp; Coastal Management</w:t>
      </w:r>
      <w:r w:rsidRPr="00922C27">
        <w:rPr>
          <w:rFonts w:cs="Times New Roman"/>
          <w:b w:val="0"/>
          <w:szCs w:val="24"/>
        </w:rPr>
        <w:t xml:space="preserve"> 142 (15 giugno 2017): 111–21. https://doi.org/10.1016/j.ocecoaman.2017.03.015.</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Stevenson, Charlotte, Sarah Abramson Sikich, e Mark Gold. «Engaging Los Angeles County Subsistence Anglers in the California Marine Protected Area Planning Process». </w:t>
      </w:r>
      <w:r w:rsidRPr="00922C27">
        <w:rPr>
          <w:rFonts w:cs="Times New Roman"/>
          <w:b w:val="0"/>
          <w:i/>
          <w:iCs/>
          <w:szCs w:val="24"/>
        </w:rPr>
        <w:t>Marine Policy</w:t>
      </w:r>
      <w:r w:rsidRPr="00922C27">
        <w:rPr>
          <w:rFonts w:cs="Times New Roman"/>
          <w:b w:val="0"/>
          <w:szCs w:val="24"/>
        </w:rPr>
        <w:t xml:space="preserve"> 36, fasc. 2 (1 marzo 2012): 559–63. https://doi.org/10.1016/j.marpol.2011.08.001.</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Sullivan-Stack, Jenna, Octavio Aburto-Oropeza, Cassandra M. Brooks, Reniel B. Cabral, Jennifer E. Caselle, Francis Chan, J. Emmett Duffy,</w:t>
      </w:r>
      <w:r>
        <w:rPr>
          <w:rFonts w:cs="Times New Roman"/>
          <w:b w:val="0"/>
          <w:szCs w:val="24"/>
        </w:rPr>
        <w:t xml:space="preserve"> </w:t>
      </w:r>
      <w:r w:rsidRPr="000E077F">
        <w:rPr>
          <w:rFonts w:cs="Times New Roman"/>
          <w:b w:val="0"/>
          <w:szCs w:val="24"/>
        </w:rPr>
        <w:t>Daniel C. Dunn</w:t>
      </w:r>
      <w:r>
        <w:rPr>
          <w:rFonts w:cs="Times New Roman"/>
          <w:b w:val="0"/>
          <w:szCs w:val="24"/>
        </w:rPr>
        <w:t>, Alan M. Friedlander</w:t>
      </w:r>
      <w:r w:rsidRPr="000E077F">
        <w:rPr>
          <w:rFonts w:cs="Times New Roman"/>
          <w:b w:val="0"/>
          <w:szCs w:val="24"/>
        </w:rPr>
        <w:t>, Heather K. Fulton-Bennett</w:t>
      </w:r>
      <w:r>
        <w:rPr>
          <w:rFonts w:cs="Times New Roman"/>
          <w:b w:val="0"/>
          <w:szCs w:val="24"/>
        </w:rPr>
        <w:t>, Steven D. Gaines</w:t>
      </w:r>
      <w:r w:rsidRPr="000E077F">
        <w:rPr>
          <w:rFonts w:cs="Times New Roman"/>
          <w:b w:val="0"/>
          <w:szCs w:val="24"/>
        </w:rPr>
        <w:t>, Leah R. Gerber, Ellen Hines, Heather M. Leslie, Sarah E. Lester, Jessica M. C. MacCarthy</w:t>
      </w:r>
      <w:r>
        <w:rPr>
          <w:rFonts w:cs="Times New Roman"/>
          <w:b w:val="0"/>
          <w:szCs w:val="24"/>
        </w:rPr>
        <w:t>, Sara M. Maxwell, Juan Mayorga</w:t>
      </w:r>
      <w:r w:rsidRPr="000E077F">
        <w:rPr>
          <w:rFonts w:cs="Times New Roman"/>
          <w:b w:val="0"/>
          <w:szCs w:val="24"/>
        </w:rPr>
        <w:t>, Douglas J. McCauley, Fiorenza Micheli, Russell Moffitt, Kerry J. Nickols</w:t>
      </w:r>
      <w:r>
        <w:rPr>
          <w:rFonts w:cs="Times New Roman"/>
          <w:b w:val="0"/>
          <w:szCs w:val="24"/>
        </w:rPr>
        <w:t>, Stephen R. Palumbi</w:t>
      </w:r>
      <w:r w:rsidRPr="000E077F">
        <w:rPr>
          <w:rFonts w:cs="Times New Roman"/>
          <w:b w:val="0"/>
          <w:szCs w:val="24"/>
        </w:rPr>
        <w:t>, Douglas R. Pearsall</w:t>
      </w:r>
      <w:r>
        <w:rPr>
          <w:rFonts w:cs="Times New Roman"/>
          <w:b w:val="0"/>
          <w:szCs w:val="24"/>
        </w:rPr>
        <w:t>, Elizabeth P. Pike, Ellen K. Pikitch, Gorka Sancho</w:t>
      </w:r>
      <w:r w:rsidRPr="000E077F">
        <w:rPr>
          <w:rFonts w:cs="Times New Roman"/>
          <w:b w:val="0"/>
          <w:szCs w:val="24"/>
        </w:rPr>
        <w:t>, Ana K. Spalding</w:t>
      </w:r>
      <w:r>
        <w:rPr>
          <w:rFonts w:cs="Times New Roman"/>
          <w:b w:val="0"/>
          <w:szCs w:val="24"/>
        </w:rPr>
        <w:t>, Daniel O. Suman, Seth T. Sykora-Bodie</w:t>
      </w:r>
      <w:r w:rsidRPr="000E077F">
        <w:rPr>
          <w:rFonts w:cs="Times New Roman"/>
          <w:b w:val="0"/>
          <w:szCs w:val="24"/>
        </w:rPr>
        <w:t xml:space="preserve"> and Kirsten Grorud-Colvert</w:t>
      </w:r>
      <w:r w:rsidRPr="00922C27">
        <w:rPr>
          <w:rFonts w:cs="Times New Roman"/>
          <w:b w:val="0"/>
          <w:szCs w:val="24"/>
        </w:rPr>
        <w:t xml:space="preserve">. «A Scientific Synthesis of Marine Protected Areas in the United States: Status and Recommendations». </w:t>
      </w:r>
      <w:r w:rsidRPr="00922C27">
        <w:rPr>
          <w:rFonts w:cs="Times New Roman"/>
          <w:b w:val="0"/>
          <w:i/>
          <w:iCs/>
          <w:szCs w:val="24"/>
        </w:rPr>
        <w:t>Frontiers in Marine Science</w:t>
      </w:r>
      <w:r w:rsidRPr="00922C27">
        <w:rPr>
          <w:rFonts w:cs="Times New Roman"/>
          <w:b w:val="0"/>
          <w:szCs w:val="24"/>
        </w:rPr>
        <w:t xml:space="preserve"> 9 (2022). https://www.frontiersin.org/articles/10.3389/fmars.2022.849927.</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lastRenderedPageBreak/>
        <w:t xml:space="preserve">Thurlow, Grace, e Peter J. S. Jones. «A Governance Analysis of Soufriere Marine Management Area, Saint Lucia: Previously Effective but Increasingly Challenged by Driving Forces». </w:t>
      </w:r>
      <w:r w:rsidRPr="00922C27">
        <w:rPr>
          <w:rFonts w:cs="Times New Roman"/>
          <w:b w:val="0"/>
          <w:i/>
          <w:iCs/>
          <w:szCs w:val="24"/>
        </w:rPr>
        <w:t>Marine Policy</w:t>
      </w:r>
      <w:r w:rsidRPr="00922C27">
        <w:rPr>
          <w:rFonts w:cs="Times New Roman"/>
          <w:b w:val="0"/>
          <w:szCs w:val="24"/>
        </w:rPr>
        <w:t xml:space="preserve"> 127 (1 maggio 2021): 104220. https://doi.org/10.1016/j.marpol.2020.104220.</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Vasconcelos, Lia, Maria João Ramos Pereira, Ursula Caser, Graça Gonçalves, Flávia Silva, e Rita sá. </w:t>
      </w:r>
      <w:r w:rsidRPr="00922C27">
        <w:rPr>
          <w:rFonts w:cs="Times New Roman"/>
          <w:b w:val="0"/>
          <w:szCs w:val="24"/>
        </w:rPr>
        <w:t xml:space="preserve">«MARGov – Setting the ground for the governance of marine protected areas». </w:t>
      </w:r>
      <w:r w:rsidRPr="00922C27">
        <w:rPr>
          <w:rFonts w:cs="Times New Roman"/>
          <w:b w:val="0"/>
          <w:i/>
          <w:iCs/>
          <w:szCs w:val="24"/>
        </w:rPr>
        <w:t>Ocean &amp; Coastal Management - OCEAN COAST MANAGE</w:t>
      </w:r>
      <w:r w:rsidRPr="00922C27">
        <w:rPr>
          <w:rFonts w:cs="Times New Roman"/>
          <w:b w:val="0"/>
          <w:szCs w:val="24"/>
        </w:rPr>
        <w:t xml:space="preserve"> 72 (1 gennaio 2011). https://doi.org/10.1016/j.ocecoaman.2011.07.006.</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E53462">
        <w:rPr>
          <w:rFonts w:cs="Times New Roman"/>
          <w:b w:val="0"/>
          <w:szCs w:val="24"/>
          <w:lang w:val="it-IT"/>
        </w:rPr>
        <w:t xml:space="preserve">Viteri, César, e Carlos Chávez. </w:t>
      </w:r>
      <w:r w:rsidRPr="00922C27">
        <w:rPr>
          <w:rFonts w:cs="Times New Roman"/>
          <w:b w:val="0"/>
          <w:szCs w:val="24"/>
        </w:rPr>
        <w:t xml:space="preserve">«Legitimacy, Local Participation, and Compliance in the Galápagos Marine Reserve». </w:t>
      </w:r>
      <w:r w:rsidRPr="00922C27">
        <w:rPr>
          <w:rFonts w:cs="Times New Roman"/>
          <w:b w:val="0"/>
          <w:i/>
          <w:iCs/>
          <w:szCs w:val="24"/>
        </w:rPr>
        <w:t>Ocean &amp; Coastal Management</w:t>
      </w:r>
      <w:r w:rsidRPr="00922C27">
        <w:rPr>
          <w:rFonts w:cs="Times New Roman"/>
          <w:b w:val="0"/>
          <w:szCs w:val="24"/>
        </w:rPr>
        <w:t>, The Galapagos Islands and the Archipelago of San Andres, 50, fasc. 3 (1 gennaio 2007): 253–74. https://doi.org/10.1016/j.ocecoaman.2006.05.002.</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Voyer, Michelle, e William Gladstone. «Human considerations in the use of marine protected areas for biodiversity conservation». </w:t>
      </w:r>
      <w:r w:rsidRPr="00922C27">
        <w:rPr>
          <w:rFonts w:cs="Times New Roman"/>
          <w:b w:val="0"/>
          <w:i/>
          <w:iCs/>
          <w:szCs w:val="24"/>
        </w:rPr>
        <w:t>Australian Zoologist</w:t>
      </w:r>
      <w:r w:rsidRPr="00922C27">
        <w:rPr>
          <w:rFonts w:cs="Times New Roman"/>
          <w:b w:val="0"/>
          <w:szCs w:val="24"/>
        </w:rPr>
        <w:t xml:space="preserve"> 39 (19 ottobre 2015). https://doi.org/10.7882/AZ.2015.029.</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Voyer, Michelle, William Gladstone, e Heather Goodall</w:t>
      </w:r>
      <w:r>
        <w:rPr>
          <w:rFonts w:cs="Times New Roman"/>
          <w:b w:val="0"/>
          <w:szCs w:val="24"/>
        </w:rPr>
        <w:t>. 2014</w:t>
      </w:r>
      <w:r w:rsidRPr="00922C27">
        <w:rPr>
          <w:rFonts w:cs="Times New Roman"/>
          <w:b w:val="0"/>
          <w:szCs w:val="24"/>
        </w:rPr>
        <w:t xml:space="preserve">. «Understanding Marine Park Opposition: The Relationship between Social Impacts, Environmental Knowledge and Motivation to Fish». </w:t>
      </w:r>
      <w:r w:rsidRPr="00922C27">
        <w:rPr>
          <w:rFonts w:cs="Times New Roman"/>
          <w:b w:val="0"/>
          <w:i/>
          <w:iCs/>
          <w:szCs w:val="24"/>
        </w:rPr>
        <w:t>Aquatic Conservation: Marine and Freshwater Ecosystems</w:t>
      </w:r>
      <w:r w:rsidRPr="00922C27">
        <w:rPr>
          <w:rFonts w:cs="Times New Roman"/>
          <w:b w:val="0"/>
          <w:szCs w:val="24"/>
        </w:rPr>
        <w:t xml:space="preserve"> 24, fasc. 4 (2014): 441–62. https://doi.org/10.1002/aqc.2363.</w:t>
      </w:r>
    </w:p>
    <w:p w:rsidR="005F5DE5" w:rsidRPr="00922C27" w:rsidRDefault="005F5DE5" w:rsidP="005F5DE5">
      <w:pPr>
        <w:pStyle w:val="Paragrafoelenco"/>
        <w:widowControl w:val="0"/>
        <w:numPr>
          <w:ilvl w:val="0"/>
          <w:numId w:val="36"/>
        </w:numPr>
        <w:autoSpaceDE w:val="0"/>
        <w:autoSpaceDN w:val="0"/>
        <w:adjustRightInd w:val="0"/>
        <w:spacing w:after="0"/>
        <w:rPr>
          <w:rFonts w:cs="Times New Roman"/>
          <w:b w:val="0"/>
          <w:szCs w:val="24"/>
        </w:rPr>
      </w:pPr>
      <w:r w:rsidRPr="00922C27">
        <w:rPr>
          <w:rFonts w:cs="Times New Roman"/>
          <w:b w:val="0"/>
          <w:szCs w:val="24"/>
        </w:rPr>
        <w:t xml:space="preserve">Yates, K. L. «View from the Wheelhouse: Perceptions on Marine Management from the Fishing Community and Suggestions for Improvement». </w:t>
      </w:r>
      <w:r w:rsidRPr="00922C27">
        <w:rPr>
          <w:rFonts w:cs="Times New Roman"/>
          <w:b w:val="0"/>
          <w:i/>
          <w:iCs/>
          <w:szCs w:val="24"/>
        </w:rPr>
        <w:t>Marine Policy</w:t>
      </w:r>
      <w:r w:rsidRPr="00922C27">
        <w:rPr>
          <w:rFonts w:cs="Times New Roman"/>
          <w:b w:val="0"/>
          <w:szCs w:val="24"/>
        </w:rPr>
        <w:t xml:space="preserve"> 48 (1 settembre 2014): 39–50. https://doi.org/10.1016/j.marpol.2014.03.002.</w:t>
      </w:r>
    </w:p>
    <w:p w:rsidR="005F5DE5" w:rsidRPr="00B42DDF" w:rsidRDefault="005F5DE5" w:rsidP="005F5DE5">
      <w:pPr>
        <w:numPr>
          <w:ilvl w:val="0"/>
          <w:numId w:val="36"/>
        </w:numPr>
        <w:spacing w:before="0" w:after="0"/>
        <w:rPr>
          <w:rFonts w:cs="Times New Roman"/>
          <w:b w:val="0"/>
          <w:lang w:val="en-AU"/>
        </w:rPr>
      </w:pPr>
      <w:r w:rsidRPr="00980D07">
        <w:rPr>
          <w:rFonts w:cs="Times New Roman"/>
          <w:b w:val="0"/>
          <w:lang w:val="en-US"/>
        </w:rPr>
        <w:t xml:space="preserve">Yusah, H.M., A. Shuib, P.Kunasekaran and N.A. Nordin. 2018. Factors influencing residents’ attitude towards marine resource utilization in Tun Sakaran Marine Park, Malaysia. </w:t>
      </w:r>
      <w:r w:rsidRPr="00801D0E">
        <w:rPr>
          <w:rFonts w:cs="Times New Roman"/>
          <w:b w:val="0"/>
          <w:lang w:val="en-AU"/>
        </w:rPr>
        <w:t>International Journal of Business and Society, Vol. 19 S1, 2018, 37-46</w:t>
      </w:r>
    </w:p>
    <w:p w:rsidR="005F5DE5" w:rsidRPr="00801D0E" w:rsidRDefault="005F5DE5" w:rsidP="005F5DE5">
      <w:pPr>
        <w:spacing w:before="0" w:after="0"/>
        <w:rPr>
          <w:rFonts w:cs="Times New Roman"/>
          <w:b w:val="0"/>
          <w:lang w:val="en-AU"/>
        </w:rPr>
      </w:pPr>
    </w:p>
    <w:p w:rsidR="005F5DE5" w:rsidRPr="00801D0E" w:rsidRDefault="005F5DE5" w:rsidP="005F5DE5">
      <w:pPr>
        <w:spacing w:before="0" w:after="0"/>
        <w:rPr>
          <w:rFonts w:cs="Times New Roman"/>
          <w:b w:val="0"/>
          <w:lang w:val="en-AU"/>
        </w:rPr>
        <w:sectPr w:rsidR="005F5DE5" w:rsidRPr="00801D0E" w:rsidSect="00EF61E9">
          <w:pgSz w:w="12240" w:h="15840"/>
          <w:pgMar w:top="1440" w:right="1440" w:bottom="1440" w:left="1440" w:header="720" w:footer="720" w:gutter="0"/>
          <w:lnNumType w:countBy="1" w:restart="continuous"/>
          <w:cols w:space="720"/>
          <w:docGrid w:linePitch="360"/>
        </w:sectPr>
      </w:pPr>
    </w:p>
    <w:p w:rsidR="005F5DE5" w:rsidRPr="00676A0D" w:rsidRDefault="005F5DE5" w:rsidP="005F5DE5">
      <w:pPr>
        <w:pStyle w:val="Didascalia"/>
        <w:keepNext/>
      </w:pPr>
      <w:r w:rsidRPr="00676A0D">
        <w:rPr>
          <w:b/>
        </w:rPr>
        <w:lastRenderedPageBreak/>
        <w:t>Tab. 1</w:t>
      </w:r>
      <w:r>
        <w:t xml:space="preserve"> </w:t>
      </w:r>
      <w:r w:rsidRPr="00676A0D">
        <w:rPr>
          <w:rFonts w:cs="Times New Roman"/>
          <w:iCs/>
          <w:lang w:val="en-US"/>
        </w:rPr>
        <w:t>Actions composing each the 13 strategies to sustain MPA effectiveness as included in the literature review. On the right side, the number of literature items that included each strategy, alongside the sum of literature items per strategy (the number of studies per subgroup can be larger than the number of studies per strategy, as the same paper can recommend one or multip</w:t>
      </w:r>
      <w:r>
        <w:rPr>
          <w:rFonts w:cs="Times New Roman"/>
          <w:iCs/>
          <w:lang w:val="en-US"/>
        </w:rPr>
        <w:t>le actions listed in the table)</w:t>
      </w:r>
    </w:p>
    <w:tbl>
      <w:tblPr>
        <w:tblW w:w="15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1503"/>
        <w:gridCol w:w="2181"/>
        <w:gridCol w:w="418"/>
        <w:gridCol w:w="9024"/>
        <w:gridCol w:w="995"/>
        <w:gridCol w:w="866"/>
      </w:tblGrid>
      <w:tr w:rsidR="005F5DE5" w:rsidRPr="007333E8" w:rsidTr="003D0E43">
        <w:trPr>
          <w:trHeight w:val="169"/>
          <w:jc w:val="center"/>
        </w:trPr>
        <w:tc>
          <w:tcPr>
            <w:tcW w:w="690" w:type="dxa"/>
            <w:shd w:val="clear" w:color="auto" w:fill="auto"/>
            <w:noWrap/>
            <w:vAlign w:val="center"/>
            <w:hideMark/>
          </w:tcPr>
          <w:p w:rsidR="005F5DE5" w:rsidRPr="007333E8" w:rsidRDefault="005F5DE5" w:rsidP="003D0E43">
            <w:pPr>
              <w:spacing w:before="0" w:after="0"/>
              <w:jc w:val="center"/>
              <w:rPr>
                <w:rFonts w:cs="Times New Roman"/>
                <w:sz w:val="20"/>
                <w:lang w:val="it-IT"/>
              </w:rPr>
            </w:pPr>
            <w:r w:rsidRPr="007333E8">
              <w:rPr>
                <w:rFonts w:cs="Times New Roman"/>
                <w:sz w:val="20"/>
                <w:lang w:val="it-IT"/>
              </w:rPr>
              <w:t>Rank</w:t>
            </w:r>
          </w:p>
        </w:tc>
        <w:tc>
          <w:tcPr>
            <w:tcW w:w="1503" w:type="dxa"/>
            <w:shd w:val="clear" w:color="auto" w:fill="auto"/>
            <w:noWrap/>
            <w:vAlign w:val="center"/>
            <w:hideMark/>
          </w:tcPr>
          <w:p w:rsidR="005F5DE5" w:rsidRPr="007333E8" w:rsidRDefault="005F5DE5" w:rsidP="003D0E43">
            <w:pPr>
              <w:spacing w:before="0" w:after="0"/>
              <w:jc w:val="center"/>
              <w:rPr>
                <w:rFonts w:cs="Times New Roman"/>
                <w:sz w:val="20"/>
                <w:lang w:val="it-IT"/>
              </w:rPr>
            </w:pPr>
            <w:r>
              <w:rPr>
                <w:rFonts w:cs="Times New Roman"/>
                <w:sz w:val="20"/>
                <w:lang w:val="it-IT"/>
              </w:rPr>
              <w:t>Group</w:t>
            </w:r>
          </w:p>
        </w:tc>
        <w:tc>
          <w:tcPr>
            <w:tcW w:w="2181" w:type="dxa"/>
            <w:shd w:val="clear" w:color="auto" w:fill="auto"/>
            <w:noWrap/>
            <w:vAlign w:val="center"/>
            <w:hideMark/>
          </w:tcPr>
          <w:p w:rsidR="005F5DE5" w:rsidRPr="007333E8" w:rsidRDefault="005F5DE5" w:rsidP="003D0E43">
            <w:pPr>
              <w:spacing w:before="0" w:after="0"/>
              <w:jc w:val="center"/>
              <w:rPr>
                <w:rFonts w:cs="Times New Roman"/>
                <w:sz w:val="20"/>
                <w:lang w:val="it-IT"/>
              </w:rPr>
            </w:pPr>
            <w:r>
              <w:rPr>
                <w:rFonts w:cs="Times New Roman"/>
                <w:sz w:val="20"/>
                <w:lang w:val="it-IT"/>
              </w:rPr>
              <w:t>Subgroup</w:t>
            </w:r>
          </w:p>
        </w:tc>
        <w:tc>
          <w:tcPr>
            <w:tcW w:w="9442" w:type="dxa"/>
            <w:gridSpan w:val="2"/>
            <w:shd w:val="clear" w:color="auto" w:fill="auto"/>
            <w:noWrap/>
            <w:vAlign w:val="center"/>
            <w:hideMark/>
          </w:tcPr>
          <w:p w:rsidR="005F5DE5" w:rsidRPr="007333E8" w:rsidRDefault="005F5DE5" w:rsidP="003D0E43">
            <w:pPr>
              <w:spacing w:before="0" w:after="0"/>
              <w:jc w:val="center"/>
              <w:rPr>
                <w:rFonts w:cs="Times New Roman"/>
                <w:sz w:val="20"/>
                <w:lang w:val="it-IT"/>
              </w:rPr>
            </w:pPr>
            <w:r>
              <w:rPr>
                <w:rFonts w:cs="Times New Roman"/>
                <w:sz w:val="20"/>
                <w:lang w:val="it-IT"/>
              </w:rPr>
              <w:t>Strategy</w:t>
            </w:r>
          </w:p>
        </w:tc>
        <w:tc>
          <w:tcPr>
            <w:tcW w:w="995" w:type="dxa"/>
            <w:shd w:val="clear" w:color="auto" w:fill="auto"/>
            <w:noWrap/>
            <w:vAlign w:val="center"/>
            <w:hideMark/>
          </w:tcPr>
          <w:p w:rsidR="005F5DE5" w:rsidRPr="001A06F4" w:rsidRDefault="005F5DE5" w:rsidP="003D0E43">
            <w:pPr>
              <w:spacing w:before="0" w:after="0"/>
              <w:jc w:val="center"/>
              <w:rPr>
                <w:rFonts w:cs="Times New Roman"/>
                <w:sz w:val="20"/>
                <w:lang w:val="en-US"/>
              </w:rPr>
            </w:pPr>
            <w:r w:rsidRPr="001A06F4">
              <w:rPr>
                <w:rFonts w:cs="Times New Roman"/>
                <w:sz w:val="20"/>
                <w:lang w:val="en-US"/>
              </w:rPr>
              <w:t xml:space="preserve">No. of studies per </w:t>
            </w:r>
            <w:r>
              <w:rPr>
                <w:rFonts w:cs="Times New Roman"/>
                <w:sz w:val="20"/>
                <w:lang w:val="en-US"/>
              </w:rPr>
              <w:t>sub</w:t>
            </w:r>
            <w:r w:rsidRPr="001A06F4">
              <w:rPr>
                <w:rFonts w:cs="Times New Roman"/>
                <w:sz w:val="20"/>
                <w:lang w:val="en-US"/>
              </w:rPr>
              <w:t>group</w:t>
            </w:r>
          </w:p>
        </w:tc>
        <w:tc>
          <w:tcPr>
            <w:tcW w:w="866" w:type="dxa"/>
            <w:shd w:val="clear" w:color="auto" w:fill="auto"/>
            <w:noWrap/>
            <w:vAlign w:val="center"/>
            <w:hideMark/>
          </w:tcPr>
          <w:p w:rsidR="005F5DE5" w:rsidRPr="001A06F4" w:rsidRDefault="005F5DE5" w:rsidP="003D0E43">
            <w:pPr>
              <w:spacing w:before="0" w:after="0"/>
              <w:jc w:val="center"/>
              <w:rPr>
                <w:rFonts w:cs="Times New Roman"/>
                <w:sz w:val="20"/>
                <w:lang w:val="en-US"/>
              </w:rPr>
            </w:pPr>
            <w:r w:rsidRPr="001A06F4">
              <w:rPr>
                <w:rFonts w:cs="Times New Roman"/>
                <w:sz w:val="20"/>
                <w:lang w:val="en-US"/>
              </w:rPr>
              <w:t>No. of studies per strategy</w:t>
            </w:r>
          </w:p>
        </w:tc>
      </w:tr>
      <w:tr w:rsidR="005F5DE5" w:rsidRPr="007333E8" w:rsidTr="003D0E43">
        <w:trPr>
          <w:trHeight w:val="108"/>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1503"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Stakeholder inclusion</w:t>
            </w: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Engagement of professional fishers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Engagement of fishers and fishing cooperatives into MPA design, management, rule-agreement and surveillance</w:t>
            </w:r>
          </w:p>
        </w:tc>
        <w:tc>
          <w:tcPr>
            <w:tcW w:w="995"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13</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40</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Presence of fishermen within the MPA management board</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Creation of fishers management subcommittees with support from coordinator and monitoring teams, with decision powers on regulation changes, penalty impositions, use of space, size and/or catch limitations, and others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220"/>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Engagement of local communities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Involvement of local communities in MPA consultation, designation, decision-making and management processes through community-based co-management organizations</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12</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220"/>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Engagement of local leaders to foster voluntary surveillance</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Involvement of an NGO to assist the local community with participation and to establish a collaborative platform</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Incorporate goals and objectives of local communities into the development of MPA proposals to provide communities with a greater sense of ownership</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Promotion of joint ventures among different stakeholder classes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Participation of various stakeholder groups in MPA institutional design (i.e., setting boundaries, rule-making), MPA establishment and implementation, MPA management</w:t>
            </w:r>
          </w:p>
        </w:tc>
        <w:tc>
          <w:tcPr>
            <w:tcW w:w="995"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Creation of a permanent governance and co-management body including government members, fishers, fishing industry, academia and environmental NGOs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22"/>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shd w:val="clear" w:color="auto" w:fill="auto"/>
            <w:noWrap/>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Engagement of recreational fishers</w:t>
            </w:r>
          </w:p>
        </w:tc>
        <w:tc>
          <w:tcPr>
            <w:tcW w:w="418"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Involvement of recreational fishers into MPA planning, design, enforcement, advocacy, conservation, management and research</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15"/>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noWrap/>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Engagement of enterpreneurs</w:t>
            </w:r>
          </w:p>
        </w:tc>
        <w:tc>
          <w:tcPr>
            <w:tcW w:w="418"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Engagement of entrepreneurs in existing networks with coastal communities to create and exploit opportunities for marine conservation</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15"/>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1503"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Improve communication/</w:t>
            </w:r>
          </w:p>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Raise awareness</w:t>
            </w: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Communication to stakeholders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Increase social capital by implementing outreach education activities for government officials, teachers, students, tourism operators, the general public and all visitors in the MPA, including: environmental education, awareness about human impacts on environment, importance/vulnerability of marine ecosystems, understanding and acceptance of MPA objectives, benefits of MPAs, desired MPA outcomes</w:t>
            </w:r>
          </w:p>
        </w:tc>
        <w:tc>
          <w:tcPr>
            <w:tcW w:w="995"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25</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38</w:t>
            </w: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Investment in community outreach to help retain political support, to the extent that public perceptions may influence government decisions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Facilitate community support for MPAs and creating a sense of pride and recognition by pairing stakeholder engagement with educational efforts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Launch communication campaigns based on: brochures, websites, social media, events, school campaigns and visits, volunteering programs, tourist activities, shows, concerts, workshops on local gastronomy and food sustainability</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Consultation with affected communities about what positive MPA impacts are desired at the local level</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6</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Communicate with all stakeholders before establishing MPAs to gather perceptions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7</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Involvement of fishers to communicate with tourists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8</w:t>
            </w:r>
          </w:p>
        </w:tc>
        <w:tc>
          <w:tcPr>
            <w:tcW w:w="9024" w:type="dxa"/>
            <w:shd w:val="clear" w:color="auto" w:fill="auto"/>
            <w:noWrap/>
            <w:vAlign w:val="center"/>
            <w:hideMark/>
          </w:tcPr>
          <w:p w:rsidR="005F5DE5" w:rsidRPr="007333E8" w:rsidRDefault="005F5DE5" w:rsidP="003D0E43">
            <w:pPr>
              <w:spacing w:before="0" w:after="0"/>
              <w:rPr>
                <w:rFonts w:cs="Times New Roman"/>
                <w:b w:val="0"/>
                <w:sz w:val="20"/>
                <w:lang w:val="it-IT"/>
              </w:rPr>
            </w:pPr>
            <w:r w:rsidRPr="007333E8">
              <w:rPr>
                <w:rFonts w:cs="Times New Roman"/>
                <w:b w:val="0"/>
                <w:sz w:val="20"/>
                <w:lang w:val="it-IT"/>
              </w:rPr>
              <w:t>Improved MPA signage</w:t>
            </w:r>
          </w:p>
        </w:tc>
        <w:tc>
          <w:tcPr>
            <w:tcW w:w="995" w:type="dxa"/>
            <w:vMerge/>
            <w:vAlign w:val="center"/>
            <w:hideMark/>
          </w:tcPr>
          <w:p w:rsidR="005F5DE5" w:rsidRPr="007333E8" w:rsidRDefault="005F5DE5" w:rsidP="003D0E43">
            <w:pPr>
              <w:spacing w:before="0" w:after="0"/>
              <w:jc w:val="center"/>
              <w:rPr>
                <w:rFonts w:cs="Times New Roman"/>
                <w:b w:val="0"/>
                <w:sz w:val="20"/>
                <w:lang w:val="it-IT"/>
              </w:rPr>
            </w:pP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Fishery-specific communication</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Launch education programs to raise awareness about marine conservation for fishers and emphasize how poaching personally affects fishers, to promote stewardship norms and moral responsibility, to enhance participation and compliance, to inform fishers about MPA and its rules and benefits, and to increase MPA acceptance</w:t>
            </w:r>
          </w:p>
        </w:tc>
        <w:tc>
          <w:tcPr>
            <w:tcW w:w="995"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13</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42"/>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Increase dialogue among scientists, managers and fishers to reduce the disparity in understanding fisheries benefits from MPAs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lastRenderedPageBreak/>
              <w:t>3</w:t>
            </w:r>
          </w:p>
        </w:tc>
        <w:tc>
          <w:tcPr>
            <w:tcW w:w="1503"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Enforcement and monitoring, control and surveillance</w:t>
            </w:r>
          </w:p>
        </w:tc>
        <w:tc>
          <w:tcPr>
            <w:tcW w:w="2181"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Enforcement and monitoring, control and surveillance</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Ensure sufficient enforcement of rules for both professional and recreational fisheries to tackle non-compliance and ensure resource rebuilding</w:t>
            </w:r>
          </w:p>
        </w:tc>
        <w:tc>
          <w:tcPr>
            <w:tcW w:w="995"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31</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32</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Increase patrol numbers, drones, centers to facilitate night patrol, and appoint honorary wardens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Tackle free-riding that undermines the stability of voluntary agreements between fishers and MPAs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Improve anti-poaching activities and land-based video monitoring</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Implement and respect MPA zoning and clearly define MPA boundaries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6</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Implement enforcement only after fishers have been included in management; otherwise it might lead to counterproductive results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7</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Ensure surveillance resources including publicly-supported ones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8</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Ensure that sufficient surveillance technologies are available to enforce all restrictions equitably on all local and incoming users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9</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Address driving forces for non-compliance</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10</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Ensure the enforcement of Territorial Use Rights for Fisheries (TURF) by supporting fisher associations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Ensure clear penalties and sanctions against perpetrators are in place, as well as that the latter are paid in full</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Control restaurants and fishmongers to make sure that they do not buy fish on the black market</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15"/>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Secure enforcement through collaboration between MPA rangers and police</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220"/>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1503"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Increase and secure funding/human resources</w:t>
            </w:r>
          </w:p>
        </w:tc>
        <w:tc>
          <w:tcPr>
            <w:tcW w:w="2181"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Increase and secure funding/human resources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Establish and strengthen sustainable and long-term funding streams for adequate staffing, socio-ecological monitoring and data collection, enforcement, stakeholder permanent committees, and adaptive management</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24</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26</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7333E8" w:rsidRDefault="005F5DE5" w:rsidP="003D0E43">
            <w:pPr>
              <w:spacing w:before="0" w:after="0"/>
              <w:rPr>
                <w:rFonts w:cs="Times New Roman"/>
                <w:b w:val="0"/>
                <w:sz w:val="20"/>
                <w:lang w:val="it-IT"/>
              </w:rPr>
            </w:pPr>
            <w:r>
              <w:rPr>
                <w:rFonts w:cs="Times New Roman"/>
                <w:b w:val="0"/>
                <w:sz w:val="20"/>
                <w:lang w:val="it-IT"/>
              </w:rPr>
              <w:t>Determine</w:t>
            </w:r>
            <w:r w:rsidRPr="007333E8">
              <w:rPr>
                <w:rFonts w:cs="Times New Roman"/>
                <w:b w:val="0"/>
                <w:sz w:val="20"/>
                <w:lang w:val="it-IT"/>
              </w:rPr>
              <w:t xml:space="preserve"> precise funding needs</w:t>
            </w:r>
          </w:p>
        </w:tc>
        <w:tc>
          <w:tcPr>
            <w:tcW w:w="995" w:type="dxa"/>
            <w:vMerge/>
            <w:vAlign w:val="center"/>
            <w:hideMark/>
          </w:tcPr>
          <w:p w:rsidR="005F5DE5" w:rsidRPr="007333E8" w:rsidRDefault="005F5DE5" w:rsidP="003D0E43">
            <w:pPr>
              <w:spacing w:before="0" w:after="0"/>
              <w:jc w:val="center"/>
              <w:rPr>
                <w:rFonts w:cs="Times New Roman"/>
                <w:b w:val="0"/>
                <w:sz w:val="20"/>
                <w:lang w:val="it-IT"/>
              </w:rPr>
            </w:pP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7333E8" w:rsidRDefault="005F5DE5" w:rsidP="003D0E43">
            <w:pPr>
              <w:spacing w:before="0" w:after="0"/>
              <w:rPr>
                <w:rFonts w:cs="Times New Roman"/>
                <w:b w:val="0"/>
                <w:sz w:val="20"/>
                <w:lang w:val="it-IT"/>
              </w:rPr>
            </w:pPr>
            <w:r w:rsidRPr="007333E8">
              <w:rPr>
                <w:rFonts w:cs="Times New Roman"/>
                <w:b w:val="0"/>
                <w:sz w:val="20"/>
                <w:lang w:val="it-IT"/>
              </w:rPr>
              <w:t>Diversify income sources</w:t>
            </w:r>
          </w:p>
        </w:tc>
        <w:tc>
          <w:tcPr>
            <w:tcW w:w="995" w:type="dxa"/>
            <w:vMerge/>
            <w:vAlign w:val="center"/>
            <w:hideMark/>
          </w:tcPr>
          <w:p w:rsidR="005F5DE5" w:rsidRPr="007333E8" w:rsidRDefault="005F5DE5" w:rsidP="003D0E43">
            <w:pPr>
              <w:spacing w:before="0" w:after="0"/>
              <w:jc w:val="center"/>
              <w:rPr>
                <w:rFonts w:cs="Times New Roman"/>
                <w:b w:val="0"/>
                <w:sz w:val="20"/>
                <w:lang w:val="it-IT"/>
              </w:rPr>
            </w:pP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noWrap/>
            <w:vAlign w:val="center"/>
            <w:hideMark/>
          </w:tcPr>
          <w:p w:rsidR="005F5DE5" w:rsidRPr="007333E8" w:rsidRDefault="005F5DE5" w:rsidP="003D0E43">
            <w:pPr>
              <w:spacing w:before="0" w:after="0"/>
              <w:jc w:val="left"/>
              <w:rPr>
                <w:rFonts w:cs="Times New Roman"/>
                <w:b w:val="0"/>
                <w:sz w:val="20"/>
                <w:lang w:val="it-IT"/>
              </w:rPr>
            </w:pPr>
            <w:r>
              <w:rPr>
                <w:rFonts w:cs="Times New Roman"/>
                <w:b w:val="0"/>
                <w:sz w:val="20"/>
                <w:lang w:val="it-IT"/>
              </w:rPr>
              <w:t>NGO</w:t>
            </w:r>
            <w:r w:rsidRPr="007333E8">
              <w:rPr>
                <w:rFonts w:cs="Times New Roman"/>
                <w:b w:val="0"/>
                <w:sz w:val="20"/>
                <w:lang w:val="it-IT"/>
              </w:rPr>
              <w:t>/private/</w:t>
            </w:r>
          </w:p>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Philantropic funding</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Explore new revenue streams from NGOs and private/philantropic sectors</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6</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09"/>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Visitor fees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Introduce, increase, collect and widely apply diving and visitor fees</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Public funding</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Source funding from government social, educational and environmental budgets</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Apply for projects under the European Regional Development Fund (ERDF) as well as other regional funds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Conservation-finance area</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Secure funding through Conservation finance area "CFA"</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Pr>
                <w:rFonts w:cs="Times New Roman"/>
                <w:b w:val="0"/>
                <w:sz w:val="20"/>
                <w:lang w:val="it-IT"/>
              </w:rPr>
              <w:t>MPA</w:t>
            </w:r>
            <w:r w:rsidRPr="007333E8">
              <w:rPr>
                <w:rFonts w:cs="Times New Roman"/>
                <w:b w:val="0"/>
                <w:sz w:val="20"/>
                <w:lang w:val="it-IT"/>
              </w:rPr>
              <w:t xml:space="preserve"> fund</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Establish an MPA fund to enhance financial sustainability and provide more financial flexibility for MPA management</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Ecotourism</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Reinvest revenues generated from ecotourism to support MPA management and environmental education programs</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Fines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 xml:space="preserve">Reinvest revenues generated from fines for infractions </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Non-extractive use rights from industry</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Reinvest revenues generated from non-extractive use rights from shipping, transport and telecommunications industries</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Research permits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Reinvest revenues generated from non-extractive use rights from research institutions</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42"/>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Biodiversity offsets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Gather biodiversity offsets from the oil and gas sector</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444"/>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5</w:t>
            </w:r>
          </w:p>
        </w:tc>
        <w:tc>
          <w:tcPr>
            <w:tcW w:w="1503"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Presence of management objectives and plans</w:t>
            </w:r>
          </w:p>
        </w:tc>
        <w:tc>
          <w:tcPr>
            <w:tcW w:w="2181"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Presence of management objectives and plans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Provide the MPA with clearly-stated, MPA-specific, uncertainty-accounting, consistent and compatible vision, objectives, management plans, restrictions, priorities, research regulations, boundaries and responsibilities</w:t>
            </w:r>
          </w:p>
        </w:tc>
        <w:tc>
          <w:tcPr>
            <w:tcW w:w="995"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22</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22</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Officially approve the MPA management plan</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Existence of a management plan for artisanal fisheries inside the MPA</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Management goals and objectives that are prepared with local communities and reflect their interests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Ensure clarity and consistency in defining roles and responsibilities of different authorities and organisations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6</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Periodical reassessment of MPA goals and objectives, and their readjustment when needed</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49"/>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7</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Ensure clarity and consistency in defining legal objectives of MPAs, general and zone restrictions, jurisdictional boundaries, roles and responsibilities of different authorities and organizations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6</w:t>
            </w:r>
          </w:p>
        </w:tc>
        <w:tc>
          <w:tcPr>
            <w:tcW w:w="1503"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Research/</w:t>
            </w:r>
          </w:p>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Capacity development</w:t>
            </w: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Implement sound scientific research</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Establish a comprehensive scientific research framework</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11</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17</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Provide rigorous scientific information through ecological and environmental monitoring to improve habitat protection and ensure that clear, consistent, and useful information is available to guide MPA decision-making</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Carry out baseline monitoring and characterization of MPAs as well as long-term monitoring of MPA impacts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42"/>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Integrate local knowledge in MPA decision-making through participatory research projects among scientists, fishers and other relevant stakeholder groups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Capacity development</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Strengthen capacity of national and local institutions and create new capacity through formal and informal educational initiatives</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7</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Widen the professional MPA network through co-operation with research institutions and participation in national and international meetings and conferences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Provide education and training in business administration and logistics to the fishing sector to help maximise their fisheries income</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42"/>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Engage fishers in marine research</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332"/>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7</w:t>
            </w:r>
          </w:p>
        </w:tc>
        <w:tc>
          <w:tcPr>
            <w:tcW w:w="1503"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Enhance legislation/</w:t>
            </w:r>
          </w:p>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Secure political will</w:t>
            </w: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Legislation</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Presence of international-regional-national-local regulatory obligations that require effective conservation through MPAs</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9</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15</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Improve national and local legislation to: promote enforcement, reduce incentive to poaching, increase penalties for non-compliance, address special issues of artisanal fisheries, promote co-management and territorial approaches, back the establishment of voluntary agreements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Require a license for recreational fishing, in order to make it less profitable and attractive for those looking for an easy profit through illegal fish sale</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240"/>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noWrap/>
            <w:vAlign w:val="bottom"/>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Incorporate the ecosystem service concept and local people’s perceptions of ecosystem service into policy-related decisions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Political will</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Presence of a political will to control tourism, coastal development and illegal fishing, and to enforce regulations to protect natural resources and have effective MPAs in place</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8</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42"/>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Ensure clear and long-run commitment from government agencies as well as government support for MPAs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332"/>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8</w:t>
            </w:r>
          </w:p>
        </w:tc>
        <w:tc>
          <w:tcPr>
            <w:tcW w:w="1503"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Economic and market-based incentives</w:t>
            </w: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Livelihood diversification</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Diversify livelihoods to reduce pressure on stocks and to improve resilience of local communities, namely fishing ones, by: introducing appropriate incentives, proposing economic alternatives to fishing and promoting alternative livelihoods e.g. water taxis or MPA rangers</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9</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13</w:t>
            </w: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Work with tourism through gastronomic workshops or underwater photo competitions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Prioritize local employment in the MPA e.g. dive operators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967"/>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Compensation</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 xml:space="preserve">Appropriate economic benefits/compensations must be generated for fishers to mitigate negative socio-economic impacts of MPAs. Namely: introducing incentives to encourage compliance such as compensation for lost </w:t>
            </w:r>
            <w:r>
              <w:rPr>
                <w:rFonts w:cs="Times New Roman"/>
                <w:b w:val="0"/>
                <w:sz w:val="20"/>
                <w:lang w:val="it-IT"/>
              </w:rPr>
              <w:t>ﬁ</w:t>
            </w:r>
            <w:r w:rsidRPr="001A06F4">
              <w:rPr>
                <w:rFonts w:cs="Times New Roman"/>
                <w:b w:val="0"/>
                <w:sz w:val="20"/>
                <w:lang w:val="en-US"/>
              </w:rPr>
              <w:t>shing grounds (e.g. by creating arti</w:t>
            </w:r>
            <w:r w:rsidRPr="007333E8">
              <w:rPr>
                <w:rFonts w:cs="Times New Roman"/>
                <w:b w:val="0"/>
                <w:sz w:val="20"/>
                <w:lang w:val="it-IT"/>
              </w:rPr>
              <w:t>ﬁ</w:t>
            </w:r>
            <w:r w:rsidRPr="001A06F4">
              <w:rPr>
                <w:rFonts w:cs="Times New Roman"/>
                <w:b w:val="0"/>
                <w:sz w:val="20"/>
                <w:lang w:val="en-US"/>
              </w:rPr>
              <w:t xml:space="preserve">cial reefs), ensuring that good </w:t>
            </w:r>
            <w:r w:rsidRPr="007333E8">
              <w:rPr>
                <w:rFonts w:cs="Times New Roman"/>
                <w:b w:val="0"/>
                <w:sz w:val="20"/>
                <w:lang w:val="it-IT"/>
              </w:rPr>
              <w:t>ﬁ</w:t>
            </w:r>
            <w:r w:rsidRPr="001A06F4">
              <w:rPr>
                <w:rFonts w:cs="Times New Roman"/>
                <w:b w:val="0"/>
                <w:sz w:val="20"/>
                <w:lang w:val="en-US"/>
              </w:rPr>
              <w:t>shing grounds are accessible in close range of local communities, implementing strategies for adding value to seafood products, introducing direct economic compensation of fishers for loss of fishing grounds until compensation by spillover occurs, co-designing MBI-programs with artisanal fishers to compensate them through outcome-based philantrophy and biodiversity offsets</w:t>
            </w:r>
          </w:p>
        </w:tc>
        <w:tc>
          <w:tcPr>
            <w:tcW w:w="995"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6</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461"/>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Eco-labelling</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Encourage seafood certification and eco-labelling (capitalising on routine data collection, assessment and management activities already carried out in well-managed MPAs can reduce certification costs, which are generally out of reach for artisanal fishery communities)</w:t>
            </w:r>
          </w:p>
        </w:tc>
        <w:tc>
          <w:tcPr>
            <w:tcW w:w="995"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9</w:t>
            </w:r>
          </w:p>
        </w:tc>
        <w:tc>
          <w:tcPr>
            <w:tcW w:w="1503"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Peer pressure</w:t>
            </w: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Direct involvement of fishers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Involve recreational fishers into MPA monitoring</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10</w:t>
            </w:r>
          </w:p>
        </w:tc>
        <w:tc>
          <w:tcPr>
            <w:tcW w:w="866"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10</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noWrap/>
            <w:vAlign w:val="bottom"/>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Recruit and training former fishers as park rangers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Ease voluntary reporting of rule violations by fishers also through fishers’ involvement in all MPA phases so to increase acceptance</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42"/>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Ease fishers reporting to the MPA Consortium staff in case of poaching by non-residents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42"/>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10</w:t>
            </w:r>
          </w:p>
        </w:tc>
        <w:tc>
          <w:tcPr>
            <w:tcW w:w="1503"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Pr>
                <w:rFonts w:cs="Times New Roman"/>
                <w:b w:val="0"/>
                <w:sz w:val="20"/>
                <w:lang w:val="it-IT"/>
              </w:rPr>
              <w:t>Conflict avoidance and resolution</w:t>
            </w:r>
          </w:p>
        </w:tc>
        <w:tc>
          <w:tcPr>
            <w:tcW w:w="2181" w:type="dxa"/>
            <w:vMerge w:val="restart"/>
            <w:shd w:val="clear" w:color="auto" w:fill="auto"/>
            <w:noWrap/>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Conflict avoidance</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Map and quantify conflicting stakeholder groups</w:t>
            </w:r>
          </w:p>
        </w:tc>
        <w:tc>
          <w:tcPr>
            <w:tcW w:w="995"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7</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9</w:t>
            </w: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Implement multiple-use zones in agreement with stakeholders to provide a legal and spatial basis for controlling conflicts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Discuss spatial management and spatial conflicts with fishers to identify win-win solutions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34"/>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Implement a systematic application of zoning criteria to reduce conflicts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42"/>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Adapt existing regulations to local specificity to reduce conflicts between policy makers and local community</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42"/>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shd w:val="clear" w:color="auto" w:fill="auto"/>
            <w:noWrap/>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Conflict resolution</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Solve conflicts among directly-competing user groups, namely fishers vs tourism/divers</w:t>
            </w:r>
          </w:p>
        </w:tc>
        <w:tc>
          <w:tcPr>
            <w:tcW w:w="995" w:type="dxa"/>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866" w:type="dxa"/>
            <w:vMerge/>
            <w:vAlign w:val="center"/>
            <w:hideMark/>
          </w:tcPr>
          <w:p w:rsidR="005F5DE5" w:rsidRPr="007333E8" w:rsidRDefault="005F5DE5" w:rsidP="003D0E43">
            <w:pPr>
              <w:spacing w:before="0" w:after="0"/>
              <w:jc w:val="center"/>
              <w:rPr>
                <w:rFonts w:cs="Times New Roman"/>
                <w:b w:val="0"/>
                <w:sz w:val="20"/>
                <w:lang w:val="it-IT"/>
              </w:rPr>
            </w:pPr>
          </w:p>
        </w:tc>
      </w:tr>
      <w:tr w:rsidR="005F5DE5" w:rsidRPr="007333E8" w:rsidTr="003D0E43">
        <w:trPr>
          <w:trHeight w:val="134"/>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lastRenderedPageBreak/>
              <w:t>11</w:t>
            </w:r>
          </w:p>
        </w:tc>
        <w:tc>
          <w:tcPr>
            <w:tcW w:w="1503"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Ecotourism</w:t>
            </w: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Promotion of ecotourism</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Promotion of ecotourism activities inside the MPA (e.g., snorkelling, diving, observation of marine fauna)</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Pr>
                <w:rFonts w:cs="Times New Roman"/>
                <w:b w:val="0"/>
                <w:sz w:val="20"/>
                <w:lang w:val="it-IT"/>
              </w:rPr>
              <w:t>9</w:t>
            </w:r>
          </w:p>
        </w:tc>
        <w:tc>
          <w:tcPr>
            <w:tcW w:w="866"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Pr>
                <w:rFonts w:cs="Times New Roman"/>
                <w:b w:val="0"/>
                <w:sz w:val="20"/>
                <w:lang w:val="it-IT"/>
              </w:rPr>
              <w:t>9</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Reduction of negative environmental impacts of tourism inside the MPA</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0"/>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Invest efforts for extending the tourism season</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0"/>
          <w:jc w:val="center"/>
        </w:trPr>
        <w:tc>
          <w:tcPr>
            <w:tcW w:w="690" w:type="dxa"/>
            <w:vMerge/>
            <w:vAlign w:val="center"/>
          </w:tcPr>
          <w:p w:rsidR="005F5DE5" w:rsidRPr="001A06F4" w:rsidRDefault="005F5DE5" w:rsidP="003D0E43">
            <w:pPr>
              <w:spacing w:before="0" w:after="0"/>
              <w:jc w:val="center"/>
              <w:rPr>
                <w:rFonts w:cs="Times New Roman"/>
                <w:b w:val="0"/>
                <w:sz w:val="20"/>
                <w:lang w:val="en-US"/>
              </w:rPr>
            </w:pPr>
          </w:p>
        </w:tc>
        <w:tc>
          <w:tcPr>
            <w:tcW w:w="1503" w:type="dxa"/>
            <w:vMerge/>
            <w:vAlign w:val="center"/>
          </w:tcPr>
          <w:p w:rsidR="005F5DE5" w:rsidRPr="001A06F4" w:rsidRDefault="005F5DE5" w:rsidP="003D0E43">
            <w:pPr>
              <w:spacing w:before="0" w:after="0"/>
              <w:jc w:val="left"/>
              <w:rPr>
                <w:rFonts w:cs="Times New Roman"/>
                <w:b w:val="0"/>
                <w:sz w:val="20"/>
                <w:lang w:val="en-US"/>
              </w:rPr>
            </w:pPr>
          </w:p>
        </w:tc>
        <w:tc>
          <w:tcPr>
            <w:tcW w:w="2181" w:type="dxa"/>
            <w:vMerge/>
            <w:vAlign w:val="center"/>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bottom"/>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Development of ecotourism as a source of MPA funding</w:t>
            </w:r>
          </w:p>
        </w:tc>
        <w:tc>
          <w:tcPr>
            <w:tcW w:w="995" w:type="dxa"/>
            <w:vMerge/>
            <w:vAlign w:val="center"/>
          </w:tcPr>
          <w:p w:rsidR="005F5DE5" w:rsidRPr="001A06F4" w:rsidRDefault="005F5DE5" w:rsidP="003D0E43">
            <w:pPr>
              <w:spacing w:before="0" w:after="0"/>
              <w:jc w:val="center"/>
              <w:rPr>
                <w:rFonts w:cs="Times New Roman"/>
                <w:b w:val="0"/>
                <w:sz w:val="20"/>
                <w:lang w:val="en-US"/>
              </w:rPr>
            </w:pPr>
          </w:p>
        </w:tc>
        <w:tc>
          <w:tcPr>
            <w:tcW w:w="866" w:type="dxa"/>
            <w:vMerge/>
            <w:vAlign w:val="center"/>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0"/>
          <w:jc w:val="center"/>
        </w:trPr>
        <w:tc>
          <w:tcPr>
            <w:tcW w:w="690" w:type="dxa"/>
            <w:vMerge/>
            <w:vAlign w:val="center"/>
          </w:tcPr>
          <w:p w:rsidR="005F5DE5" w:rsidRPr="001A06F4" w:rsidRDefault="005F5DE5" w:rsidP="003D0E43">
            <w:pPr>
              <w:spacing w:before="0" w:after="0"/>
              <w:jc w:val="center"/>
              <w:rPr>
                <w:rFonts w:cs="Times New Roman"/>
                <w:b w:val="0"/>
                <w:sz w:val="20"/>
                <w:lang w:val="en-US"/>
              </w:rPr>
            </w:pPr>
          </w:p>
        </w:tc>
        <w:tc>
          <w:tcPr>
            <w:tcW w:w="1503" w:type="dxa"/>
            <w:vMerge/>
            <w:vAlign w:val="center"/>
          </w:tcPr>
          <w:p w:rsidR="005F5DE5" w:rsidRPr="001A06F4" w:rsidRDefault="005F5DE5" w:rsidP="003D0E43">
            <w:pPr>
              <w:spacing w:before="0" w:after="0"/>
              <w:jc w:val="left"/>
              <w:rPr>
                <w:rFonts w:cs="Times New Roman"/>
                <w:b w:val="0"/>
                <w:sz w:val="20"/>
                <w:lang w:val="en-US"/>
              </w:rPr>
            </w:pPr>
          </w:p>
        </w:tc>
        <w:tc>
          <w:tcPr>
            <w:tcW w:w="2181" w:type="dxa"/>
            <w:vMerge/>
            <w:vAlign w:val="center"/>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Promotion of synergies among the MPA and the tourism and agricultural sectors</w:t>
            </w:r>
          </w:p>
        </w:tc>
        <w:tc>
          <w:tcPr>
            <w:tcW w:w="995" w:type="dxa"/>
            <w:vMerge/>
            <w:vAlign w:val="center"/>
          </w:tcPr>
          <w:p w:rsidR="005F5DE5" w:rsidRPr="001A06F4" w:rsidRDefault="005F5DE5" w:rsidP="003D0E43">
            <w:pPr>
              <w:spacing w:before="0" w:after="0"/>
              <w:jc w:val="center"/>
              <w:rPr>
                <w:rFonts w:cs="Times New Roman"/>
                <w:b w:val="0"/>
                <w:sz w:val="20"/>
                <w:lang w:val="en-US"/>
              </w:rPr>
            </w:pPr>
          </w:p>
        </w:tc>
        <w:tc>
          <w:tcPr>
            <w:tcW w:w="866" w:type="dxa"/>
            <w:vMerge/>
            <w:vAlign w:val="center"/>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0"/>
          <w:jc w:val="center"/>
        </w:trPr>
        <w:tc>
          <w:tcPr>
            <w:tcW w:w="690" w:type="dxa"/>
            <w:vMerge/>
            <w:vAlign w:val="center"/>
          </w:tcPr>
          <w:p w:rsidR="005F5DE5" w:rsidRPr="001A06F4" w:rsidRDefault="005F5DE5" w:rsidP="003D0E43">
            <w:pPr>
              <w:spacing w:before="0" w:after="0"/>
              <w:jc w:val="center"/>
              <w:rPr>
                <w:rFonts w:cs="Times New Roman"/>
                <w:b w:val="0"/>
                <w:sz w:val="20"/>
                <w:lang w:val="en-US"/>
              </w:rPr>
            </w:pPr>
          </w:p>
        </w:tc>
        <w:tc>
          <w:tcPr>
            <w:tcW w:w="1503" w:type="dxa"/>
            <w:vMerge/>
            <w:vAlign w:val="center"/>
          </w:tcPr>
          <w:p w:rsidR="005F5DE5" w:rsidRPr="001A06F4" w:rsidRDefault="005F5DE5" w:rsidP="003D0E43">
            <w:pPr>
              <w:spacing w:before="0" w:after="0"/>
              <w:jc w:val="left"/>
              <w:rPr>
                <w:rFonts w:cs="Times New Roman"/>
                <w:b w:val="0"/>
                <w:sz w:val="20"/>
                <w:lang w:val="en-US"/>
              </w:rPr>
            </w:pPr>
          </w:p>
        </w:tc>
        <w:tc>
          <w:tcPr>
            <w:tcW w:w="2181" w:type="dxa"/>
            <w:vMerge/>
            <w:vAlign w:val="center"/>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6</w:t>
            </w:r>
          </w:p>
        </w:tc>
        <w:tc>
          <w:tcPr>
            <w:tcW w:w="9024" w:type="dxa"/>
            <w:shd w:val="clear" w:color="auto" w:fill="auto"/>
            <w:noWrap/>
            <w:vAlign w:val="center"/>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Promotion of green marketing for tourism inside the MPA</w:t>
            </w:r>
          </w:p>
        </w:tc>
        <w:tc>
          <w:tcPr>
            <w:tcW w:w="995" w:type="dxa"/>
            <w:vMerge/>
            <w:vAlign w:val="center"/>
          </w:tcPr>
          <w:p w:rsidR="005F5DE5" w:rsidRPr="001A06F4" w:rsidRDefault="005F5DE5" w:rsidP="003D0E43">
            <w:pPr>
              <w:spacing w:before="0" w:after="0"/>
              <w:jc w:val="center"/>
              <w:rPr>
                <w:rFonts w:cs="Times New Roman"/>
                <w:b w:val="0"/>
                <w:sz w:val="20"/>
                <w:lang w:val="en-US"/>
              </w:rPr>
            </w:pPr>
          </w:p>
        </w:tc>
        <w:tc>
          <w:tcPr>
            <w:tcW w:w="866" w:type="dxa"/>
            <w:vMerge/>
            <w:vAlign w:val="center"/>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63"/>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shd w:val="clear" w:color="auto" w:fill="auto"/>
            <w:vAlign w:val="center"/>
            <w:hideMark/>
          </w:tcPr>
          <w:p w:rsidR="005F5DE5" w:rsidRPr="007333E8" w:rsidRDefault="005F5DE5" w:rsidP="003D0E43">
            <w:pPr>
              <w:spacing w:before="0" w:after="0"/>
              <w:jc w:val="left"/>
              <w:rPr>
                <w:rFonts w:cs="Times New Roman"/>
                <w:b w:val="0"/>
                <w:sz w:val="20"/>
                <w:lang w:val="it-IT"/>
              </w:rPr>
            </w:pPr>
            <w:r>
              <w:rPr>
                <w:rFonts w:cs="Times New Roman"/>
                <w:b w:val="0"/>
                <w:sz w:val="20"/>
                <w:lang w:val="it-IT"/>
              </w:rPr>
              <w:t>Promotion of pescatourism</w:t>
            </w:r>
          </w:p>
        </w:tc>
        <w:tc>
          <w:tcPr>
            <w:tcW w:w="418" w:type="dxa"/>
            <w:shd w:val="clear" w:color="auto" w:fill="auto"/>
            <w:noWrap/>
            <w:vAlign w:val="center"/>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Reduction of bureaucratic obstacles and promotion of pescatourism in MPAs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08"/>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12</w:t>
            </w:r>
          </w:p>
        </w:tc>
        <w:tc>
          <w:tcPr>
            <w:tcW w:w="1503"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Infrastructures</w:t>
            </w:r>
            <w:r>
              <w:rPr>
                <w:rFonts w:cs="Times New Roman"/>
                <w:b w:val="0"/>
                <w:sz w:val="20"/>
                <w:lang w:val="it-IT"/>
              </w:rPr>
              <w:t xml:space="preserve"> and equipment</w:t>
            </w:r>
          </w:p>
        </w:tc>
        <w:tc>
          <w:tcPr>
            <w:tcW w:w="2181" w:type="dxa"/>
            <w:vMerge w:val="restart"/>
            <w:shd w:val="clear" w:color="auto" w:fill="auto"/>
            <w:vAlign w:val="center"/>
            <w:hideMark/>
          </w:tcPr>
          <w:p w:rsidR="005F5DE5" w:rsidRPr="007333E8" w:rsidRDefault="005F5DE5" w:rsidP="003D0E43">
            <w:pPr>
              <w:spacing w:before="0" w:after="0"/>
              <w:jc w:val="left"/>
              <w:rPr>
                <w:rFonts w:cs="Times New Roman"/>
                <w:b w:val="0"/>
                <w:sz w:val="20"/>
                <w:lang w:val="it-IT"/>
              </w:rPr>
            </w:pPr>
            <w:r w:rsidRPr="007333E8">
              <w:rPr>
                <w:rFonts w:cs="Times New Roman"/>
                <w:b w:val="0"/>
                <w:sz w:val="20"/>
                <w:lang w:val="it-IT"/>
              </w:rPr>
              <w:t>Securing adequate infrastructures</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Provide the MPA with adequate infrastructures to ensure its functioning (video and GPS monitoring technology for surveillance and enforcement, adequate demarcation buoys and mooring buoys for tourism, sufficient fuel for patrolling)</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7</w:t>
            </w:r>
          </w:p>
        </w:tc>
        <w:tc>
          <w:tcPr>
            <w:tcW w:w="866"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7</w:t>
            </w:r>
          </w:p>
        </w:tc>
      </w:tr>
      <w:tr w:rsidR="005F5DE5" w:rsidRPr="007333E8" w:rsidTr="003D0E43">
        <w:trPr>
          <w:trHeight w:val="108"/>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Introduction of an MPA-staff assistance for fishers in case of rough weather and/or technical problems to the boat to build a better relationship between MPA and fishers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42"/>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Reinvestment of MPA income in facilities including those for the local community</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42"/>
          <w:jc w:val="center"/>
        </w:trPr>
        <w:tc>
          <w:tcPr>
            <w:tcW w:w="690"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13</w:t>
            </w:r>
          </w:p>
        </w:tc>
        <w:tc>
          <w:tcPr>
            <w:tcW w:w="1503"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Considering the surrounding network of MPAs</w:t>
            </w:r>
          </w:p>
        </w:tc>
        <w:tc>
          <w:tcPr>
            <w:tcW w:w="2181" w:type="dxa"/>
            <w:vMerge w:val="restart"/>
            <w:shd w:val="clear" w:color="auto" w:fill="auto"/>
            <w:vAlign w:val="center"/>
            <w:hideMark/>
          </w:tcPr>
          <w:p w:rsidR="005F5DE5" w:rsidRPr="001A06F4" w:rsidRDefault="005F5DE5" w:rsidP="003D0E43">
            <w:pPr>
              <w:spacing w:before="0" w:after="0"/>
              <w:jc w:val="left"/>
              <w:rPr>
                <w:rFonts w:cs="Times New Roman"/>
                <w:b w:val="0"/>
                <w:sz w:val="20"/>
                <w:lang w:val="en-US"/>
              </w:rPr>
            </w:pPr>
            <w:r w:rsidRPr="001A06F4">
              <w:rPr>
                <w:rFonts w:cs="Times New Roman"/>
                <w:b w:val="0"/>
                <w:sz w:val="20"/>
                <w:lang w:val="en-US"/>
              </w:rPr>
              <w:t>Considering the surrounding network of MPAs when managing the mpa</w:t>
            </w: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Establishment of effective and timely communication streams with neighbouring MPAs</w:t>
            </w:r>
          </w:p>
        </w:tc>
        <w:tc>
          <w:tcPr>
            <w:tcW w:w="995" w:type="dxa"/>
            <w:vMerge w:val="restart"/>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c>
          <w:tcPr>
            <w:tcW w:w="866" w:type="dxa"/>
            <w:vMerge w:val="restart"/>
            <w:shd w:val="clear" w:color="auto" w:fill="auto"/>
            <w:noWrap/>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4</w:t>
            </w:r>
          </w:p>
        </w:tc>
      </w:tr>
      <w:tr w:rsidR="005F5DE5" w:rsidRPr="007333E8" w:rsidTr="003D0E43">
        <w:trPr>
          <w:trHeight w:val="134"/>
          <w:jc w:val="center"/>
        </w:trPr>
        <w:tc>
          <w:tcPr>
            <w:tcW w:w="690" w:type="dxa"/>
            <w:vMerge/>
            <w:vAlign w:val="center"/>
            <w:hideMark/>
          </w:tcPr>
          <w:p w:rsidR="005F5DE5" w:rsidRPr="007333E8" w:rsidRDefault="005F5DE5" w:rsidP="003D0E43">
            <w:pPr>
              <w:spacing w:before="0" w:after="0"/>
              <w:jc w:val="center"/>
              <w:rPr>
                <w:rFonts w:cs="Times New Roman"/>
                <w:b w:val="0"/>
                <w:sz w:val="20"/>
                <w:lang w:val="it-IT"/>
              </w:rPr>
            </w:pPr>
          </w:p>
        </w:tc>
        <w:tc>
          <w:tcPr>
            <w:tcW w:w="1503" w:type="dxa"/>
            <w:vMerge/>
            <w:vAlign w:val="center"/>
            <w:hideMark/>
          </w:tcPr>
          <w:p w:rsidR="005F5DE5" w:rsidRPr="007333E8" w:rsidRDefault="005F5DE5" w:rsidP="003D0E43">
            <w:pPr>
              <w:spacing w:before="0" w:after="0"/>
              <w:jc w:val="left"/>
              <w:rPr>
                <w:rFonts w:cs="Times New Roman"/>
                <w:b w:val="0"/>
                <w:sz w:val="20"/>
                <w:lang w:val="it-IT"/>
              </w:rPr>
            </w:pPr>
          </w:p>
        </w:tc>
        <w:tc>
          <w:tcPr>
            <w:tcW w:w="2181" w:type="dxa"/>
            <w:vMerge/>
            <w:vAlign w:val="center"/>
            <w:hideMark/>
          </w:tcPr>
          <w:p w:rsidR="005F5DE5" w:rsidRPr="007333E8" w:rsidRDefault="005F5DE5" w:rsidP="003D0E43">
            <w:pPr>
              <w:spacing w:before="0" w:after="0"/>
              <w:jc w:val="left"/>
              <w:rPr>
                <w:rFonts w:cs="Times New Roman"/>
                <w:b w:val="0"/>
                <w:sz w:val="20"/>
                <w:lang w:val="it-IT"/>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Gather inputs from regional networks of MPA managers and scientists to support stakeholder committees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r w:rsidR="005F5DE5" w:rsidRPr="007333E8" w:rsidTr="003D0E43">
        <w:trPr>
          <w:trHeight w:val="142"/>
          <w:jc w:val="center"/>
        </w:trPr>
        <w:tc>
          <w:tcPr>
            <w:tcW w:w="690" w:type="dxa"/>
            <w:vMerge/>
            <w:vAlign w:val="center"/>
            <w:hideMark/>
          </w:tcPr>
          <w:p w:rsidR="005F5DE5" w:rsidRPr="001A06F4" w:rsidRDefault="005F5DE5" w:rsidP="003D0E43">
            <w:pPr>
              <w:spacing w:before="0" w:after="0"/>
              <w:jc w:val="center"/>
              <w:rPr>
                <w:rFonts w:cs="Times New Roman"/>
                <w:b w:val="0"/>
                <w:sz w:val="20"/>
                <w:lang w:val="en-US"/>
              </w:rPr>
            </w:pPr>
          </w:p>
        </w:tc>
        <w:tc>
          <w:tcPr>
            <w:tcW w:w="1503" w:type="dxa"/>
            <w:vMerge/>
            <w:vAlign w:val="center"/>
            <w:hideMark/>
          </w:tcPr>
          <w:p w:rsidR="005F5DE5" w:rsidRPr="001A06F4" w:rsidRDefault="005F5DE5" w:rsidP="003D0E43">
            <w:pPr>
              <w:spacing w:before="0" w:after="0"/>
              <w:jc w:val="left"/>
              <w:rPr>
                <w:rFonts w:cs="Times New Roman"/>
                <w:b w:val="0"/>
                <w:sz w:val="20"/>
                <w:lang w:val="en-US"/>
              </w:rPr>
            </w:pPr>
          </w:p>
        </w:tc>
        <w:tc>
          <w:tcPr>
            <w:tcW w:w="2181" w:type="dxa"/>
            <w:vMerge/>
            <w:vAlign w:val="center"/>
            <w:hideMark/>
          </w:tcPr>
          <w:p w:rsidR="005F5DE5" w:rsidRPr="001A06F4" w:rsidRDefault="005F5DE5" w:rsidP="003D0E43">
            <w:pPr>
              <w:spacing w:before="0" w:after="0"/>
              <w:jc w:val="left"/>
              <w:rPr>
                <w:rFonts w:cs="Times New Roman"/>
                <w:b w:val="0"/>
                <w:sz w:val="20"/>
                <w:lang w:val="en-US"/>
              </w:rPr>
            </w:pPr>
          </w:p>
        </w:tc>
        <w:tc>
          <w:tcPr>
            <w:tcW w:w="418" w:type="dxa"/>
            <w:shd w:val="clear" w:color="auto" w:fill="auto"/>
            <w:vAlign w:val="center"/>
            <w:hideMark/>
          </w:tcPr>
          <w:p w:rsidR="005F5DE5" w:rsidRPr="007333E8" w:rsidRDefault="005F5DE5"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F5DE5" w:rsidRPr="001A06F4" w:rsidRDefault="005F5DE5" w:rsidP="003D0E43">
            <w:pPr>
              <w:spacing w:before="0" w:after="0"/>
              <w:rPr>
                <w:rFonts w:cs="Times New Roman"/>
                <w:b w:val="0"/>
                <w:sz w:val="20"/>
                <w:lang w:val="en-US"/>
              </w:rPr>
            </w:pPr>
            <w:r w:rsidRPr="001A06F4">
              <w:rPr>
                <w:rFonts w:cs="Times New Roman"/>
                <w:b w:val="0"/>
                <w:sz w:val="20"/>
                <w:lang w:val="en-US"/>
              </w:rPr>
              <w:t>Identification of additional protection needed to turn existing MPAs into effective, connected, functioning networks</w:t>
            </w:r>
          </w:p>
        </w:tc>
        <w:tc>
          <w:tcPr>
            <w:tcW w:w="995" w:type="dxa"/>
            <w:vMerge/>
            <w:vAlign w:val="center"/>
            <w:hideMark/>
          </w:tcPr>
          <w:p w:rsidR="005F5DE5" w:rsidRPr="001A06F4" w:rsidRDefault="005F5DE5" w:rsidP="003D0E43">
            <w:pPr>
              <w:spacing w:before="0" w:after="0"/>
              <w:jc w:val="center"/>
              <w:rPr>
                <w:rFonts w:cs="Times New Roman"/>
                <w:b w:val="0"/>
                <w:sz w:val="20"/>
                <w:lang w:val="en-US"/>
              </w:rPr>
            </w:pPr>
          </w:p>
        </w:tc>
        <w:tc>
          <w:tcPr>
            <w:tcW w:w="866" w:type="dxa"/>
            <w:vMerge/>
            <w:vAlign w:val="center"/>
            <w:hideMark/>
          </w:tcPr>
          <w:p w:rsidR="005F5DE5" w:rsidRPr="001A06F4" w:rsidRDefault="005F5DE5" w:rsidP="003D0E43">
            <w:pPr>
              <w:spacing w:before="0" w:after="0"/>
              <w:jc w:val="center"/>
              <w:rPr>
                <w:rFonts w:cs="Times New Roman"/>
                <w:b w:val="0"/>
                <w:sz w:val="20"/>
                <w:lang w:val="en-US"/>
              </w:rPr>
            </w:pPr>
          </w:p>
        </w:tc>
      </w:tr>
    </w:tbl>
    <w:p w:rsidR="005F5DE5" w:rsidRDefault="005F5DE5" w:rsidP="005F5DE5">
      <w:pPr>
        <w:spacing w:before="0" w:after="0"/>
        <w:rPr>
          <w:rFonts w:cs="Times New Roman"/>
          <w:b w:val="0"/>
          <w:lang w:val="en-AU"/>
        </w:rPr>
      </w:pPr>
    </w:p>
    <w:p w:rsidR="005F5DE5" w:rsidRDefault="005F5DE5" w:rsidP="005F5DE5">
      <w:pPr>
        <w:spacing w:before="0" w:after="0"/>
        <w:rPr>
          <w:rFonts w:cs="Times New Roman"/>
          <w:b w:val="0"/>
          <w:lang w:val="en-AU"/>
        </w:rPr>
        <w:sectPr w:rsidR="005F5DE5" w:rsidSect="00C810AF">
          <w:type w:val="continuous"/>
          <w:pgSz w:w="15840" w:h="12240" w:orient="landscape"/>
          <w:pgMar w:top="295" w:right="0" w:bottom="301" w:left="0" w:header="720" w:footer="720" w:gutter="0"/>
          <w:lnNumType w:countBy="1" w:restart="continuous"/>
          <w:cols w:space="720"/>
          <w:docGrid w:linePitch="360"/>
        </w:sectPr>
      </w:pPr>
    </w:p>
    <w:p w:rsidR="005F5DE5" w:rsidRDefault="005F5DE5" w:rsidP="005F5DE5">
      <w:pPr>
        <w:pStyle w:val="Didascalia"/>
        <w:keepNext/>
      </w:pPr>
      <w:r w:rsidRPr="00676A0D">
        <w:rPr>
          <w:b/>
        </w:rPr>
        <w:lastRenderedPageBreak/>
        <w:t>Tab. 2</w:t>
      </w:r>
      <w:r>
        <w:t xml:space="preserve"> Previous literature items mentioning the group of strategies for MPA effectiveness reported in this paper</w:t>
      </w:r>
    </w:p>
    <w:tbl>
      <w:tblPr>
        <w:tblStyle w:val="Grigliatabella"/>
        <w:tblW w:w="10988" w:type="dxa"/>
        <w:tblInd w:w="-714" w:type="dxa"/>
        <w:tblLook w:val="04A0" w:firstRow="1" w:lastRow="0" w:firstColumn="1" w:lastColumn="0" w:noHBand="0" w:noVBand="1"/>
      </w:tblPr>
      <w:tblGrid>
        <w:gridCol w:w="3240"/>
        <w:gridCol w:w="7748"/>
      </w:tblGrid>
      <w:tr w:rsidR="005F5DE5" w:rsidRPr="00933618" w:rsidTr="003D0E43">
        <w:trPr>
          <w:trHeight w:val="262"/>
        </w:trPr>
        <w:tc>
          <w:tcPr>
            <w:tcW w:w="3240" w:type="dxa"/>
          </w:tcPr>
          <w:p w:rsidR="005F5DE5" w:rsidRPr="00933618" w:rsidRDefault="005F5DE5" w:rsidP="003D0E43">
            <w:pPr>
              <w:spacing w:before="0" w:after="0" w:line="360" w:lineRule="auto"/>
              <w:rPr>
                <w:rFonts w:cs="Times New Roman"/>
                <w:b/>
                <w:sz w:val="20"/>
                <w:szCs w:val="24"/>
                <w:lang w:val="en-US"/>
              </w:rPr>
            </w:pPr>
            <w:r w:rsidRPr="00933618">
              <w:rPr>
                <w:rFonts w:cs="Times New Roman"/>
                <w:b/>
                <w:sz w:val="20"/>
                <w:szCs w:val="24"/>
                <w:lang w:val="en-US"/>
              </w:rPr>
              <w:t>Strategy group</w:t>
            </w:r>
          </w:p>
        </w:tc>
        <w:tc>
          <w:tcPr>
            <w:tcW w:w="7748" w:type="dxa"/>
          </w:tcPr>
          <w:p w:rsidR="005F5DE5" w:rsidRPr="00933618" w:rsidRDefault="005F5DE5" w:rsidP="003D0E43">
            <w:pPr>
              <w:spacing w:before="0" w:after="0" w:line="360" w:lineRule="auto"/>
              <w:rPr>
                <w:rFonts w:cs="Times New Roman"/>
                <w:b/>
                <w:sz w:val="20"/>
                <w:szCs w:val="24"/>
                <w:lang w:val="en-US"/>
              </w:rPr>
            </w:pPr>
            <w:r w:rsidRPr="00933618">
              <w:rPr>
                <w:rFonts w:cs="Times New Roman"/>
                <w:b/>
                <w:sz w:val="20"/>
                <w:szCs w:val="24"/>
                <w:lang w:val="en-US"/>
              </w:rPr>
              <w:t>Relevant literature</w:t>
            </w:r>
          </w:p>
        </w:tc>
      </w:tr>
      <w:tr w:rsidR="005F5DE5" w:rsidRPr="006D7087" w:rsidTr="003D0E43">
        <w:trPr>
          <w:trHeight w:val="262"/>
        </w:trPr>
        <w:tc>
          <w:tcPr>
            <w:tcW w:w="3240" w:type="dxa"/>
          </w:tcPr>
          <w:p w:rsidR="005F5DE5" w:rsidRPr="006D7087" w:rsidRDefault="005F5DE5" w:rsidP="003D0E43">
            <w:pPr>
              <w:spacing w:before="0" w:after="0" w:line="360" w:lineRule="auto"/>
              <w:rPr>
                <w:rFonts w:cs="Times New Roman"/>
                <w:b/>
                <w:sz w:val="20"/>
                <w:szCs w:val="24"/>
                <w:lang w:val="en-US"/>
              </w:rPr>
            </w:pPr>
            <w:r w:rsidRPr="006D7087">
              <w:rPr>
                <w:rFonts w:cs="Times New Roman"/>
                <w:sz w:val="20"/>
                <w:szCs w:val="24"/>
                <w:lang w:val="en-US"/>
              </w:rPr>
              <w:t>Stakeholder inclusion</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Massinga 1996; Pomeroy et al. 1997; Done and Reichelt 1998; Uychiaoco et al. 2000; White and Vogt 2000; Beger 2005; McLanahan et al. 2006; Rossiter and Levine 2014; Di Franco et al. 2016; Gallacher et al. 2016; Ahmad kamil et al. 2017; Gill et al. 2017; Jones et al. 2013; Mizrahi et al. 2018</w:t>
            </w:r>
          </w:p>
        </w:tc>
      </w:tr>
      <w:tr w:rsidR="005F5DE5" w:rsidRPr="006D7087" w:rsidTr="003D0E43">
        <w:trPr>
          <w:trHeight w:val="121"/>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Conflict avoidance and resolution</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Style w:val="fontstyle01"/>
                <w:rFonts w:cs="Times New Roman"/>
                <w:sz w:val="20"/>
                <w:szCs w:val="24"/>
              </w:rPr>
              <w:t xml:space="preserve">Agardy et al. 2003; Dalton </w:t>
            </w:r>
            <w:r w:rsidRPr="006D7087">
              <w:rPr>
                <w:rStyle w:val="fontstyle01"/>
                <w:rFonts w:ascii="Times New Roman" w:hAnsi="Times New Roman" w:cs="Times New Roman"/>
                <w:sz w:val="20"/>
                <w:szCs w:val="24"/>
              </w:rPr>
              <w:t>2005</w:t>
            </w:r>
            <w:r w:rsidRPr="006D7087">
              <w:rPr>
                <w:rStyle w:val="fontstyle01"/>
                <w:rFonts w:cs="Times New Roman"/>
                <w:sz w:val="20"/>
                <w:szCs w:val="24"/>
              </w:rPr>
              <w:t>; G</w:t>
            </w:r>
            <w:r w:rsidRPr="006D7087">
              <w:rPr>
                <w:rStyle w:val="fontstyle01"/>
                <w:rFonts w:ascii="Times New Roman" w:hAnsi="Times New Roman" w:cs="Times New Roman"/>
                <w:sz w:val="20"/>
                <w:szCs w:val="24"/>
              </w:rPr>
              <w:t xml:space="preserve">allacher et al. 2016; Pomeroy </w:t>
            </w:r>
            <w:r w:rsidRPr="006D7087">
              <w:rPr>
                <w:rStyle w:val="fontstyle01"/>
                <w:rFonts w:cs="Times New Roman"/>
                <w:sz w:val="20"/>
                <w:szCs w:val="24"/>
              </w:rPr>
              <w:t xml:space="preserve"> </w:t>
            </w:r>
            <w:r w:rsidRPr="006D7087">
              <w:rPr>
                <w:rStyle w:val="fontstyle01"/>
                <w:rFonts w:ascii="Times New Roman" w:hAnsi="Times New Roman" w:cs="Times New Roman"/>
                <w:sz w:val="20"/>
                <w:szCs w:val="24"/>
              </w:rPr>
              <w:t>2005</w:t>
            </w:r>
            <w:r w:rsidRPr="006D7087">
              <w:rPr>
                <w:rStyle w:val="fontstyle01"/>
                <w:rFonts w:cs="Times New Roman"/>
                <w:sz w:val="20"/>
                <w:szCs w:val="24"/>
              </w:rPr>
              <w:t xml:space="preserve">; </w:t>
            </w:r>
            <w:r w:rsidRPr="006D7087">
              <w:rPr>
                <w:rStyle w:val="fontstyle01"/>
                <w:rFonts w:ascii="Times New Roman" w:hAnsi="Times New Roman" w:cs="Times New Roman"/>
                <w:sz w:val="20"/>
                <w:szCs w:val="24"/>
              </w:rPr>
              <w:t>Rossiter and Levine 2014</w:t>
            </w:r>
          </w:p>
        </w:tc>
      </w:tr>
      <w:tr w:rsidR="005F5DE5" w:rsidRPr="006D7087" w:rsidTr="003D0E43">
        <w:trPr>
          <w:trHeight w:val="28"/>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Economic and market-based incentives</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Style w:val="fontstyle01"/>
                <w:rFonts w:cs="Times New Roman"/>
                <w:sz w:val="20"/>
                <w:szCs w:val="24"/>
              </w:rPr>
              <w:t>Rivera and N</w:t>
            </w:r>
            <w:r w:rsidRPr="006D7087">
              <w:rPr>
                <w:rStyle w:val="fontstyle01"/>
                <w:rFonts w:ascii="Times New Roman" w:hAnsi="Times New Roman" w:cs="Times New Roman"/>
                <w:sz w:val="20"/>
                <w:szCs w:val="24"/>
              </w:rPr>
              <w:t xml:space="preserve">ewkirk 1997; </w:t>
            </w:r>
            <w:r w:rsidRPr="006D7087">
              <w:rPr>
                <w:rStyle w:val="fontstyle01"/>
                <w:rFonts w:cs="Times New Roman"/>
                <w:sz w:val="20"/>
                <w:szCs w:val="24"/>
              </w:rPr>
              <w:t>P</w:t>
            </w:r>
            <w:r w:rsidRPr="006D7087">
              <w:rPr>
                <w:rStyle w:val="fontstyle01"/>
                <w:rFonts w:ascii="Times New Roman" w:hAnsi="Times New Roman" w:cs="Times New Roman"/>
                <w:sz w:val="20"/>
                <w:szCs w:val="24"/>
              </w:rPr>
              <w:t xml:space="preserve">ollnac </w:t>
            </w:r>
            <w:r w:rsidRPr="006D7087">
              <w:rPr>
                <w:rStyle w:val="fontstyle01"/>
                <w:rFonts w:cs="Times New Roman"/>
                <w:sz w:val="20"/>
                <w:szCs w:val="24"/>
              </w:rPr>
              <w:t xml:space="preserve">et al. </w:t>
            </w:r>
            <w:r w:rsidRPr="006D7087">
              <w:rPr>
                <w:rStyle w:val="fontstyle01"/>
                <w:rFonts w:ascii="Times New Roman" w:hAnsi="Times New Roman" w:cs="Times New Roman"/>
                <w:sz w:val="20"/>
                <w:szCs w:val="24"/>
              </w:rPr>
              <w:t>2001</w:t>
            </w:r>
            <w:r w:rsidRPr="006D7087">
              <w:rPr>
                <w:rStyle w:val="fontstyle01"/>
                <w:rFonts w:cs="Times New Roman"/>
                <w:sz w:val="20"/>
                <w:szCs w:val="24"/>
              </w:rPr>
              <w:t>; Beger 2005</w:t>
            </w:r>
            <w:r w:rsidRPr="006D7087">
              <w:rPr>
                <w:rStyle w:val="fontstyle01"/>
                <w:rFonts w:ascii="Times New Roman" w:hAnsi="Times New Roman" w:cs="Times New Roman"/>
                <w:sz w:val="20"/>
                <w:szCs w:val="24"/>
              </w:rPr>
              <w:t>; Jones et al. 2013</w:t>
            </w:r>
            <w:r w:rsidRPr="006D7087">
              <w:rPr>
                <w:rStyle w:val="fontstyle01"/>
                <w:rFonts w:cs="Times New Roman"/>
                <w:sz w:val="20"/>
                <w:szCs w:val="24"/>
              </w:rPr>
              <w:t>; Gallacher et al. 2016</w:t>
            </w:r>
          </w:p>
        </w:tc>
      </w:tr>
      <w:tr w:rsidR="005F5DE5" w:rsidRPr="006D7087" w:rsidTr="003D0E43">
        <w:trPr>
          <w:trHeight w:val="146"/>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Ecotourism/pescatourism</w:t>
            </w:r>
          </w:p>
        </w:tc>
        <w:tc>
          <w:tcPr>
            <w:tcW w:w="7748" w:type="dxa"/>
          </w:tcPr>
          <w:p w:rsidR="005F5DE5" w:rsidRPr="006D7087" w:rsidRDefault="005F5DE5" w:rsidP="003D0E43">
            <w:pPr>
              <w:spacing w:before="0" w:after="0" w:line="360" w:lineRule="auto"/>
              <w:jc w:val="left"/>
              <w:rPr>
                <w:rFonts w:cs="Times New Roman"/>
                <w:sz w:val="20"/>
                <w:szCs w:val="24"/>
                <w:lang w:val="en-US"/>
              </w:rPr>
            </w:pPr>
            <w:r w:rsidRPr="006D7087">
              <w:rPr>
                <w:rStyle w:val="fontstyle01"/>
                <w:sz w:val="20"/>
              </w:rPr>
              <w:t>Nordlund et al. 2013</w:t>
            </w:r>
          </w:p>
        </w:tc>
      </w:tr>
      <w:tr w:rsidR="005F5DE5" w:rsidRPr="006D7087" w:rsidTr="003D0E43">
        <w:trPr>
          <w:trHeight w:val="445"/>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Enforcement and monitoring, control and surveillance</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Style w:val="fontstyle01"/>
                <w:rFonts w:cs="Times New Roman"/>
                <w:sz w:val="20"/>
                <w:szCs w:val="24"/>
              </w:rPr>
              <w:t>R</w:t>
            </w:r>
            <w:r w:rsidRPr="006D7087">
              <w:rPr>
                <w:rStyle w:val="fontstyle01"/>
                <w:rFonts w:ascii="Times New Roman" w:hAnsi="Times New Roman" w:cs="Times New Roman"/>
                <w:sz w:val="20"/>
                <w:szCs w:val="24"/>
              </w:rPr>
              <w:t xml:space="preserve">uss and </w:t>
            </w:r>
            <w:r w:rsidRPr="006D7087">
              <w:rPr>
                <w:rStyle w:val="fontstyle01"/>
                <w:rFonts w:cs="Times New Roman"/>
                <w:sz w:val="20"/>
                <w:szCs w:val="24"/>
              </w:rPr>
              <w:t xml:space="preserve">Alcala 1996; Beger 2005; </w:t>
            </w:r>
            <w:r w:rsidRPr="006D7087">
              <w:rPr>
                <w:rStyle w:val="fontstyle01"/>
                <w:rFonts w:ascii="Times New Roman" w:hAnsi="Times New Roman" w:cs="Times New Roman"/>
                <w:sz w:val="20"/>
                <w:szCs w:val="24"/>
              </w:rPr>
              <w:t xml:space="preserve">McLanahan et al. 2006; Jones et al. 2013; </w:t>
            </w:r>
            <w:r w:rsidRPr="006D7087">
              <w:rPr>
                <w:rStyle w:val="fontstyle01"/>
                <w:rFonts w:cs="Times New Roman"/>
                <w:sz w:val="20"/>
                <w:szCs w:val="24"/>
              </w:rPr>
              <w:t>E</w:t>
            </w:r>
            <w:r w:rsidRPr="006D7087">
              <w:rPr>
                <w:rStyle w:val="fontstyle01"/>
                <w:rFonts w:ascii="Times New Roman" w:hAnsi="Times New Roman" w:cs="Times New Roman"/>
                <w:sz w:val="20"/>
                <w:szCs w:val="24"/>
              </w:rPr>
              <w:t>dgar et al. 2014;</w:t>
            </w:r>
            <w:r w:rsidRPr="006D7087">
              <w:rPr>
                <w:rStyle w:val="fontstyle01"/>
                <w:rFonts w:cs="Times New Roman"/>
                <w:sz w:val="20"/>
                <w:szCs w:val="24"/>
              </w:rPr>
              <w:t xml:space="preserve"> </w:t>
            </w:r>
            <w:r w:rsidRPr="006D7087">
              <w:rPr>
                <w:rStyle w:val="fontstyle01"/>
                <w:rFonts w:ascii="Times New Roman" w:hAnsi="Times New Roman" w:cs="Times New Roman"/>
                <w:sz w:val="20"/>
                <w:szCs w:val="24"/>
              </w:rPr>
              <w:t>Rossiter and Levine 2014</w:t>
            </w:r>
            <w:r w:rsidRPr="006D7087">
              <w:rPr>
                <w:rStyle w:val="fontstyle01"/>
                <w:rFonts w:cs="Times New Roman"/>
                <w:sz w:val="20"/>
                <w:szCs w:val="24"/>
              </w:rPr>
              <w:t>; Di Franco et al. 2016; G</w:t>
            </w:r>
            <w:r w:rsidRPr="006D7087">
              <w:rPr>
                <w:rStyle w:val="fontstyle01"/>
                <w:rFonts w:ascii="Times New Roman" w:hAnsi="Times New Roman" w:cs="Times New Roman"/>
                <w:sz w:val="20"/>
                <w:szCs w:val="24"/>
              </w:rPr>
              <w:t>allacher et al. 2016;</w:t>
            </w:r>
            <w:r w:rsidRPr="006D7087">
              <w:rPr>
                <w:rFonts w:cs="Times New Roman"/>
                <w:sz w:val="20"/>
                <w:szCs w:val="24"/>
                <w:lang w:val="en-US"/>
              </w:rPr>
              <w:t xml:space="preserve"> Gill et al. 2017; Iacarella et al. 2021</w:t>
            </w:r>
          </w:p>
        </w:tc>
      </w:tr>
      <w:tr w:rsidR="005F5DE5" w:rsidRPr="006D7087" w:rsidTr="003D0E43">
        <w:trPr>
          <w:trHeight w:val="293"/>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Enhance legislation/political will</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Style w:val="fontstyle01"/>
                <w:rFonts w:cs="Times New Roman"/>
                <w:sz w:val="20"/>
                <w:szCs w:val="24"/>
              </w:rPr>
              <w:t>H</w:t>
            </w:r>
            <w:r w:rsidRPr="006D7087">
              <w:rPr>
                <w:rStyle w:val="fontstyle01"/>
                <w:rFonts w:ascii="Times New Roman" w:hAnsi="Times New Roman" w:cs="Times New Roman"/>
                <w:sz w:val="20"/>
                <w:szCs w:val="24"/>
              </w:rPr>
              <w:t xml:space="preserve">einen and </w:t>
            </w:r>
            <w:r w:rsidRPr="006D7087">
              <w:rPr>
                <w:rStyle w:val="fontstyle01"/>
                <w:rFonts w:cs="Times New Roman"/>
                <w:sz w:val="20"/>
                <w:szCs w:val="24"/>
              </w:rPr>
              <w:t>L</w:t>
            </w:r>
            <w:r w:rsidRPr="006D7087">
              <w:rPr>
                <w:rStyle w:val="fontstyle01"/>
                <w:rFonts w:ascii="Times New Roman" w:hAnsi="Times New Roman" w:cs="Times New Roman"/>
                <w:sz w:val="20"/>
                <w:szCs w:val="24"/>
              </w:rPr>
              <w:t xml:space="preserve">aranjo 1996; </w:t>
            </w:r>
            <w:r w:rsidRPr="006D7087">
              <w:rPr>
                <w:rStyle w:val="fontstyle01"/>
                <w:rFonts w:cs="Times New Roman"/>
                <w:sz w:val="20"/>
                <w:szCs w:val="24"/>
              </w:rPr>
              <w:t>A</w:t>
            </w:r>
            <w:r w:rsidRPr="006D7087">
              <w:rPr>
                <w:rStyle w:val="fontstyle01"/>
                <w:rFonts w:ascii="Times New Roman" w:hAnsi="Times New Roman" w:cs="Times New Roman"/>
                <w:sz w:val="20"/>
                <w:szCs w:val="24"/>
              </w:rPr>
              <w:t xml:space="preserve">gbayani </w:t>
            </w:r>
            <w:r w:rsidRPr="006D7087">
              <w:rPr>
                <w:rStyle w:val="fontstyle01"/>
                <w:rFonts w:cs="Times New Roman"/>
                <w:sz w:val="20"/>
                <w:szCs w:val="24"/>
              </w:rPr>
              <w:t xml:space="preserve">et al. </w:t>
            </w:r>
            <w:r w:rsidRPr="006D7087">
              <w:rPr>
                <w:rStyle w:val="fontstyle01"/>
                <w:rFonts w:ascii="Times New Roman" w:hAnsi="Times New Roman" w:cs="Times New Roman"/>
                <w:sz w:val="20"/>
                <w:szCs w:val="24"/>
              </w:rPr>
              <w:t xml:space="preserve">2000; </w:t>
            </w:r>
            <w:r w:rsidRPr="006D7087">
              <w:rPr>
                <w:rStyle w:val="fontstyle01"/>
                <w:rFonts w:cs="Times New Roman"/>
                <w:sz w:val="20"/>
                <w:szCs w:val="24"/>
              </w:rPr>
              <w:t>W</w:t>
            </w:r>
            <w:r w:rsidRPr="006D7087">
              <w:rPr>
                <w:rStyle w:val="fontstyle01"/>
                <w:rFonts w:ascii="Times New Roman" w:hAnsi="Times New Roman" w:cs="Times New Roman"/>
                <w:sz w:val="20"/>
                <w:szCs w:val="24"/>
              </w:rPr>
              <w:t xml:space="preserve">hite and </w:t>
            </w:r>
            <w:r w:rsidRPr="006D7087">
              <w:rPr>
                <w:rStyle w:val="fontstyle01"/>
                <w:rFonts w:cs="Times New Roman"/>
                <w:sz w:val="20"/>
                <w:szCs w:val="24"/>
              </w:rPr>
              <w:t>V</w:t>
            </w:r>
            <w:r w:rsidRPr="006D7087">
              <w:rPr>
                <w:rStyle w:val="fontstyle01"/>
                <w:rFonts w:ascii="Times New Roman" w:hAnsi="Times New Roman" w:cs="Times New Roman"/>
                <w:sz w:val="20"/>
                <w:szCs w:val="24"/>
              </w:rPr>
              <w:t>ogt 2000</w:t>
            </w:r>
            <w:r w:rsidRPr="006D7087">
              <w:rPr>
                <w:rStyle w:val="fontstyle01"/>
                <w:rFonts w:cs="Times New Roman"/>
                <w:sz w:val="20"/>
                <w:szCs w:val="24"/>
              </w:rPr>
              <w:t>; Beger 2005;</w:t>
            </w:r>
            <w:r w:rsidRPr="006D7087">
              <w:rPr>
                <w:rStyle w:val="fontstyle01"/>
                <w:rFonts w:ascii="Times New Roman" w:hAnsi="Times New Roman" w:cs="Times New Roman"/>
                <w:sz w:val="20"/>
                <w:szCs w:val="24"/>
              </w:rPr>
              <w:t xml:space="preserve"> McLanahan et al. 2006</w:t>
            </w:r>
            <w:r w:rsidRPr="006D7087">
              <w:rPr>
                <w:rStyle w:val="fontstyle01"/>
                <w:rFonts w:cs="Times New Roman"/>
                <w:sz w:val="20"/>
                <w:szCs w:val="24"/>
              </w:rPr>
              <w:t xml:space="preserve">; </w:t>
            </w:r>
            <w:r w:rsidRPr="006D7087">
              <w:rPr>
                <w:rStyle w:val="fontstyle01"/>
                <w:rFonts w:ascii="Times New Roman" w:hAnsi="Times New Roman" w:cs="Times New Roman"/>
                <w:sz w:val="20"/>
                <w:szCs w:val="24"/>
              </w:rPr>
              <w:t>Leverington et al. 2010; Jones et al. 2013</w:t>
            </w:r>
          </w:p>
        </w:tc>
      </w:tr>
      <w:tr w:rsidR="005F5DE5" w:rsidRPr="006D7087" w:rsidTr="003D0E43">
        <w:trPr>
          <w:trHeight w:val="445"/>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Improve communication/raising awareness</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Savina and White 1986; Heinen and Laranjo 1996; Rivera and Newkirk 1997; Courtney And White 2000; White and Vogt 2000; Elliott et al. 2001; Beger 2005;</w:t>
            </w:r>
            <w:r w:rsidRPr="006D7087">
              <w:rPr>
                <w:rStyle w:val="fontstyle01"/>
                <w:rFonts w:cs="Times New Roman"/>
                <w:sz w:val="20"/>
                <w:szCs w:val="24"/>
              </w:rPr>
              <w:t xml:space="preserve"> </w:t>
            </w:r>
            <w:r w:rsidRPr="006D7087">
              <w:rPr>
                <w:rStyle w:val="fontstyle01"/>
                <w:rFonts w:ascii="Times New Roman" w:hAnsi="Times New Roman" w:cs="Times New Roman"/>
                <w:sz w:val="20"/>
                <w:szCs w:val="24"/>
              </w:rPr>
              <w:t xml:space="preserve">Jones et al. 2013; </w:t>
            </w:r>
            <w:r w:rsidRPr="006D7087">
              <w:rPr>
                <w:rStyle w:val="fontstyle01"/>
                <w:rFonts w:cs="Times New Roman"/>
                <w:sz w:val="20"/>
                <w:szCs w:val="24"/>
              </w:rPr>
              <w:t xml:space="preserve">Gallacher </w:t>
            </w:r>
            <w:r w:rsidRPr="006D7087">
              <w:rPr>
                <w:rStyle w:val="fontstyle01"/>
                <w:rFonts w:ascii="Times New Roman" w:hAnsi="Times New Roman" w:cs="Times New Roman"/>
                <w:sz w:val="20"/>
                <w:szCs w:val="24"/>
              </w:rPr>
              <w:t>et al. 2016;</w:t>
            </w:r>
            <w:r w:rsidRPr="006D7087">
              <w:rPr>
                <w:rFonts w:cs="Times New Roman"/>
                <w:sz w:val="20"/>
                <w:szCs w:val="24"/>
                <w:lang w:val="en-US"/>
              </w:rPr>
              <w:t xml:space="preserve"> </w:t>
            </w:r>
            <w:r w:rsidRPr="006D7087">
              <w:rPr>
                <w:rStyle w:val="fontstyle01"/>
                <w:rFonts w:cs="Times New Roman"/>
                <w:sz w:val="20"/>
                <w:szCs w:val="24"/>
              </w:rPr>
              <w:t xml:space="preserve">Mizrahi et al. 2018; </w:t>
            </w:r>
            <w:r w:rsidRPr="006D7087">
              <w:rPr>
                <w:rFonts w:cs="Times New Roman"/>
                <w:sz w:val="20"/>
                <w:szCs w:val="24"/>
                <w:lang w:val="en-US"/>
              </w:rPr>
              <w:t>Iacarella et al. 2021</w:t>
            </w:r>
          </w:p>
        </w:tc>
      </w:tr>
      <w:tr w:rsidR="005F5DE5" w:rsidRPr="006D7087" w:rsidTr="003D0E43">
        <w:trPr>
          <w:trHeight w:val="146"/>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Peer pressure</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Jones et al. 2013</w:t>
            </w:r>
          </w:p>
        </w:tc>
      </w:tr>
      <w:tr w:rsidR="005F5DE5" w:rsidRPr="006D7087" w:rsidTr="003D0E43">
        <w:trPr>
          <w:trHeight w:val="299"/>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Increase and secure funding/human resources</w:t>
            </w:r>
          </w:p>
        </w:tc>
        <w:tc>
          <w:tcPr>
            <w:tcW w:w="7748" w:type="dxa"/>
          </w:tcPr>
          <w:p w:rsidR="005F5DE5" w:rsidRPr="006D7087" w:rsidRDefault="005F5DE5" w:rsidP="003D0E43">
            <w:pPr>
              <w:spacing w:before="0" w:after="0" w:line="360" w:lineRule="auto"/>
              <w:jc w:val="left"/>
              <w:rPr>
                <w:rFonts w:cs="Times New Roman"/>
                <w:sz w:val="20"/>
                <w:szCs w:val="24"/>
                <w:lang w:val="en-US"/>
              </w:rPr>
            </w:pPr>
            <w:r w:rsidRPr="006D7087">
              <w:rPr>
                <w:rFonts w:cs="Times New Roman"/>
                <w:sz w:val="20"/>
                <w:szCs w:val="24"/>
                <w:lang w:val="en-US"/>
              </w:rPr>
              <w:t xml:space="preserve">Graverstock et al. 2008; </w:t>
            </w:r>
            <w:r w:rsidRPr="006D7087">
              <w:rPr>
                <w:rStyle w:val="fontstyle01"/>
                <w:rFonts w:ascii="Times New Roman" w:hAnsi="Times New Roman" w:cs="Times New Roman"/>
                <w:sz w:val="20"/>
                <w:szCs w:val="24"/>
              </w:rPr>
              <w:t>Leverington et al. 2010; Rossiter and Levine 2014</w:t>
            </w:r>
            <w:r w:rsidRPr="006D7087">
              <w:rPr>
                <w:rStyle w:val="fontstyle01"/>
                <w:rFonts w:cs="Times New Roman"/>
                <w:sz w:val="20"/>
                <w:szCs w:val="24"/>
              </w:rPr>
              <w:t>;</w:t>
            </w:r>
            <w:r w:rsidRPr="006D7087">
              <w:rPr>
                <w:rFonts w:cs="Times New Roman"/>
                <w:sz w:val="20"/>
                <w:szCs w:val="24"/>
                <w:lang w:val="en-US"/>
              </w:rPr>
              <w:t xml:space="preserve"> Gill et al. 2017</w:t>
            </w:r>
          </w:p>
        </w:tc>
      </w:tr>
      <w:tr w:rsidR="005F5DE5" w:rsidRPr="006D7087" w:rsidTr="003D0E43">
        <w:trPr>
          <w:trHeight w:val="293"/>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Provide MPA with adequate infrastructure and equipment</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Style w:val="fontstyle01"/>
                <w:rFonts w:ascii="Times New Roman" w:hAnsi="Times New Roman" w:cs="Times New Roman"/>
                <w:sz w:val="20"/>
                <w:szCs w:val="24"/>
              </w:rPr>
              <w:t>Leverington et al. 2010</w:t>
            </w:r>
            <w:r w:rsidRPr="006D7087">
              <w:rPr>
                <w:rStyle w:val="fontstyle01"/>
                <w:rFonts w:cs="Times New Roman"/>
                <w:sz w:val="20"/>
                <w:szCs w:val="24"/>
              </w:rPr>
              <w:t xml:space="preserve">; </w:t>
            </w:r>
            <w:r w:rsidRPr="006D7087">
              <w:rPr>
                <w:rFonts w:cs="Times New Roman"/>
                <w:sz w:val="20"/>
                <w:szCs w:val="24"/>
                <w:lang w:val="en-US"/>
              </w:rPr>
              <w:t>Ahmad Kamil et al. 2017</w:t>
            </w:r>
          </w:p>
        </w:tc>
      </w:tr>
      <w:tr w:rsidR="005F5DE5" w:rsidRPr="006D7087" w:rsidTr="003D0E43">
        <w:trPr>
          <w:trHeight w:val="299"/>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Consider the surrounding network of MPAs</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Style w:val="fontstyle01"/>
                <w:rFonts w:cs="Times New Roman"/>
                <w:sz w:val="20"/>
                <w:szCs w:val="24"/>
              </w:rPr>
              <w:t>Beger and Harborne 2000; Beger 2005</w:t>
            </w:r>
          </w:p>
        </w:tc>
      </w:tr>
      <w:tr w:rsidR="005F5DE5" w:rsidRPr="006D7087" w:rsidTr="003D0E43">
        <w:trPr>
          <w:trHeight w:val="293"/>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Presence of management objectives and plans</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Style w:val="fontstyle01"/>
                <w:rFonts w:cs="Times New Roman"/>
                <w:sz w:val="20"/>
                <w:szCs w:val="24"/>
              </w:rPr>
              <w:t>D</w:t>
            </w:r>
            <w:r w:rsidRPr="006D7087">
              <w:rPr>
                <w:rStyle w:val="fontstyle01"/>
                <w:rFonts w:ascii="Times New Roman" w:hAnsi="Times New Roman" w:cs="Times New Roman"/>
                <w:sz w:val="20"/>
                <w:szCs w:val="24"/>
              </w:rPr>
              <w:t xml:space="preserve">i </w:t>
            </w:r>
            <w:r w:rsidRPr="006D7087">
              <w:rPr>
                <w:rStyle w:val="fontstyle01"/>
                <w:rFonts w:cs="Times New Roman"/>
                <w:sz w:val="20"/>
                <w:szCs w:val="24"/>
              </w:rPr>
              <w:t>Franco et al. 2016; G</w:t>
            </w:r>
            <w:r w:rsidRPr="006D7087">
              <w:rPr>
                <w:rStyle w:val="fontstyle01"/>
                <w:rFonts w:ascii="Times New Roman" w:hAnsi="Times New Roman" w:cs="Times New Roman"/>
                <w:sz w:val="20"/>
                <w:szCs w:val="24"/>
              </w:rPr>
              <w:t xml:space="preserve">allacher et al. 2016; </w:t>
            </w:r>
            <w:r w:rsidRPr="006D7087">
              <w:rPr>
                <w:rStyle w:val="fontstyle01"/>
                <w:rFonts w:cs="Times New Roman"/>
                <w:sz w:val="20"/>
                <w:szCs w:val="24"/>
              </w:rPr>
              <w:t>G</w:t>
            </w:r>
            <w:r w:rsidRPr="006D7087">
              <w:rPr>
                <w:rFonts w:cs="Times New Roman"/>
                <w:sz w:val="20"/>
                <w:szCs w:val="24"/>
                <w:lang w:val="en-US"/>
              </w:rPr>
              <w:t>ill et al. 2017;</w:t>
            </w:r>
            <w:r w:rsidRPr="006D7087">
              <w:rPr>
                <w:rStyle w:val="fontstyle01"/>
                <w:rFonts w:ascii="Times New Roman" w:hAnsi="Times New Roman" w:cs="Times New Roman"/>
                <w:sz w:val="20"/>
                <w:szCs w:val="24"/>
              </w:rPr>
              <w:t xml:space="preserve"> Jones et al. 2013; McLanahan et al. 2006; Rossiter and Levine 2014</w:t>
            </w:r>
          </w:p>
        </w:tc>
      </w:tr>
      <w:tr w:rsidR="005F5DE5" w:rsidRPr="006D7087" w:rsidTr="003D0E43">
        <w:trPr>
          <w:trHeight w:val="146"/>
        </w:trPr>
        <w:tc>
          <w:tcPr>
            <w:tcW w:w="3240" w:type="dxa"/>
          </w:tcPr>
          <w:p w:rsidR="005F5DE5" w:rsidRPr="006D7087" w:rsidRDefault="005F5DE5" w:rsidP="003D0E43">
            <w:pPr>
              <w:spacing w:before="0" w:after="0" w:line="360" w:lineRule="auto"/>
              <w:rPr>
                <w:rFonts w:cs="Times New Roman"/>
                <w:sz w:val="20"/>
                <w:szCs w:val="24"/>
                <w:lang w:val="en-US"/>
              </w:rPr>
            </w:pPr>
            <w:r w:rsidRPr="006D7087">
              <w:rPr>
                <w:rFonts w:cs="Times New Roman"/>
                <w:sz w:val="20"/>
                <w:szCs w:val="24"/>
                <w:lang w:val="en-US"/>
              </w:rPr>
              <w:t>Research/capacity development</w:t>
            </w:r>
          </w:p>
        </w:tc>
        <w:tc>
          <w:tcPr>
            <w:tcW w:w="7748" w:type="dxa"/>
          </w:tcPr>
          <w:p w:rsidR="005F5DE5" w:rsidRPr="006D7087" w:rsidRDefault="005F5DE5" w:rsidP="003D0E43">
            <w:pPr>
              <w:spacing w:before="0" w:after="0" w:line="360" w:lineRule="auto"/>
              <w:rPr>
                <w:rFonts w:cs="Times New Roman"/>
                <w:sz w:val="20"/>
                <w:szCs w:val="24"/>
                <w:lang w:val="en-US"/>
              </w:rPr>
            </w:pPr>
            <w:r w:rsidRPr="006D7087">
              <w:rPr>
                <w:rStyle w:val="fontstyle01"/>
                <w:rFonts w:cs="Times New Roman"/>
                <w:sz w:val="20"/>
                <w:szCs w:val="24"/>
              </w:rPr>
              <w:t>White and V</w:t>
            </w:r>
            <w:r w:rsidRPr="006D7087">
              <w:rPr>
                <w:rStyle w:val="fontstyle01"/>
                <w:rFonts w:ascii="Times New Roman" w:hAnsi="Times New Roman" w:cs="Times New Roman"/>
                <w:sz w:val="20"/>
                <w:szCs w:val="24"/>
              </w:rPr>
              <w:t>ogt 2000</w:t>
            </w:r>
            <w:r w:rsidRPr="006D7087">
              <w:rPr>
                <w:rStyle w:val="fontstyle01"/>
                <w:rFonts w:cs="Times New Roman"/>
                <w:sz w:val="20"/>
                <w:szCs w:val="24"/>
              </w:rPr>
              <w:t>; B</w:t>
            </w:r>
            <w:r w:rsidRPr="006D7087">
              <w:rPr>
                <w:rStyle w:val="fontstyle01"/>
                <w:rFonts w:ascii="Times New Roman" w:hAnsi="Times New Roman" w:cs="Times New Roman"/>
                <w:sz w:val="20"/>
                <w:szCs w:val="24"/>
              </w:rPr>
              <w:t>eger</w:t>
            </w:r>
            <w:r w:rsidRPr="006D7087">
              <w:rPr>
                <w:rStyle w:val="fontstyle01"/>
                <w:rFonts w:cs="Times New Roman"/>
                <w:sz w:val="20"/>
                <w:szCs w:val="24"/>
              </w:rPr>
              <w:t xml:space="preserve"> 2005</w:t>
            </w:r>
            <w:r w:rsidRPr="006D7087">
              <w:rPr>
                <w:rStyle w:val="fontstyle01"/>
                <w:rFonts w:ascii="Times New Roman" w:hAnsi="Times New Roman" w:cs="Times New Roman"/>
                <w:sz w:val="20"/>
                <w:szCs w:val="24"/>
              </w:rPr>
              <w:t xml:space="preserve">; Jones et al. 2013; </w:t>
            </w:r>
            <w:r w:rsidRPr="006D7087">
              <w:rPr>
                <w:rStyle w:val="fontstyle01"/>
                <w:rFonts w:cs="Times New Roman"/>
                <w:sz w:val="20"/>
                <w:szCs w:val="24"/>
              </w:rPr>
              <w:t>G</w:t>
            </w:r>
            <w:r w:rsidRPr="006D7087">
              <w:rPr>
                <w:rStyle w:val="fontstyle01"/>
                <w:rFonts w:ascii="Times New Roman" w:hAnsi="Times New Roman" w:cs="Times New Roman"/>
                <w:sz w:val="20"/>
                <w:szCs w:val="24"/>
              </w:rPr>
              <w:t>allacher et al. 2016</w:t>
            </w:r>
          </w:p>
        </w:tc>
      </w:tr>
    </w:tbl>
    <w:p w:rsidR="005F5DE5" w:rsidRPr="008F0F19" w:rsidRDefault="005F5DE5" w:rsidP="005F5DE5">
      <w:pPr>
        <w:spacing w:before="0" w:after="0"/>
        <w:rPr>
          <w:rFonts w:cs="Times New Roman"/>
          <w:b w:val="0"/>
          <w:lang w:val="en-AU"/>
        </w:rPr>
      </w:pPr>
    </w:p>
    <w:p w:rsidR="005F5DE5" w:rsidRPr="00255BAE" w:rsidRDefault="005F5DE5" w:rsidP="005F5DE5">
      <w:pPr>
        <w:pStyle w:val="fererencing"/>
        <w:rPr>
          <w:b w:val="0"/>
        </w:rPr>
      </w:pPr>
      <w:r w:rsidRPr="00255BAE">
        <w:rPr>
          <w:b w:val="0"/>
        </w:rPr>
        <w:t>Agardy T, Bridgewater P, Crosby MP, Day J, Dayton PK, Kenchington R, et al. Dangerous targets? Unresolved issues and ideological clashes around marine protected areas Aquatic Conservation:  Marine and Freshwater Ecosystems 2003;13:353–67.</w:t>
      </w:r>
    </w:p>
    <w:p w:rsidR="005F5DE5" w:rsidRPr="00255BAE" w:rsidRDefault="005F5DE5" w:rsidP="005F5DE5">
      <w:pPr>
        <w:pStyle w:val="fererencing"/>
        <w:rPr>
          <w:b w:val="0"/>
        </w:rPr>
      </w:pPr>
      <w:r w:rsidRPr="00255BAE">
        <w:rPr>
          <w:b w:val="0"/>
        </w:rPr>
        <w:t>Agbayani, R. F., D. B. Baticados, and S. B. Siar. 2000. Community fishery resources management on Malalison Island, Philippines: R&amp;D framework, interventions and policy implications. Coastal Management 28:19–27.</w:t>
      </w:r>
    </w:p>
    <w:p w:rsidR="005F5DE5" w:rsidRPr="00255BAE" w:rsidRDefault="005F5DE5" w:rsidP="005F5DE5">
      <w:pPr>
        <w:pStyle w:val="fererencing"/>
        <w:rPr>
          <w:b w:val="0"/>
        </w:rPr>
      </w:pPr>
      <w:r w:rsidRPr="00255BAE">
        <w:rPr>
          <w:b w:val="0"/>
        </w:rPr>
        <w:t>Ahmad Kamil, Khairunnisa, Atakelty Hailu, Abbie Rogers, e Ram Pandit. «An Assessment of Marine Protected Areas as a Marine Management Strategy in Southeast Asia: A Literature Review». Ocean &amp; Coastal Management 145 (1 agosto 2017): 72–81. https://doi.org/10.1016/j.ocecoaman.2017.05.008.</w:t>
      </w:r>
    </w:p>
    <w:p w:rsidR="005F5DE5" w:rsidRPr="00255BAE" w:rsidRDefault="005F5DE5" w:rsidP="005F5DE5">
      <w:pPr>
        <w:pStyle w:val="fererencing"/>
        <w:rPr>
          <w:b w:val="0"/>
        </w:rPr>
      </w:pPr>
      <w:r w:rsidRPr="00255BAE">
        <w:rPr>
          <w:b w:val="0"/>
        </w:rPr>
        <w:lastRenderedPageBreak/>
        <w:t>Beger, M. and A. R. Harborne, 2000. Southern Negros Development Programme. Summary report to the Municipality of Sipalay. Coral Cay Conservation Ltd., London, unpublished report.</w:t>
      </w:r>
    </w:p>
    <w:p w:rsidR="005F5DE5" w:rsidRPr="00255BAE" w:rsidRDefault="005F5DE5" w:rsidP="005F5DE5">
      <w:pPr>
        <w:pStyle w:val="fererencing"/>
        <w:rPr>
          <w:b w:val="0"/>
        </w:rPr>
      </w:pPr>
      <w:r w:rsidRPr="00255BAE">
        <w:rPr>
          <w:b w:val="0"/>
        </w:rPr>
        <w:t>Dalton TM. Beyond biogeography: a framework for involving the public in planning of U.S. marine protected areas. Conservation Biology 2005;19: 1392–401.</w:t>
      </w:r>
    </w:p>
    <w:p w:rsidR="005F5DE5" w:rsidRPr="00255BAE" w:rsidRDefault="005F5DE5" w:rsidP="005F5DE5">
      <w:pPr>
        <w:pStyle w:val="fererencing"/>
        <w:rPr>
          <w:b w:val="0"/>
        </w:rPr>
      </w:pPr>
      <w:r w:rsidRPr="00255BAE">
        <w:rPr>
          <w:b w:val="0"/>
        </w:rPr>
        <w:t>Di Franco, Antonio, Pierre Thiriet, Giuseppe Di Carlo, Charalampos Dimitriadis, Patrice Francour, Nicolas L. Gutiérrez, Alain Jeudy de Grissac, Drosos Koutsoubas, Marco Milazzo, María del Mar Otero, Catherine Piante, Jeremiah Plass-Johnson, Susana Sainz-Trapaga, Luca Santarossa, Sergi Tudela, and P. Guidetti. 2016. “Five Key Attributes Can Increase Marine Protected Areas Performance for Small-Scale Fisheries Management.” Scientific Reports 6 (1): 38135. https://doi.org/10.1038/srep38135.</w:t>
      </w:r>
    </w:p>
    <w:p w:rsidR="005F5DE5" w:rsidRPr="00255BAE" w:rsidRDefault="005F5DE5" w:rsidP="005F5DE5">
      <w:pPr>
        <w:pStyle w:val="fererencing"/>
        <w:rPr>
          <w:b w:val="0"/>
        </w:rPr>
      </w:pPr>
      <w:r w:rsidRPr="00255BAE">
        <w:rPr>
          <w:b w:val="0"/>
        </w:rPr>
        <w:t>Done, T. J., and R. E. Reichelt. 1998. Integrated coastal zone and fisheries ecosystem management: Generic goals and performance indices. Ecological Applications 8(S):110–118.</w:t>
      </w:r>
    </w:p>
    <w:p w:rsidR="005F5DE5" w:rsidRPr="00255BAE" w:rsidRDefault="005F5DE5" w:rsidP="005F5DE5">
      <w:pPr>
        <w:pStyle w:val="fererencing"/>
        <w:rPr>
          <w:b w:val="0"/>
        </w:rPr>
      </w:pPr>
      <w:r w:rsidRPr="00255BAE">
        <w:rPr>
          <w:b w:val="0"/>
        </w:rPr>
        <w:t>Elliott, G., B. Mitchell, B. Wiltshire, I. A. Manan, and S. Wismer. 2001. Community participation in marine protected area management: Wakatobi National Park, Sulawesi, Indonesia. Coastal Management 29:295–316.</w:t>
      </w:r>
    </w:p>
    <w:p w:rsidR="005F5DE5" w:rsidRPr="00255BAE" w:rsidRDefault="005F5DE5" w:rsidP="005F5DE5">
      <w:pPr>
        <w:pStyle w:val="fererencing"/>
        <w:rPr>
          <w:b w:val="0"/>
        </w:rPr>
      </w:pPr>
      <w:r w:rsidRPr="00255BAE">
        <w:rPr>
          <w:b w:val="0"/>
        </w:rPr>
        <w:t>Gallacher, J., N. Simmonds, H. Fellowes, N. Brown, N. Gill, W. Clark, C. Biggs, e L. D. Rodwell. «Evaluating the Success of a Marine Protected Area: A Systematic Review Approach». Journal of Environmental Management 183 (1 dicembre 2016): 280–93. https://doi.org/10.1016/j.jenvman.2016.08.029.</w:t>
      </w:r>
    </w:p>
    <w:p w:rsidR="005F5DE5" w:rsidRPr="00255BAE" w:rsidRDefault="005F5DE5" w:rsidP="005F5DE5">
      <w:pPr>
        <w:pStyle w:val="fererencing"/>
        <w:rPr>
          <w:b w:val="0"/>
        </w:rPr>
      </w:pPr>
      <w:r w:rsidRPr="00255BAE">
        <w:rPr>
          <w:b w:val="0"/>
        </w:rPr>
        <w:t>Gill, David A., Michael B. Mascia, Gabby N. Ahmadia, Louise Glew, Sarah E. Lester, Megan Barnes, Ian Craigie, Emily S. Darling, Christopher M. Free, Jonas Geldmann, Susie Holst, Olaf P. Jensen, Alan T. White, Xavier Basurto, Lauren Coad, Ruth D. Gates, Greg Guannel, Peter J. Mumby, Hannah Thomas, Sarah Whitmee, Stephen Woodley, and H. E. Fox. 2017. “Capacity Shortfalls Hinder the Performance of Marine Protected Areas Globally.” Nature 543 (7647): 665–69. https://doi.org/10.1038/nature21708.</w:t>
      </w:r>
    </w:p>
    <w:p w:rsidR="005F5DE5" w:rsidRPr="00255BAE" w:rsidRDefault="005F5DE5" w:rsidP="005F5DE5">
      <w:pPr>
        <w:pStyle w:val="fererencing"/>
        <w:rPr>
          <w:b w:val="0"/>
        </w:rPr>
      </w:pPr>
      <w:r w:rsidRPr="00255BAE">
        <w:rPr>
          <w:b w:val="0"/>
        </w:rPr>
        <w:t xml:space="preserve">Gravestock, Pippa, Callum M. Roberts, e Alison Bailey. «The Income Requirements of Marine Protected Areas». </w:t>
      </w:r>
      <w:r w:rsidRPr="00255BAE">
        <w:rPr>
          <w:b w:val="0"/>
          <w:i/>
          <w:iCs/>
        </w:rPr>
        <w:t>Ocean &amp; Coastal Management</w:t>
      </w:r>
      <w:r w:rsidRPr="00255BAE">
        <w:rPr>
          <w:b w:val="0"/>
        </w:rPr>
        <w:t xml:space="preserve"> 51, fasc. 3 (1 gennaio 2008): 272–83. https://doi.org/10.1016/j.ocecoaman.2007.09.004.</w:t>
      </w:r>
    </w:p>
    <w:p w:rsidR="005F5DE5" w:rsidRPr="00255BAE" w:rsidRDefault="005F5DE5" w:rsidP="005F5DE5">
      <w:pPr>
        <w:pStyle w:val="fererencing"/>
        <w:rPr>
          <w:b w:val="0"/>
        </w:rPr>
      </w:pPr>
      <w:r w:rsidRPr="00255BAE">
        <w:rPr>
          <w:b w:val="0"/>
        </w:rPr>
        <w:t>Heinen, A., and A. Laranjo. 1996. Marine sanctuary establish ment: The case of Baliangao Wetland Park in Danao Bay. in E. M. Ferrer, L. P. dela Cruz, and M. A. Domingo. (eds.), Seed of hope. College of Social Work and Community Development, Quezon City, Philippines.</w:t>
      </w:r>
    </w:p>
    <w:p w:rsidR="005F5DE5" w:rsidRPr="00255BAE" w:rsidRDefault="005F5DE5" w:rsidP="005F5DE5">
      <w:pPr>
        <w:pStyle w:val="fererencing"/>
        <w:rPr>
          <w:b w:val="0"/>
        </w:rPr>
      </w:pPr>
      <w:r w:rsidRPr="00255BAE">
        <w:rPr>
          <w:b w:val="0"/>
        </w:rPr>
        <w:t xml:space="preserve">Iacarella, Josephine C., Georgia Clyde, Brock J. Bergseth, e Natalie C. Ban. «A Synthesis of the Prevalence and Drivers of Non-Compliance in Marine Protected Areas». </w:t>
      </w:r>
      <w:r w:rsidRPr="00255BAE">
        <w:rPr>
          <w:b w:val="0"/>
          <w:i/>
          <w:iCs/>
        </w:rPr>
        <w:t>Biological Conservation</w:t>
      </w:r>
      <w:r w:rsidRPr="00255BAE">
        <w:rPr>
          <w:b w:val="0"/>
        </w:rPr>
        <w:t xml:space="preserve"> 255 (1 marzo 2021): 108992. https://doi.org/10.1016/j.biocon.2021.108992.</w:t>
      </w:r>
    </w:p>
    <w:p w:rsidR="005F5DE5" w:rsidRPr="00255BAE" w:rsidRDefault="005F5DE5" w:rsidP="005F5DE5">
      <w:pPr>
        <w:pStyle w:val="fererencing"/>
        <w:rPr>
          <w:b w:val="0"/>
        </w:rPr>
      </w:pPr>
      <w:r w:rsidRPr="00255BAE">
        <w:rPr>
          <w:b w:val="0"/>
        </w:rPr>
        <w:t>Jones, P. J. S., W. Qiu, e E. M. De Santo. «Governing Marine Protected Areas: Social–Ecological Resilience through Institutional Diversity». Marine Policy, Governing marine protected areas: towards social-ecological resilience through institutional diversity, 41 (1 settembre 2013): 5–13. https://doi.org/10.1016/j.marpol.2012.12.026.</w:t>
      </w:r>
    </w:p>
    <w:p w:rsidR="005F5DE5" w:rsidRPr="00255BAE" w:rsidRDefault="005F5DE5" w:rsidP="005F5DE5">
      <w:pPr>
        <w:pStyle w:val="fererencing"/>
        <w:rPr>
          <w:b w:val="0"/>
        </w:rPr>
      </w:pPr>
      <w:r w:rsidRPr="00255BAE">
        <w:rPr>
          <w:b w:val="0"/>
        </w:rPr>
        <w:t>Leverington, F., K.L. Costa, J. Courrau, H. Pavese, C. Nolte, M. Marr, L. Coad, N. Burgess, B. Bomhard and M. Hockings. 2010. Management Effectiveness Evaluation in Protected Areas da Global Study, 2 ed. University of Queensland, Brisbane</w:t>
      </w:r>
    </w:p>
    <w:p w:rsidR="005F5DE5" w:rsidRPr="00255BAE" w:rsidRDefault="005F5DE5" w:rsidP="005F5DE5">
      <w:pPr>
        <w:pStyle w:val="fererencing"/>
        <w:rPr>
          <w:b w:val="0"/>
        </w:rPr>
      </w:pPr>
      <w:r w:rsidRPr="00255BAE">
        <w:rPr>
          <w:b w:val="0"/>
        </w:rPr>
        <w:lastRenderedPageBreak/>
        <w:t>Massinga, A. V. R. (1996) Coastal zone management in Mecufi, Mozambique. Pages 234–240 in O. Linden and C.G. Lundin (eds.). The journey from Arusha to Seychelles — Successes and failures of integrated coastal zone management in Eastern Africa and island states. World Bank and SIDA.</w:t>
      </w:r>
    </w:p>
    <w:p w:rsidR="005F5DE5" w:rsidRPr="00255BAE" w:rsidRDefault="005F5DE5" w:rsidP="005F5DE5">
      <w:pPr>
        <w:pStyle w:val="fererencing"/>
        <w:rPr>
          <w:b w:val="0"/>
        </w:rPr>
      </w:pPr>
      <w:r w:rsidRPr="00255BAE">
        <w:rPr>
          <w:b w:val="0"/>
        </w:rPr>
        <w:t xml:space="preserve">McClanahan, Timothy, Jamie Davies, e Joseph Maina. «Factors influencing resource users and managers’ perceptions towards marine protected area management in Kenya». Environmental Conservation 32, fasc. 1 (marzo 2005): 42–49. </w:t>
      </w:r>
      <w:hyperlink r:id="rId5" w:history="1">
        <w:r w:rsidRPr="00255BAE">
          <w:rPr>
            <w:rStyle w:val="Collegamentoipertestuale"/>
            <w:rFonts w:cs="Times New Roman"/>
            <w:b w:val="0"/>
            <w:szCs w:val="24"/>
          </w:rPr>
          <w:t>https://doi.org/10.1017/S0376892904001791</w:t>
        </w:r>
      </w:hyperlink>
      <w:r w:rsidRPr="00255BAE">
        <w:rPr>
          <w:b w:val="0"/>
        </w:rPr>
        <w:t>.</w:t>
      </w:r>
    </w:p>
    <w:p w:rsidR="005F5DE5" w:rsidRPr="00255BAE" w:rsidRDefault="005F5DE5" w:rsidP="005F5DE5">
      <w:pPr>
        <w:pStyle w:val="fererencing"/>
        <w:rPr>
          <w:b w:val="0"/>
        </w:rPr>
      </w:pPr>
      <w:r w:rsidRPr="00255BAE">
        <w:rPr>
          <w:b w:val="0"/>
        </w:rPr>
        <w:t xml:space="preserve">Mizrahi, Me’ira, Amy Diedrich, Rebecca Weeks, e Robert L Pressey. «A Systematic Review of the Socioeconomic Factors that Influence How Marine Protected Areas Impact on Ecosystems and Livelihoods». Society &amp; Natural Resources 32, fasc. 1 (2 gennaio 2019): 4–20. </w:t>
      </w:r>
      <w:hyperlink r:id="rId6" w:history="1">
        <w:r w:rsidRPr="00255BAE">
          <w:rPr>
            <w:rStyle w:val="Collegamentoipertestuale"/>
            <w:rFonts w:cs="Times New Roman"/>
            <w:b w:val="0"/>
            <w:szCs w:val="24"/>
          </w:rPr>
          <w:t>https://doi.org/10.1080/08941920.2018.1489568</w:t>
        </w:r>
      </w:hyperlink>
      <w:r w:rsidRPr="00255BAE">
        <w:rPr>
          <w:b w:val="0"/>
        </w:rPr>
        <w:t>.</w:t>
      </w:r>
    </w:p>
    <w:p w:rsidR="005F5DE5" w:rsidRPr="00255BAE" w:rsidRDefault="005F5DE5" w:rsidP="005F5DE5">
      <w:pPr>
        <w:pStyle w:val="fererencing"/>
        <w:rPr>
          <w:b w:val="0"/>
        </w:rPr>
      </w:pPr>
      <w:r w:rsidRPr="00255BAE">
        <w:rPr>
          <w:b w:val="0"/>
        </w:rPr>
        <w:t>Nordlund, Lina M., Ulrike Kloiber, Eleanor Carter, e Sibylle Riedmiller. «Chumbe Island Coral Park—Governance Analysis». Marine Policy 41 (2013): 110.</w:t>
      </w:r>
    </w:p>
    <w:p w:rsidR="005F5DE5" w:rsidRPr="00255BAE" w:rsidRDefault="005F5DE5" w:rsidP="005F5DE5">
      <w:pPr>
        <w:pStyle w:val="fererencing"/>
        <w:rPr>
          <w:b w:val="0"/>
        </w:rPr>
      </w:pPr>
      <w:r w:rsidRPr="00255BAE">
        <w:rPr>
          <w:b w:val="0"/>
        </w:rPr>
        <w:t>Pollnac, R. B., B. R. Crawford, and M. L. G. Gorospe. 2001a. Discovering factors thatinfluence the success of communitybased marine protected areas in the Visayas, Philippines. Ocean and Coastal Management 44:683–710.</w:t>
      </w:r>
    </w:p>
    <w:p w:rsidR="005F5DE5" w:rsidRPr="00255BAE" w:rsidRDefault="005F5DE5" w:rsidP="005F5DE5">
      <w:pPr>
        <w:pStyle w:val="fererencing"/>
        <w:rPr>
          <w:b w:val="0"/>
        </w:rPr>
      </w:pPr>
      <w:r w:rsidRPr="00255BAE">
        <w:rPr>
          <w:b w:val="0"/>
        </w:rPr>
        <w:t>Pomeroy RS, Watson LM, Parks JE, Cid GA. How is your MPA doing? A methodology for evaluating the management effectiveness of marine protected areas Ocean &amp; Coastal Management 2005;48:485–502.</w:t>
      </w:r>
    </w:p>
    <w:p w:rsidR="005F5DE5" w:rsidRPr="00255BAE" w:rsidRDefault="005F5DE5" w:rsidP="005F5DE5">
      <w:pPr>
        <w:pStyle w:val="fererencing"/>
        <w:rPr>
          <w:b w:val="0"/>
        </w:rPr>
      </w:pPr>
      <w:r w:rsidRPr="00255BAE">
        <w:rPr>
          <w:b w:val="0"/>
        </w:rPr>
        <w:t>Pomeroy, R. S., R. B. Pollnac, B. M. Katon, and C. D. Predo. 1997. Evaluating factors contributing to the success of community-based coastal resource management: The Central Visayas Regional Project-1, Philippines. Ocean and Coastal Management 36:97–120</w:t>
      </w:r>
    </w:p>
    <w:p w:rsidR="005F5DE5" w:rsidRPr="00255BAE" w:rsidRDefault="005F5DE5" w:rsidP="005F5DE5">
      <w:pPr>
        <w:pStyle w:val="fererencing"/>
        <w:rPr>
          <w:b w:val="0"/>
        </w:rPr>
      </w:pPr>
      <w:r w:rsidRPr="00255BAE">
        <w:rPr>
          <w:b w:val="0"/>
        </w:rPr>
        <w:t>Rivera, R., and G. K. Newkirk. 1997. Power from the people: a documentation of nongovernmental organisations’ experience in Community-Based Coastal Resource Management in the Philippines. Ocean and Coastal Management 36:97–120.</w:t>
      </w:r>
    </w:p>
    <w:p w:rsidR="005F5DE5" w:rsidRPr="00255BAE" w:rsidRDefault="005F5DE5" w:rsidP="005F5DE5">
      <w:pPr>
        <w:pStyle w:val="fererencing"/>
        <w:rPr>
          <w:b w:val="0"/>
        </w:rPr>
      </w:pPr>
      <w:r w:rsidRPr="00255BAE">
        <w:rPr>
          <w:b w:val="0"/>
        </w:rPr>
        <w:t xml:space="preserve">Rossiter, Jaime Speed, e Arielle Levine. «What Makes a “Successful” Marine Protected Area? The Unique Context of Hawaii′s Fish Replenishment Areas». Marine Policy 44 (febbraio 2014): 196–203. </w:t>
      </w:r>
      <w:hyperlink r:id="rId7" w:history="1">
        <w:r w:rsidRPr="00255BAE">
          <w:rPr>
            <w:rStyle w:val="Collegamentoipertestuale"/>
            <w:rFonts w:cs="Times New Roman"/>
            <w:b w:val="0"/>
            <w:szCs w:val="24"/>
          </w:rPr>
          <w:t>https://doi.org/10.1016/j.marpol.2013.08.022</w:t>
        </w:r>
      </w:hyperlink>
      <w:r w:rsidRPr="00255BAE">
        <w:rPr>
          <w:b w:val="0"/>
        </w:rPr>
        <w:t>.</w:t>
      </w:r>
    </w:p>
    <w:p w:rsidR="005F5DE5" w:rsidRPr="00255BAE" w:rsidRDefault="005F5DE5" w:rsidP="005F5DE5">
      <w:pPr>
        <w:pStyle w:val="fererencing"/>
        <w:rPr>
          <w:b w:val="0"/>
        </w:rPr>
      </w:pPr>
      <w:r w:rsidRPr="00255BAE">
        <w:rPr>
          <w:b w:val="0"/>
        </w:rPr>
        <w:t>Russ, G. R., and A. C. Alcala. 1996. Marine reserves: Rates and patterns of recovery and decline of large predatory fish. Ecological Applications 6:947–961.</w:t>
      </w:r>
    </w:p>
    <w:p w:rsidR="005F5DE5" w:rsidRPr="00255BAE" w:rsidRDefault="005F5DE5" w:rsidP="005F5DE5">
      <w:pPr>
        <w:pStyle w:val="fererencing"/>
        <w:rPr>
          <w:b w:val="0"/>
        </w:rPr>
      </w:pPr>
      <w:r w:rsidRPr="00255BAE">
        <w:rPr>
          <w:b w:val="0"/>
        </w:rPr>
        <w:t>Savina, G. C., and A. T. White. 1986. A tale of two islands: Some lessons for marine resource management. Environmental Conservation 13:107–113.</w:t>
      </w:r>
    </w:p>
    <w:p w:rsidR="005F5DE5" w:rsidRPr="00255BAE" w:rsidRDefault="005F5DE5" w:rsidP="005F5DE5">
      <w:pPr>
        <w:pStyle w:val="fererencing"/>
        <w:rPr>
          <w:b w:val="0"/>
        </w:rPr>
      </w:pPr>
      <w:r w:rsidRPr="00255BAE">
        <w:rPr>
          <w:b w:val="0"/>
        </w:rPr>
        <w:t>Uychiaoco, A. J., P. M. Alin˜o, and A. L. Dantis. 2000. Initiatives in Philippine coastal management: An overview. Coastal Management 28:55–63</w:t>
      </w:r>
    </w:p>
    <w:p w:rsidR="00A84F7E" w:rsidRPr="005F5DE5" w:rsidRDefault="005F5DE5" w:rsidP="005F5DE5">
      <w:pPr>
        <w:pStyle w:val="fererencing"/>
        <w:rPr>
          <w:b w:val="0"/>
        </w:rPr>
      </w:pPr>
      <w:r w:rsidRPr="00255BAE">
        <w:rPr>
          <w:b w:val="0"/>
        </w:rPr>
        <w:t>White, A. T., and H. P. Vogt. 2000. Philippine coral reefs under threat: Lessons learned after 25 years of community-based reef conservation. Marin</w:t>
      </w:r>
      <w:r>
        <w:rPr>
          <w:b w:val="0"/>
        </w:rPr>
        <w:t>e Pollution Bulletin 40:537–550</w:t>
      </w:r>
    </w:p>
    <w:sectPr w:rsidR="00A84F7E" w:rsidRPr="005F5DE5" w:rsidSect="00C810AF">
      <w:type w:val="continuous"/>
      <w:pgSz w:w="11906" w:h="16838"/>
      <w:pgMar w:top="1417" w:right="1134" w:bottom="1134"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Baskerville-Roman">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PS44A44B">
    <w:altName w:val="Times New Roman"/>
    <w:panose1 w:val="00000000000000000000"/>
    <w:charset w:val="00"/>
    <w:family w:val="roman"/>
    <w:notTrueType/>
    <w:pitch w:val="default"/>
  </w:font>
  <w:font w:name="AdvOT863180fb+fb">
    <w:altName w:val="Times New Roman"/>
    <w:panose1 w:val="00000000000000000000"/>
    <w:charset w:val="00"/>
    <w:family w:val="roman"/>
    <w:notTrueType/>
    <w:pitch w:val="default"/>
  </w:font>
  <w:font w:name="AdvP4C4E59">
    <w:altName w:val="Times New Roman"/>
    <w:panose1 w:val="00000000000000000000"/>
    <w:charset w:val="00"/>
    <w:family w:val="roman"/>
    <w:notTrueType/>
    <w:pitch w:val="default"/>
  </w:font>
  <w:font w:name="AdvOTb92eb7df.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A3B"/>
    <w:multiLevelType w:val="hybridMultilevel"/>
    <w:tmpl w:val="3A727D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0A0D8F"/>
    <w:multiLevelType w:val="hybridMultilevel"/>
    <w:tmpl w:val="0E7AB778"/>
    <w:lvl w:ilvl="0" w:tplc="0410000F">
      <w:start w:val="1"/>
      <w:numFmt w:val="decimal"/>
      <w:lvlText w:val="%1."/>
      <w:lvlJc w:val="left"/>
      <w:pPr>
        <w:ind w:left="720" w:hanging="360"/>
      </w:pPr>
    </w:lvl>
    <w:lvl w:ilvl="1" w:tplc="2D22D9F8">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3D6785"/>
    <w:multiLevelType w:val="hybridMultilevel"/>
    <w:tmpl w:val="5256FE58"/>
    <w:lvl w:ilvl="0" w:tplc="0410000F">
      <w:start w:val="1"/>
      <w:numFmt w:val="decimal"/>
      <w:lvlText w:val="%1."/>
      <w:lvlJc w:val="left"/>
      <w:pPr>
        <w:ind w:left="720" w:hanging="360"/>
      </w:pPr>
      <w:rPr>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6627A4"/>
    <w:multiLevelType w:val="hybridMultilevel"/>
    <w:tmpl w:val="F93E72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127681"/>
    <w:multiLevelType w:val="hybridMultilevel"/>
    <w:tmpl w:val="4A7E12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1A2EF0"/>
    <w:multiLevelType w:val="hybridMultilevel"/>
    <w:tmpl w:val="05E68E34"/>
    <w:lvl w:ilvl="0" w:tplc="CA7A34BA">
      <w:start w:val="1"/>
      <w:numFmt w:val="decimal"/>
      <w:lvlText w:val="%1."/>
      <w:lvlJc w:val="left"/>
      <w:pPr>
        <w:ind w:left="720" w:hanging="360"/>
      </w:pPr>
      <w:rPr>
        <w:rFonts w:ascii="Times New Roman" w:eastAsiaTheme="minorHAnsi" w:hAnsi="Times New Roman" w:cstheme="majorBidi"/>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C45A7E"/>
    <w:multiLevelType w:val="hybridMultilevel"/>
    <w:tmpl w:val="A336E1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CC42BD"/>
    <w:multiLevelType w:val="hybridMultilevel"/>
    <w:tmpl w:val="3696A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68E7B6D"/>
    <w:multiLevelType w:val="hybridMultilevel"/>
    <w:tmpl w:val="B86817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AB95E10"/>
    <w:multiLevelType w:val="hybridMultilevel"/>
    <w:tmpl w:val="B04E44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14A3D20"/>
    <w:multiLevelType w:val="hybridMultilevel"/>
    <w:tmpl w:val="AC4096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8604AE"/>
    <w:multiLevelType w:val="hybridMultilevel"/>
    <w:tmpl w:val="5B9A76C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C17A4A"/>
    <w:multiLevelType w:val="hybridMultilevel"/>
    <w:tmpl w:val="84ECCF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8A2452"/>
    <w:multiLevelType w:val="hybridMultilevel"/>
    <w:tmpl w:val="B6B859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3C7B1B"/>
    <w:multiLevelType w:val="hybridMultilevel"/>
    <w:tmpl w:val="BF408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A0293F"/>
    <w:multiLevelType w:val="multilevel"/>
    <w:tmpl w:val="B00A2010"/>
    <w:lvl w:ilvl="0">
      <w:start w:val="1"/>
      <w:numFmt w:val="decimal"/>
      <w:pStyle w:val="Titolo1"/>
      <w:lvlText w:val="%1"/>
      <w:lvlJc w:val="left"/>
      <w:pPr>
        <w:ind w:left="432" w:hanging="432"/>
      </w:pPr>
      <w:rPr>
        <w:b/>
      </w:r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6" w15:restartNumberingAfterBreak="0">
    <w:nsid w:val="323D7DD0"/>
    <w:multiLevelType w:val="hybridMultilevel"/>
    <w:tmpl w:val="DCC2B25C"/>
    <w:lvl w:ilvl="0" w:tplc="0410000F">
      <w:start w:val="1"/>
      <w:numFmt w:val="decimal"/>
      <w:lvlText w:val="%1."/>
      <w:lvlJc w:val="left"/>
      <w:pPr>
        <w:ind w:left="720" w:hanging="360"/>
      </w:pPr>
      <w:rPr>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2B32F6D"/>
    <w:multiLevelType w:val="hybridMultilevel"/>
    <w:tmpl w:val="267E2056"/>
    <w:lvl w:ilvl="0" w:tplc="CA7A34BA">
      <w:start w:val="1"/>
      <w:numFmt w:val="decimal"/>
      <w:lvlText w:val="%1."/>
      <w:lvlJc w:val="left"/>
      <w:pPr>
        <w:ind w:left="720" w:hanging="360"/>
      </w:pPr>
      <w:rPr>
        <w:rFonts w:ascii="Times New Roman" w:eastAsiaTheme="minorHAnsi" w:hAnsi="Times New Roman" w:cstheme="majorBidi"/>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2D43DB6"/>
    <w:multiLevelType w:val="hybridMultilevel"/>
    <w:tmpl w:val="7B9232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6941C09"/>
    <w:multiLevelType w:val="hybridMultilevel"/>
    <w:tmpl w:val="4A7E12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C73121"/>
    <w:multiLevelType w:val="hybridMultilevel"/>
    <w:tmpl w:val="AC4096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8747E55"/>
    <w:multiLevelType w:val="hybridMultilevel"/>
    <w:tmpl w:val="0DF4AEB0"/>
    <w:lvl w:ilvl="0" w:tplc="7DFA4FE2">
      <w:start w:val="1"/>
      <w:numFmt w:val="decimal"/>
      <w:lvlText w:val="%1."/>
      <w:lvlJc w:val="left"/>
      <w:pPr>
        <w:ind w:left="720" w:hanging="360"/>
      </w:pPr>
      <w:rPr>
        <w:rFonts w:ascii="NewBaskerville-Roman" w:hAnsi="NewBaskerville-Roman" w:hint="default"/>
        <w:color w:val="231F1F"/>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C373E71"/>
    <w:multiLevelType w:val="hybridMultilevel"/>
    <w:tmpl w:val="767615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D9F4DD8"/>
    <w:multiLevelType w:val="hybridMultilevel"/>
    <w:tmpl w:val="2A7C4D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F502833"/>
    <w:multiLevelType w:val="hybridMultilevel"/>
    <w:tmpl w:val="9FCCE620"/>
    <w:lvl w:ilvl="0" w:tplc="0410000F">
      <w:start w:val="1"/>
      <w:numFmt w:val="decimal"/>
      <w:lvlText w:val="%1."/>
      <w:lvlJc w:val="left"/>
      <w:pPr>
        <w:ind w:left="720" w:hanging="360"/>
      </w:pPr>
    </w:lvl>
    <w:lvl w:ilvl="1" w:tplc="2D22D9F8">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4433CC"/>
    <w:multiLevelType w:val="hybridMultilevel"/>
    <w:tmpl w:val="BD3645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42B7777"/>
    <w:multiLevelType w:val="hybridMultilevel"/>
    <w:tmpl w:val="CD9C7B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C7B57B0"/>
    <w:multiLevelType w:val="hybridMultilevel"/>
    <w:tmpl w:val="2D7C67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6F658EA"/>
    <w:multiLevelType w:val="hybridMultilevel"/>
    <w:tmpl w:val="C91A72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C7C53B0"/>
    <w:multiLevelType w:val="hybridMultilevel"/>
    <w:tmpl w:val="A57022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DEE45B3"/>
    <w:multiLevelType w:val="hybridMultilevel"/>
    <w:tmpl w:val="4F108326"/>
    <w:lvl w:ilvl="0" w:tplc="0410000F">
      <w:start w:val="1"/>
      <w:numFmt w:val="decimal"/>
      <w:lvlText w:val="%1."/>
      <w:lvlJc w:val="left"/>
      <w:pPr>
        <w:ind w:left="720" w:hanging="360"/>
      </w:pPr>
      <w:rPr>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71717C1"/>
    <w:multiLevelType w:val="hybridMultilevel"/>
    <w:tmpl w:val="4A202B2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AAD3252"/>
    <w:multiLevelType w:val="hybridMultilevel"/>
    <w:tmpl w:val="8528F3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CB22EBC"/>
    <w:multiLevelType w:val="hybridMultilevel"/>
    <w:tmpl w:val="424846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5C976C3"/>
    <w:multiLevelType w:val="hybridMultilevel"/>
    <w:tmpl w:val="BFDC0C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A2F380A"/>
    <w:multiLevelType w:val="hybridMultilevel"/>
    <w:tmpl w:val="59929E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F134E1"/>
    <w:multiLevelType w:val="hybridMultilevel"/>
    <w:tmpl w:val="AC4096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C40C25"/>
    <w:multiLevelType w:val="hybridMultilevel"/>
    <w:tmpl w:val="E5FA2F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23"/>
  </w:num>
  <w:num w:numId="3">
    <w:abstractNumId w:val="22"/>
  </w:num>
  <w:num w:numId="4">
    <w:abstractNumId w:val="3"/>
  </w:num>
  <w:num w:numId="5">
    <w:abstractNumId w:val="21"/>
  </w:num>
  <w:num w:numId="6">
    <w:abstractNumId w:val="19"/>
  </w:num>
  <w:num w:numId="7">
    <w:abstractNumId w:val="11"/>
  </w:num>
  <w:num w:numId="8">
    <w:abstractNumId w:val="0"/>
  </w:num>
  <w:num w:numId="9">
    <w:abstractNumId w:val="37"/>
  </w:num>
  <w:num w:numId="10">
    <w:abstractNumId w:val="4"/>
  </w:num>
  <w:num w:numId="11">
    <w:abstractNumId w:val="1"/>
  </w:num>
  <w:num w:numId="12">
    <w:abstractNumId w:val="24"/>
  </w:num>
  <w:num w:numId="13">
    <w:abstractNumId w:val="31"/>
  </w:num>
  <w:num w:numId="14">
    <w:abstractNumId w:val="32"/>
  </w:num>
  <w:num w:numId="15">
    <w:abstractNumId w:val="25"/>
  </w:num>
  <w:num w:numId="16">
    <w:abstractNumId w:val="33"/>
  </w:num>
  <w:num w:numId="17">
    <w:abstractNumId w:val="18"/>
  </w:num>
  <w:num w:numId="18">
    <w:abstractNumId w:val="28"/>
  </w:num>
  <w:num w:numId="19">
    <w:abstractNumId w:val="9"/>
  </w:num>
  <w:num w:numId="20">
    <w:abstractNumId w:val="6"/>
  </w:num>
  <w:num w:numId="21">
    <w:abstractNumId w:val="26"/>
  </w:num>
  <w:num w:numId="22">
    <w:abstractNumId w:val="12"/>
  </w:num>
  <w:num w:numId="23">
    <w:abstractNumId w:val="34"/>
  </w:num>
  <w:num w:numId="24">
    <w:abstractNumId w:val="7"/>
  </w:num>
  <w:num w:numId="25">
    <w:abstractNumId w:val="8"/>
  </w:num>
  <w:num w:numId="26">
    <w:abstractNumId w:val="29"/>
  </w:num>
  <w:num w:numId="27">
    <w:abstractNumId w:val="27"/>
  </w:num>
  <w:num w:numId="28">
    <w:abstractNumId w:val="14"/>
  </w:num>
  <w:num w:numId="29">
    <w:abstractNumId w:val="13"/>
  </w:num>
  <w:num w:numId="30">
    <w:abstractNumId w:val="5"/>
  </w:num>
  <w:num w:numId="31">
    <w:abstractNumId w:val="17"/>
  </w:num>
  <w:num w:numId="32">
    <w:abstractNumId w:val="16"/>
  </w:num>
  <w:num w:numId="33">
    <w:abstractNumId w:val="30"/>
  </w:num>
  <w:num w:numId="34">
    <w:abstractNumId w:val="2"/>
  </w:num>
  <w:num w:numId="35">
    <w:abstractNumId w:val="35"/>
  </w:num>
  <w:num w:numId="36">
    <w:abstractNumId w:val="36"/>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DE5"/>
    <w:rsid w:val="005F5DE5"/>
    <w:rsid w:val="00A84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898B"/>
  <w15:chartTrackingRefBased/>
  <w15:docId w15:val="{362537A2-8485-458D-8323-CEE9DE90A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5DE5"/>
    <w:pPr>
      <w:spacing w:before="240" w:after="240" w:line="240" w:lineRule="auto"/>
      <w:jc w:val="both"/>
    </w:pPr>
    <w:rPr>
      <w:rFonts w:ascii="Times New Roman" w:hAnsi="Times New Roman" w:cstheme="majorBidi"/>
      <w:b/>
      <w:sz w:val="24"/>
      <w:szCs w:val="28"/>
      <w:lang w:val="en-GB"/>
    </w:rPr>
  </w:style>
  <w:style w:type="paragraph" w:styleId="Titolo1">
    <w:name w:val="heading 1"/>
    <w:basedOn w:val="Normale"/>
    <w:next w:val="Normale"/>
    <w:link w:val="Titolo1Carattere"/>
    <w:uiPriority w:val="9"/>
    <w:qFormat/>
    <w:rsid w:val="005F5DE5"/>
    <w:pPr>
      <w:keepNext/>
      <w:keepLines/>
      <w:numPr>
        <w:numId w:val="1"/>
      </w:numPr>
      <w:ind w:left="0" w:firstLine="0"/>
      <w:jc w:val="left"/>
      <w:outlineLvl w:val="0"/>
    </w:pPr>
    <w:rPr>
      <w:rFonts w:eastAsiaTheme="majorEastAsia"/>
      <w:bCs/>
    </w:rPr>
  </w:style>
  <w:style w:type="paragraph" w:styleId="Titolo2">
    <w:name w:val="heading 2"/>
    <w:basedOn w:val="Paragrafoelenco"/>
    <w:next w:val="Normale"/>
    <w:link w:val="Titolo2Carattere"/>
    <w:uiPriority w:val="9"/>
    <w:unhideWhenUsed/>
    <w:qFormat/>
    <w:rsid w:val="005F5DE5"/>
    <w:pPr>
      <w:numPr>
        <w:ilvl w:val="1"/>
        <w:numId w:val="1"/>
      </w:numPr>
      <w:jc w:val="left"/>
      <w:outlineLvl w:val="1"/>
    </w:pPr>
    <w:rPr>
      <w:b w:val="0"/>
    </w:rPr>
  </w:style>
  <w:style w:type="paragraph" w:styleId="Titolo3">
    <w:name w:val="heading 3"/>
    <w:basedOn w:val="Normale"/>
    <w:next w:val="Normale"/>
    <w:link w:val="Titolo3Carattere"/>
    <w:uiPriority w:val="9"/>
    <w:unhideWhenUsed/>
    <w:qFormat/>
    <w:rsid w:val="005F5DE5"/>
    <w:pPr>
      <w:keepNext/>
      <w:keepLines/>
      <w:numPr>
        <w:ilvl w:val="2"/>
        <w:numId w:val="1"/>
      </w:numPr>
      <w:jc w:val="left"/>
      <w:outlineLvl w:val="2"/>
    </w:pPr>
    <w:rPr>
      <w:rFonts w:eastAsiaTheme="majorEastAsia"/>
      <w:bCs/>
    </w:rPr>
  </w:style>
  <w:style w:type="paragraph" w:styleId="Titolo4">
    <w:name w:val="heading 4"/>
    <w:basedOn w:val="Normale"/>
    <w:next w:val="Normale"/>
    <w:link w:val="Titolo4Carattere"/>
    <w:uiPriority w:val="9"/>
    <w:unhideWhenUsed/>
    <w:qFormat/>
    <w:rsid w:val="005F5DE5"/>
    <w:pPr>
      <w:keepNext/>
      <w:keepLines/>
      <w:numPr>
        <w:ilvl w:val="3"/>
        <w:numId w:val="1"/>
      </w:numPr>
      <w:spacing w:before="200" w:after="0"/>
      <w:outlineLvl w:val="3"/>
    </w:pPr>
    <w:rPr>
      <w:rFonts w:asciiTheme="majorHAnsi" w:eastAsiaTheme="majorEastAsia" w:hAnsiTheme="majorHAnsi"/>
      <w:bCs/>
      <w:i/>
      <w:iCs/>
      <w:sz w:val="20"/>
      <w:u w:val="single"/>
    </w:rPr>
  </w:style>
  <w:style w:type="paragraph" w:styleId="Titolo5">
    <w:name w:val="heading 5"/>
    <w:basedOn w:val="Normale"/>
    <w:next w:val="Normale"/>
    <w:link w:val="Titolo5Carattere"/>
    <w:uiPriority w:val="9"/>
    <w:unhideWhenUsed/>
    <w:qFormat/>
    <w:rsid w:val="005F5DE5"/>
    <w:pPr>
      <w:keepNext/>
      <w:keepLines/>
      <w:numPr>
        <w:ilvl w:val="4"/>
        <w:numId w:val="1"/>
      </w:numPr>
      <w:spacing w:before="200" w:after="0"/>
      <w:outlineLvl w:val="4"/>
    </w:pPr>
    <w:rPr>
      <w:rFonts w:asciiTheme="majorHAnsi" w:eastAsiaTheme="majorEastAsia" w:hAnsiTheme="majorHAnsi"/>
      <w:color w:val="1F4D78" w:themeColor="accent1" w:themeShade="7F"/>
    </w:rPr>
  </w:style>
  <w:style w:type="paragraph" w:styleId="Titolo6">
    <w:name w:val="heading 6"/>
    <w:basedOn w:val="Normale"/>
    <w:next w:val="Normale"/>
    <w:link w:val="Titolo6Carattere"/>
    <w:uiPriority w:val="9"/>
    <w:semiHidden/>
    <w:unhideWhenUsed/>
    <w:qFormat/>
    <w:rsid w:val="005F5DE5"/>
    <w:pPr>
      <w:keepNext/>
      <w:keepLines/>
      <w:numPr>
        <w:ilvl w:val="5"/>
        <w:numId w:val="1"/>
      </w:numPr>
      <w:spacing w:before="200" w:after="0"/>
      <w:outlineLvl w:val="5"/>
    </w:pPr>
    <w:rPr>
      <w:rFonts w:asciiTheme="majorHAnsi" w:eastAsiaTheme="majorEastAsia" w:hAnsiTheme="majorHAnsi"/>
      <w:i/>
      <w:iCs/>
      <w:color w:val="1F4D78" w:themeColor="accent1" w:themeShade="7F"/>
    </w:rPr>
  </w:style>
  <w:style w:type="paragraph" w:styleId="Titolo7">
    <w:name w:val="heading 7"/>
    <w:basedOn w:val="Normale"/>
    <w:next w:val="Normale"/>
    <w:link w:val="Titolo7Carattere"/>
    <w:uiPriority w:val="9"/>
    <w:semiHidden/>
    <w:unhideWhenUsed/>
    <w:qFormat/>
    <w:rsid w:val="005F5DE5"/>
    <w:pPr>
      <w:keepNext/>
      <w:keepLines/>
      <w:numPr>
        <w:ilvl w:val="6"/>
        <w:numId w:val="1"/>
      </w:numPr>
      <w:spacing w:before="200" w:after="0"/>
      <w:outlineLvl w:val="6"/>
    </w:pPr>
    <w:rPr>
      <w:rFonts w:asciiTheme="majorHAnsi" w:eastAsiaTheme="majorEastAsia" w:hAnsiTheme="majorHAnsi"/>
      <w:i/>
      <w:iCs/>
      <w:color w:val="404040" w:themeColor="text1" w:themeTint="BF"/>
    </w:rPr>
  </w:style>
  <w:style w:type="paragraph" w:styleId="Titolo8">
    <w:name w:val="heading 8"/>
    <w:basedOn w:val="Normale"/>
    <w:next w:val="Normale"/>
    <w:link w:val="Titolo8Carattere"/>
    <w:uiPriority w:val="9"/>
    <w:semiHidden/>
    <w:unhideWhenUsed/>
    <w:qFormat/>
    <w:rsid w:val="005F5DE5"/>
    <w:pPr>
      <w:keepNext/>
      <w:keepLines/>
      <w:numPr>
        <w:ilvl w:val="7"/>
        <w:numId w:val="1"/>
      </w:numPr>
      <w:spacing w:before="200" w:after="0"/>
      <w:outlineLvl w:val="7"/>
    </w:pPr>
    <w:rPr>
      <w:rFonts w:asciiTheme="majorHAnsi" w:eastAsiaTheme="majorEastAsia" w:hAnsiTheme="majorHAnsi"/>
      <w:color w:val="404040" w:themeColor="text1" w:themeTint="BF"/>
      <w:sz w:val="20"/>
      <w:szCs w:val="20"/>
    </w:rPr>
  </w:style>
  <w:style w:type="paragraph" w:styleId="Titolo9">
    <w:name w:val="heading 9"/>
    <w:basedOn w:val="Normale"/>
    <w:next w:val="Normale"/>
    <w:link w:val="Titolo9Carattere"/>
    <w:uiPriority w:val="9"/>
    <w:semiHidden/>
    <w:unhideWhenUsed/>
    <w:qFormat/>
    <w:rsid w:val="005F5DE5"/>
    <w:pPr>
      <w:keepNext/>
      <w:keepLines/>
      <w:numPr>
        <w:ilvl w:val="8"/>
        <w:numId w:val="1"/>
      </w:numPr>
      <w:spacing w:before="200" w:after="0"/>
      <w:outlineLvl w:val="8"/>
    </w:pPr>
    <w:rPr>
      <w:rFonts w:asciiTheme="majorHAnsi" w:eastAsiaTheme="majorEastAsia" w:hAnsiTheme="majorHAns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5DE5"/>
    <w:rPr>
      <w:rFonts w:ascii="Times New Roman" w:eastAsiaTheme="majorEastAsia" w:hAnsi="Times New Roman" w:cstheme="majorBidi"/>
      <w:b/>
      <w:bCs/>
      <w:sz w:val="24"/>
      <w:szCs w:val="28"/>
      <w:lang w:val="en-GB"/>
    </w:rPr>
  </w:style>
  <w:style w:type="character" w:customStyle="1" w:styleId="Titolo2Carattere">
    <w:name w:val="Titolo 2 Carattere"/>
    <w:basedOn w:val="Carpredefinitoparagrafo"/>
    <w:link w:val="Titolo2"/>
    <w:uiPriority w:val="9"/>
    <w:rsid w:val="005F5DE5"/>
    <w:rPr>
      <w:rFonts w:ascii="Times New Roman" w:hAnsi="Times New Roman" w:cstheme="majorBidi"/>
      <w:sz w:val="24"/>
      <w:szCs w:val="28"/>
      <w:lang w:val="en-GB"/>
    </w:rPr>
  </w:style>
  <w:style w:type="character" w:customStyle="1" w:styleId="Titolo3Carattere">
    <w:name w:val="Titolo 3 Carattere"/>
    <w:basedOn w:val="Carpredefinitoparagrafo"/>
    <w:link w:val="Titolo3"/>
    <w:uiPriority w:val="9"/>
    <w:rsid w:val="005F5DE5"/>
    <w:rPr>
      <w:rFonts w:ascii="Times New Roman" w:eastAsiaTheme="majorEastAsia" w:hAnsi="Times New Roman" w:cstheme="majorBidi"/>
      <w:b/>
      <w:bCs/>
      <w:sz w:val="24"/>
      <w:szCs w:val="28"/>
      <w:lang w:val="en-GB"/>
    </w:rPr>
  </w:style>
  <w:style w:type="character" w:customStyle="1" w:styleId="Titolo4Carattere">
    <w:name w:val="Titolo 4 Carattere"/>
    <w:basedOn w:val="Carpredefinitoparagrafo"/>
    <w:link w:val="Titolo4"/>
    <w:uiPriority w:val="9"/>
    <w:rsid w:val="005F5DE5"/>
    <w:rPr>
      <w:rFonts w:asciiTheme="majorHAnsi" w:eastAsiaTheme="majorEastAsia" w:hAnsiTheme="majorHAnsi" w:cstheme="majorBidi"/>
      <w:b/>
      <w:bCs/>
      <w:i/>
      <w:iCs/>
      <w:sz w:val="20"/>
      <w:szCs w:val="28"/>
      <w:u w:val="single"/>
      <w:lang w:val="en-GB"/>
    </w:rPr>
  </w:style>
  <w:style w:type="character" w:customStyle="1" w:styleId="Titolo5Carattere">
    <w:name w:val="Titolo 5 Carattere"/>
    <w:basedOn w:val="Carpredefinitoparagrafo"/>
    <w:link w:val="Titolo5"/>
    <w:uiPriority w:val="9"/>
    <w:rsid w:val="005F5DE5"/>
    <w:rPr>
      <w:rFonts w:asciiTheme="majorHAnsi" w:eastAsiaTheme="majorEastAsia" w:hAnsiTheme="majorHAnsi" w:cstheme="majorBidi"/>
      <w:b/>
      <w:color w:val="1F4D78" w:themeColor="accent1" w:themeShade="7F"/>
      <w:sz w:val="24"/>
      <w:szCs w:val="28"/>
      <w:lang w:val="en-GB"/>
    </w:rPr>
  </w:style>
  <w:style w:type="character" w:customStyle="1" w:styleId="Titolo6Carattere">
    <w:name w:val="Titolo 6 Carattere"/>
    <w:basedOn w:val="Carpredefinitoparagrafo"/>
    <w:link w:val="Titolo6"/>
    <w:uiPriority w:val="9"/>
    <w:semiHidden/>
    <w:rsid w:val="005F5DE5"/>
    <w:rPr>
      <w:rFonts w:asciiTheme="majorHAnsi" w:eastAsiaTheme="majorEastAsia" w:hAnsiTheme="majorHAnsi" w:cstheme="majorBidi"/>
      <w:b/>
      <w:i/>
      <w:iCs/>
      <w:color w:val="1F4D78" w:themeColor="accent1" w:themeShade="7F"/>
      <w:sz w:val="24"/>
      <w:szCs w:val="28"/>
      <w:lang w:val="en-GB"/>
    </w:rPr>
  </w:style>
  <w:style w:type="character" w:customStyle="1" w:styleId="Titolo7Carattere">
    <w:name w:val="Titolo 7 Carattere"/>
    <w:basedOn w:val="Carpredefinitoparagrafo"/>
    <w:link w:val="Titolo7"/>
    <w:uiPriority w:val="9"/>
    <w:semiHidden/>
    <w:rsid w:val="005F5DE5"/>
    <w:rPr>
      <w:rFonts w:asciiTheme="majorHAnsi" w:eastAsiaTheme="majorEastAsia" w:hAnsiTheme="majorHAnsi" w:cstheme="majorBidi"/>
      <w:b/>
      <w:i/>
      <w:iCs/>
      <w:color w:val="404040" w:themeColor="text1" w:themeTint="BF"/>
      <w:sz w:val="24"/>
      <w:szCs w:val="28"/>
      <w:lang w:val="en-GB"/>
    </w:rPr>
  </w:style>
  <w:style w:type="character" w:customStyle="1" w:styleId="Titolo8Carattere">
    <w:name w:val="Titolo 8 Carattere"/>
    <w:basedOn w:val="Carpredefinitoparagrafo"/>
    <w:link w:val="Titolo8"/>
    <w:uiPriority w:val="9"/>
    <w:semiHidden/>
    <w:rsid w:val="005F5DE5"/>
    <w:rPr>
      <w:rFonts w:asciiTheme="majorHAnsi" w:eastAsiaTheme="majorEastAsia" w:hAnsiTheme="majorHAnsi" w:cstheme="majorBidi"/>
      <w:b/>
      <w:color w:val="404040" w:themeColor="text1" w:themeTint="BF"/>
      <w:sz w:val="20"/>
      <w:szCs w:val="20"/>
      <w:lang w:val="en-GB"/>
    </w:rPr>
  </w:style>
  <w:style w:type="character" w:customStyle="1" w:styleId="Titolo9Carattere">
    <w:name w:val="Titolo 9 Carattere"/>
    <w:basedOn w:val="Carpredefinitoparagrafo"/>
    <w:link w:val="Titolo9"/>
    <w:uiPriority w:val="9"/>
    <w:semiHidden/>
    <w:rsid w:val="005F5DE5"/>
    <w:rPr>
      <w:rFonts w:asciiTheme="majorHAnsi" w:eastAsiaTheme="majorEastAsia" w:hAnsiTheme="majorHAnsi" w:cstheme="majorBidi"/>
      <w:b/>
      <w:i/>
      <w:iCs/>
      <w:color w:val="404040" w:themeColor="text1" w:themeTint="BF"/>
      <w:sz w:val="20"/>
      <w:szCs w:val="20"/>
      <w:lang w:val="en-GB"/>
    </w:rPr>
  </w:style>
  <w:style w:type="paragraph" w:styleId="Titolo">
    <w:name w:val="Title"/>
    <w:basedOn w:val="Normale"/>
    <w:next w:val="Normale"/>
    <w:link w:val="TitoloCarattere"/>
    <w:uiPriority w:val="10"/>
    <w:qFormat/>
    <w:rsid w:val="005F5DE5"/>
    <w:pPr>
      <w:spacing w:before="120"/>
      <w:contextualSpacing/>
      <w:jc w:val="center"/>
    </w:pPr>
    <w:rPr>
      <w:rFonts w:eastAsiaTheme="majorEastAsia"/>
      <w:b w:val="0"/>
      <w:spacing w:val="5"/>
      <w:kern w:val="28"/>
      <w:sz w:val="40"/>
      <w:szCs w:val="52"/>
    </w:rPr>
  </w:style>
  <w:style w:type="character" w:customStyle="1" w:styleId="TitoloCarattere">
    <w:name w:val="Titolo Carattere"/>
    <w:basedOn w:val="Carpredefinitoparagrafo"/>
    <w:link w:val="Titolo"/>
    <w:uiPriority w:val="10"/>
    <w:rsid w:val="005F5DE5"/>
    <w:rPr>
      <w:rFonts w:ascii="Times New Roman" w:eastAsiaTheme="majorEastAsia" w:hAnsi="Times New Roman" w:cstheme="majorBidi"/>
      <w:spacing w:val="5"/>
      <w:kern w:val="28"/>
      <w:sz w:val="40"/>
      <w:szCs w:val="52"/>
      <w:lang w:val="en-GB"/>
    </w:rPr>
  </w:style>
  <w:style w:type="paragraph" w:styleId="Sottotitolo">
    <w:name w:val="Subtitle"/>
    <w:basedOn w:val="Normale"/>
    <w:next w:val="Normale"/>
    <w:link w:val="SottotitoloCarattere"/>
    <w:uiPriority w:val="11"/>
    <w:qFormat/>
    <w:rsid w:val="005F5DE5"/>
    <w:pPr>
      <w:numPr>
        <w:ilvl w:val="1"/>
      </w:numPr>
      <w:spacing w:before="120"/>
      <w:jc w:val="center"/>
    </w:pPr>
    <w:rPr>
      <w:rFonts w:eastAsiaTheme="majorEastAsia"/>
      <w:iCs/>
      <w:spacing w:val="15"/>
      <w:szCs w:val="24"/>
    </w:rPr>
  </w:style>
  <w:style w:type="character" w:customStyle="1" w:styleId="SottotitoloCarattere">
    <w:name w:val="Sottotitolo Carattere"/>
    <w:basedOn w:val="Carpredefinitoparagrafo"/>
    <w:link w:val="Sottotitolo"/>
    <w:uiPriority w:val="11"/>
    <w:rsid w:val="005F5DE5"/>
    <w:rPr>
      <w:rFonts w:ascii="Times New Roman" w:eastAsiaTheme="majorEastAsia" w:hAnsi="Times New Roman" w:cstheme="majorBidi"/>
      <w:b/>
      <w:iCs/>
      <w:spacing w:val="15"/>
      <w:sz w:val="24"/>
      <w:szCs w:val="24"/>
      <w:lang w:val="en-GB"/>
    </w:rPr>
  </w:style>
  <w:style w:type="character" w:styleId="Enfasidelicata">
    <w:name w:val="Subtle Emphasis"/>
    <w:basedOn w:val="Carpredefinitoparagrafo"/>
    <w:uiPriority w:val="19"/>
    <w:qFormat/>
    <w:rsid w:val="005F5DE5"/>
    <w:rPr>
      <w:rFonts w:ascii="Times New Roman" w:hAnsi="Times New Roman"/>
      <w:i/>
      <w:iCs/>
      <w:color w:val="auto"/>
      <w:sz w:val="24"/>
    </w:rPr>
  </w:style>
  <w:style w:type="paragraph" w:customStyle="1" w:styleId="affiliations">
    <w:name w:val="affiliations"/>
    <w:basedOn w:val="Normale"/>
    <w:link w:val="affiliationsChar"/>
    <w:qFormat/>
    <w:rsid w:val="005F5DE5"/>
    <w:pPr>
      <w:jc w:val="center"/>
    </w:pPr>
    <w:rPr>
      <w:i/>
    </w:rPr>
  </w:style>
  <w:style w:type="character" w:customStyle="1" w:styleId="affiliationsChar">
    <w:name w:val="affiliations Char"/>
    <w:basedOn w:val="Carpredefinitoparagrafo"/>
    <w:link w:val="affiliations"/>
    <w:rsid w:val="005F5DE5"/>
    <w:rPr>
      <w:rFonts w:ascii="Times New Roman" w:hAnsi="Times New Roman" w:cstheme="majorBidi"/>
      <w:b/>
      <w:i/>
      <w:sz w:val="24"/>
      <w:szCs w:val="28"/>
      <w:lang w:val="en-GB"/>
    </w:rPr>
  </w:style>
  <w:style w:type="paragraph" w:styleId="Paragrafoelenco">
    <w:name w:val="List Paragraph"/>
    <w:basedOn w:val="Normale"/>
    <w:uiPriority w:val="34"/>
    <w:qFormat/>
    <w:rsid w:val="005F5DE5"/>
    <w:pPr>
      <w:ind w:left="720"/>
      <w:contextualSpacing/>
    </w:pPr>
  </w:style>
  <w:style w:type="paragraph" w:styleId="Nessunaspaziatura">
    <w:name w:val="No Spacing"/>
    <w:link w:val="NessunaspaziaturaCarattere"/>
    <w:uiPriority w:val="1"/>
    <w:qFormat/>
    <w:rsid w:val="005F5DE5"/>
    <w:pPr>
      <w:spacing w:after="0" w:line="240" w:lineRule="auto"/>
    </w:pPr>
    <w:rPr>
      <w:rFonts w:asciiTheme="majorHAnsi" w:hAnsiTheme="majorHAnsi" w:cstheme="majorBidi"/>
      <w:sz w:val="24"/>
      <w:szCs w:val="28"/>
      <w:lang w:val="en-GB"/>
    </w:rPr>
  </w:style>
  <w:style w:type="paragraph" w:styleId="Intestazione">
    <w:name w:val="header"/>
    <w:basedOn w:val="Normale"/>
    <w:link w:val="IntestazioneCarattere"/>
    <w:uiPriority w:val="99"/>
    <w:unhideWhenUsed/>
    <w:rsid w:val="005F5DE5"/>
    <w:pPr>
      <w:tabs>
        <w:tab w:val="center" w:pos="4680"/>
        <w:tab w:val="right" w:pos="9360"/>
      </w:tabs>
      <w:spacing w:after="0"/>
    </w:pPr>
  </w:style>
  <w:style w:type="character" w:customStyle="1" w:styleId="IntestazioneCarattere">
    <w:name w:val="Intestazione Carattere"/>
    <w:basedOn w:val="Carpredefinitoparagrafo"/>
    <w:link w:val="Intestazione"/>
    <w:uiPriority w:val="99"/>
    <w:rsid w:val="005F5DE5"/>
    <w:rPr>
      <w:rFonts w:ascii="Times New Roman" w:hAnsi="Times New Roman" w:cstheme="majorBidi"/>
      <w:b/>
      <w:sz w:val="24"/>
      <w:szCs w:val="28"/>
      <w:lang w:val="en-GB"/>
    </w:rPr>
  </w:style>
  <w:style w:type="paragraph" w:styleId="Pidipagina">
    <w:name w:val="footer"/>
    <w:basedOn w:val="Normale"/>
    <w:link w:val="PidipaginaCarattere"/>
    <w:uiPriority w:val="99"/>
    <w:unhideWhenUsed/>
    <w:rsid w:val="005F5DE5"/>
    <w:pPr>
      <w:tabs>
        <w:tab w:val="center" w:pos="4680"/>
        <w:tab w:val="right" w:pos="9360"/>
      </w:tabs>
      <w:spacing w:after="0"/>
    </w:pPr>
  </w:style>
  <w:style w:type="character" w:customStyle="1" w:styleId="PidipaginaCarattere">
    <w:name w:val="Piè di pagina Carattere"/>
    <w:basedOn w:val="Carpredefinitoparagrafo"/>
    <w:link w:val="Pidipagina"/>
    <w:uiPriority w:val="99"/>
    <w:rsid w:val="005F5DE5"/>
    <w:rPr>
      <w:rFonts w:ascii="Times New Roman" w:hAnsi="Times New Roman" w:cstheme="majorBidi"/>
      <w:b/>
      <w:sz w:val="24"/>
      <w:szCs w:val="28"/>
      <w:lang w:val="en-GB"/>
    </w:rPr>
  </w:style>
  <w:style w:type="paragraph" w:styleId="Titolosommario">
    <w:name w:val="TOC Heading"/>
    <w:basedOn w:val="Titolo1"/>
    <w:next w:val="Normale"/>
    <w:uiPriority w:val="39"/>
    <w:unhideWhenUsed/>
    <w:qFormat/>
    <w:rsid w:val="005F5DE5"/>
    <w:pPr>
      <w:numPr>
        <w:numId w:val="0"/>
      </w:numPr>
      <w:spacing w:before="480" w:after="0" w:line="276" w:lineRule="auto"/>
      <w:outlineLvl w:val="9"/>
    </w:pPr>
    <w:rPr>
      <w:rFonts w:asciiTheme="majorHAnsi" w:hAnsiTheme="majorHAnsi"/>
      <w:bCs w:val="0"/>
      <w:caps/>
      <w:color w:val="2E74B5" w:themeColor="accent1" w:themeShade="BF"/>
      <w:sz w:val="28"/>
      <w:lang w:val="en-US" w:eastAsia="ja-JP"/>
    </w:rPr>
  </w:style>
  <w:style w:type="paragraph" w:styleId="Sommario1">
    <w:name w:val="toc 1"/>
    <w:basedOn w:val="Normale"/>
    <w:next w:val="Normale"/>
    <w:autoRedefine/>
    <w:uiPriority w:val="39"/>
    <w:unhideWhenUsed/>
    <w:rsid w:val="005F5DE5"/>
    <w:pPr>
      <w:tabs>
        <w:tab w:val="left" w:pos="480"/>
        <w:tab w:val="right" w:leader="dot" w:pos="9350"/>
      </w:tabs>
      <w:spacing w:after="100"/>
    </w:pPr>
    <w:rPr>
      <w:caps/>
      <w:noProof/>
    </w:rPr>
  </w:style>
  <w:style w:type="paragraph" w:styleId="Sommario2">
    <w:name w:val="toc 2"/>
    <w:basedOn w:val="Normale"/>
    <w:next w:val="Normale"/>
    <w:autoRedefine/>
    <w:uiPriority w:val="39"/>
    <w:unhideWhenUsed/>
    <w:rsid w:val="005F5DE5"/>
    <w:pPr>
      <w:spacing w:after="100"/>
      <w:ind w:left="240"/>
    </w:pPr>
  </w:style>
  <w:style w:type="paragraph" w:styleId="Sommario3">
    <w:name w:val="toc 3"/>
    <w:basedOn w:val="Normale"/>
    <w:next w:val="Normale"/>
    <w:autoRedefine/>
    <w:uiPriority w:val="39"/>
    <w:unhideWhenUsed/>
    <w:rsid w:val="005F5DE5"/>
    <w:pPr>
      <w:spacing w:after="100"/>
      <w:ind w:left="480"/>
    </w:pPr>
  </w:style>
  <w:style w:type="character" w:styleId="Collegamentoipertestuale">
    <w:name w:val="Hyperlink"/>
    <w:basedOn w:val="Carpredefinitoparagrafo"/>
    <w:uiPriority w:val="99"/>
    <w:unhideWhenUsed/>
    <w:rsid w:val="005F5DE5"/>
    <w:rPr>
      <w:color w:val="0563C1" w:themeColor="hyperlink"/>
      <w:u w:val="single"/>
    </w:rPr>
  </w:style>
  <w:style w:type="paragraph" w:styleId="Testofumetto">
    <w:name w:val="Balloon Text"/>
    <w:basedOn w:val="Normale"/>
    <w:link w:val="TestofumettoCarattere"/>
    <w:uiPriority w:val="99"/>
    <w:semiHidden/>
    <w:unhideWhenUsed/>
    <w:rsid w:val="005F5DE5"/>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5DE5"/>
    <w:rPr>
      <w:rFonts w:ascii="Tahoma" w:hAnsi="Tahoma" w:cs="Tahoma"/>
      <w:b/>
      <w:sz w:val="16"/>
      <w:szCs w:val="16"/>
      <w:lang w:val="en-GB"/>
    </w:rPr>
  </w:style>
  <w:style w:type="paragraph" w:styleId="Didascalia">
    <w:name w:val="caption"/>
    <w:basedOn w:val="Normale"/>
    <w:next w:val="Normale"/>
    <w:unhideWhenUsed/>
    <w:qFormat/>
    <w:rsid w:val="005F5DE5"/>
    <w:pPr>
      <w:jc w:val="left"/>
    </w:pPr>
    <w:rPr>
      <w:b w:val="0"/>
      <w:bCs/>
      <w:sz w:val="20"/>
      <w:szCs w:val="20"/>
    </w:rPr>
  </w:style>
  <w:style w:type="character" w:styleId="Enfasicorsivo">
    <w:name w:val="Emphasis"/>
    <w:basedOn w:val="Carpredefinitoparagrafo"/>
    <w:uiPriority w:val="20"/>
    <w:qFormat/>
    <w:rsid w:val="005F5DE5"/>
    <w:rPr>
      <w:i/>
      <w:iCs/>
    </w:rPr>
  </w:style>
  <w:style w:type="character" w:customStyle="1" w:styleId="srcxlistaxbrod">
    <w:name w:val="srcxlistaxbrod"/>
    <w:basedOn w:val="Carpredefinitoparagrafo"/>
    <w:rsid w:val="005F5DE5"/>
  </w:style>
  <w:style w:type="paragraph" w:customStyle="1" w:styleId="fererencing">
    <w:name w:val="fererencing"/>
    <w:basedOn w:val="Normale"/>
    <w:link w:val="fererencingChar"/>
    <w:qFormat/>
    <w:rsid w:val="005F5DE5"/>
    <w:pPr>
      <w:ind w:left="720" w:hanging="720"/>
    </w:pPr>
  </w:style>
  <w:style w:type="character" w:customStyle="1" w:styleId="apple-converted-space">
    <w:name w:val="apple-converted-space"/>
    <w:basedOn w:val="Carpredefinitoparagrafo"/>
    <w:rsid w:val="005F5DE5"/>
  </w:style>
  <w:style w:type="character" w:customStyle="1" w:styleId="fererencingChar">
    <w:name w:val="fererencing Char"/>
    <w:basedOn w:val="Carpredefinitoparagrafo"/>
    <w:link w:val="fererencing"/>
    <w:rsid w:val="005F5DE5"/>
    <w:rPr>
      <w:rFonts w:ascii="Times New Roman" w:hAnsi="Times New Roman" w:cstheme="majorBidi"/>
      <w:b/>
      <w:sz w:val="24"/>
      <w:szCs w:val="28"/>
      <w:lang w:val="en-GB"/>
    </w:rPr>
  </w:style>
  <w:style w:type="character" w:styleId="Enfasigrassetto">
    <w:name w:val="Strong"/>
    <w:basedOn w:val="Carpredefinitoparagrafo"/>
    <w:uiPriority w:val="22"/>
    <w:qFormat/>
    <w:rsid w:val="005F5DE5"/>
    <w:rPr>
      <w:b/>
      <w:bCs/>
    </w:rPr>
  </w:style>
  <w:style w:type="character" w:customStyle="1" w:styleId="personname">
    <w:name w:val="person_name"/>
    <w:basedOn w:val="Carpredefinitoparagrafo"/>
    <w:rsid w:val="005F5DE5"/>
  </w:style>
  <w:style w:type="table" w:styleId="Grigliatabella">
    <w:name w:val="Table Grid"/>
    <w:basedOn w:val="Tabellanormale"/>
    <w:uiPriority w:val="39"/>
    <w:rsid w:val="005F5DE5"/>
    <w:pPr>
      <w:spacing w:after="0" w:line="240" w:lineRule="auto"/>
    </w:pPr>
    <w:rPr>
      <w:b/>
      <w:bCs/>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notaapidipagina">
    <w:name w:val="footnote text"/>
    <w:basedOn w:val="Normale"/>
    <w:link w:val="TestonotaapidipaginaCarattere"/>
    <w:uiPriority w:val="99"/>
    <w:semiHidden/>
    <w:unhideWhenUsed/>
    <w:rsid w:val="005F5DE5"/>
    <w:pPr>
      <w:spacing w:before="0" w:after="0"/>
      <w:jc w:val="left"/>
    </w:pPr>
    <w:rPr>
      <w:rFonts w:asciiTheme="minorHAnsi" w:hAnsiTheme="minorHAnsi" w:cstheme="minorBidi"/>
      <w:bCs/>
      <w:sz w:val="20"/>
      <w:szCs w:val="20"/>
    </w:rPr>
  </w:style>
  <w:style w:type="character" w:customStyle="1" w:styleId="TestonotaapidipaginaCarattere">
    <w:name w:val="Testo nota a piè di pagina Carattere"/>
    <w:basedOn w:val="Carpredefinitoparagrafo"/>
    <w:link w:val="Testonotaapidipagina"/>
    <w:uiPriority w:val="99"/>
    <w:semiHidden/>
    <w:rsid w:val="005F5DE5"/>
    <w:rPr>
      <w:b/>
      <w:bCs/>
      <w:sz w:val="20"/>
      <w:szCs w:val="20"/>
      <w:lang w:val="en-GB"/>
    </w:rPr>
  </w:style>
  <w:style w:type="character" w:styleId="Rimandonotaapidipagina">
    <w:name w:val="footnote reference"/>
    <w:basedOn w:val="Carpredefinitoparagrafo"/>
    <w:uiPriority w:val="99"/>
    <w:semiHidden/>
    <w:unhideWhenUsed/>
    <w:rsid w:val="005F5DE5"/>
    <w:rPr>
      <w:vertAlign w:val="superscript"/>
    </w:rPr>
  </w:style>
  <w:style w:type="table" w:styleId="Elencochiaro-Colore4">
    <w:name w:val="Light List Accent 4"/>
    <w:basedOn w:val="Tabellanormale"/>
    <w:uiPriority w:val="61"/>
    <w:rsid w:val="005F5DE5"/>
    <w:pPr>
      <w:spacing w:after="0" w:line="240" w:lineRule="auto"/>
    </w:pPr>
    <w:rPr>
      <w:b/>
      <w:bCs/>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
    <w:name w:val="Light List"/>
    <w:basedOn w:val="Tabellanormale"/>
    <w:uiPriority w:val="61"/>
    <w:rsid w:val="005F5DE5"/>
    <w:pPr>
      <w:spacing w:after="0" w:line="240" w:lineRule="auto"/>
    </w:pPr>
    <w:rPr>
      <w:b/>
      <w:bCs/>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ERMES">
    <w:name w:val="CERMES"/>
    <w:basedOn w:val="Tabellasemplice1"/>
    <w:uiPriority w:val="99"/>
    <w:rsid w:val="005F5DE5"/>
    <w:pPr>
      <w:spacing w:after="0"/>
    </w:pPr>
    <w:rPr>
      <w:rFonts w:ascii="Times New Roman" w:hAnsi="Times New Roman" w:cstheme="minorBidi"/>
      <w:b/>
      <w:bCs/>
      <w:sz w:val="20"/>
      <w:szCs w:val="20"/>
      <w:lang w:val="it-IT" w:eastAsia="it-IT"/>
    </w:rPr>
    <w:tblPr>
      <w:tblBorders>
        <w:top w:val="single" w:sz="12" w:space="0" w:color="auto"/>
        <w:bottom w:val="single" w:sz="12" w:space="0" w:color="auto"/>
      </w:tblBorders>
    </w:tblPr>
    <w:tcPr>
      <w:shd w:val="clear" w:color="auto" w:fill="auto"/>
    </w:tcPr>
    <w:tblStylePr w:type="firstRow">
      <w:rPr>
        <w:rFonts w:ascii="Times New Roman" w:hAnsi="Times New Roman"/>
        <w:b/>
        <w:sz w:val="20"/>
      </w:rPr>
      <w:tblPr/>
      <w:tcPr>
        <w:tcBorders>
          <w:bottom w:val="single" w:sz="6" w:space="0" w:color="auto"/>
          <w:tl2br w:val="none" w:sz="0" w:space="0" w:color="auto"/>
          <w:tr2bl w:val="none" w:sz="0" w:space="0" w:color="auto"/>
        </w:tcBorders>
        <w:shd w:val="clear" w:color="auto" w:fill="auto"/>
      </w:tcPr>
    </w:tblStylePr>
    <w:tblStylePr w:type="lastRow">
      <w:tblPr/>
      <w:tcPr>
        <w:tcBorders>
          <w:top w:val="single" w:sz="6" w:space="0" w:color="008000"/>
          <w:tl2br w:val="none" w:sz="0" w:space="0" w:color="auto"/>
          <w:tr2bl w:val="none" w:sz="0" w:space="0" w:color="auto"/>
        </w:tcBorders>
      </w:tcPr>
    </w:tblStylePr>
  </w:style>
  <w:style w:type="table" w:styleId="Tabellasemplice1">
    <w:name w:val="Table Simple 1"/>
    <w:basedOn w:val="Tabellanormale"/>
    <w:uiPriority w:val="99"/>
    <w:semiHidden/>
    <w:unhideWhenUsed/>
    <w:rsid w:val="005F5DE5"/>
    <w:pPr>
      <w:spacing w:before="240" w:after="240" w:line="240" w:lineRule="auto"/>
      <w:jc w:val="both"/>
    </w:pPr>
    <w:rPr>
      <w:rFonts w:asciiTheme="majorHAnsi" w:hAnsiTheme="majorHAnsi" w:cstheme="majorBidi"/>
      <w:sz w:val="24"/>
      <w:szCs w:val="28"/>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essunaspaziaturaCarattere">
    <w:name w:val="Nessuna spaziatura Carattere"/>
    <w:basedOn w:val="Carpredefinitoparagrafo"/>
    <w:link w:val="Nessunaspaziatura"/>
    <w:uiPriority w:val="1"/>
    <w:rsid w:val="005F5DE5"/>
    <w:rPr>
      <w:rFonts w:asciiTheme="majorHAnsi" w:hAnsiTheme="majorHAnsi" w:cstheme="majorBidi"/>
      <w:sz w:val="24"/>
      <w:szCs w:val="28"/>
      <w:lang w:val="en-GB"/>
    </w:rPr>
  </w:style>
  <w:style w:type="character" w:styleId="Collegamentovisitato">
    <w:name w:val="FollowedHyperlink"/>
    <w:basedOn w:val="Carpredefinitoparagrafo"/>
    <w:uiPriority w:val="99"/>
    <w:semiHidden/>
    <w:unhideWhenUsed/>
    <w:rsid w:val="005F5DE5"/>
    <w:rPr>
      <w:color w:val="954F72" w:themeColor="followedHyperlink"/>
      <w:u w:val="single"/>
    </w:rPr>
  </w:style>
  <w:style w:type="table" w:styleId="Tabellagriglia1chiara-colore2">
    <w:name w:val="Grid Table 1 Light Accent 2"/>
    <w:basedOn w:val="Tabellanormale"/>
    <w:uiPriority w:val="46"/>
    <w:rsid w:val="005F5DE5"/>
    <w:pPr>
      <w:spacing w:after="0" w:line="240" w:lineRule="auto"/>
    </w:pPr>
    <w:rPr>
      <w:rFonts w:asciiTheme="majorHAnsi" w:hAnsiTheme="majorHAnsi" w:cstheme="majorBidi"/>
      <w:sz w:val="24"/>
      <w:szCs w:val="28"/>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2-colore4">
    <w:name w:val="Grid Table 2 Accent 4"/>
    <w:basedOn w:val="Tabellanormale"/>
    <w:uiPriority w:val="47"/>
    <w:rsid w:val="005F5DE5"/>
    <w:pPr>
      <w:spacing w:after="0" w:line="240" w:lineRule="auto"/>
    </w:pPr>
    <w:rPr>
      <w:rFonts w:asciiTheme="majorHAnsi" w:hAnsiTheme="majorHAnsi" w:cstheme="majorBidi"/>
      <w:sz w:val="24"/>
      <w:szCs w:val="28"/>
      <w:lang w:val="en-US"/>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6">
    <w:name w:val="Grid Table 4 Accent 6"/>
    <w:basedOn w:val="Tabellanormale"/>
    <w:uiPriority w:val="49"/>
    <w:rsid w:val="005F5DE5"/>
    <w:pPr>
      <w:spacing w:after="0" w:line="240" w:lineRule="auto"/>
    </w:pPr>
    <w:rPr>
      <w:rFonts w:asciiTheme="majorHAnsi" w:hAnsiTheme="majorHAnsi" w:cstheme="majorBidi"/>
      <w:sz w:val="24"/>
      <w:szCs w:val="28"/>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4-colore4">
    <w:name w:val="Grid Table 4 Accent 4"/>
    <w:basedOn w:val="Tabellanormale"/>
    <w:uiPriority w:val="49"/>
    <w:rsid w:val="005F5DE5"/>
    <w:pPr>
      <w:spacing w:after="0" w:line="240" w:lineRule="auto"/>
    </w:pPr>
    <w:rPr>
      <w:rFonts w:asciiTheme="majorHAnsi" w:hAnsiTheme="majorHAnsi" w:cstheme="majorBidi"/>
      <w:sz w:val="24"/>
      <w:szCs w:val="28"/>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3">
    <w:name w:val="Grid Table 4 Accent 3"/>
    <w:basedOn w:val="Tabellanormale"/>
    <w:uiPriority w:val="49"/>
    <w:rsid w:val="005F5DE5"/>
    <w:pPr>
      <w:spacing w:after="0" w:line="240" w:lineRule="auto"/>
    </w:pPr>
    <w:rPr>
      <w:rFonts w:asciiTheme="majorHAnsi" w:hAnsiTheme="majorHAnsi" w:cstheme="majorBidi"/>
      <w:sz w:val="24"/>
      <w:szCs w:val="28"/>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imandocommento">
    <w:name w:val="annotation reference"/>
    <w:basedOn w:val="Carpredefinitoparagrafo"/>
    <w:uiPriority w:val="99"/>
    <w:semiHidden/>
    <w:unhideWhenUsed/>
    <w:rsid w:val="005F5DE5"/>
    <w:rPr>
      <w:sz w:val="16"/>
      <w:szCs w:val="16"/>
    </w:rPr>
  </w:style>
  <w:style w:type="paragraph" w:styleId="Testocommento">
    <w:name w:val="annotation text"/>
    <w:basedOn w:val="Normale"/>
    <w:link w:val="TestocommentoCarattere"/>
    <w:uiPriority w:val="99"/>
    <w:unhideWhenUsed/>
    <w:rsid w:val="005F5DE5"/>
    <w:pPr>
      <w:spacing w:before="0" w:after="160"/>
      <w:jc w:val="left"/>
    </w:pPr>
    <w:rPr>
      <w:rFonts w:asciiTheme="minorHAnsi" w:hAnsiTheme="minorHAnsi" w:cstheme="minorBidi"/>
      <w:sz w:val="20"/>
      <w:szCs w:val="20"/>
      <w:lang w:val="en-US"/>
    </w:rPr>
  </w:style>
  <w:style w:type="character" w:customStyle="1" w:styleId="TestocommentoCarattere">
    <w:name w:val="Testo commento Carattere"/>
    <w:basedOn w:val="Carpredefinitoparagrafo"/>
    <w:link w:val="Testocommento"/>
    <w:uiPriority w:val="99"/>
    <w:rsid w:val="005F5DE5"/>
    <w:rPr>
      <w:b/>
      <w:sz w:val="20"/>
      <w:szCs w:val="20"/>
      <w:lang w:val="en-US"/>
    </w:rPr>
  </w:style>
  <w:style w:type="paragraph" w:styleId="Soggettocommento">
    <w:name w:val="annotation subject"/>
    <w:basedOn w:val="Testocommento"/>
    <w:next w:val="Testocommento"/>
    <w:link w:val="SoggettocommentoCarattere"/>
    <w:uiPriority w:val="99"/>
    <w:semiHidden/>
    <w:unhideWhenUsed/>
    <w:rsid w:val="005F5DE5"/>
    <w:rPr>
      <w:b w:val="0"/>
      <w:bCs/>
    </w:rPr>
  </w:style>
  <w:style w:type="character" w:customStyle="1" w:styleId="SoggettocommentoCarattere">
    <w:name w:val="Soggetto commento Carattere"/>
    <w:basedOn w:val="TestocommentoCarattere"/>
    <w:link w:val="Soggettocommento"/>
    <w:uiPriority w:val="99"/>
    <w:semiHidden/>
    <w:rsid w:val="005F5DE5"/>
    <w:rPr>
      <w:b w:val="0"/>
      <w:bCs/>
      <w:sz w:val="20"/>
      <w:szCs w:val="20"/>
      <w:lang w:val="en-US"/>
    </w:rPr>
  </w:style>
  <w:style w:type="character" w:customStyle="1" w:styleId="highwire-citation-author">
    <w:name w:val="highwire-citation-author"/>
    <w:basedOn w:val="Carpredefinitoparagrafo"/>
    <w:rsid w:val="005F5DE5"/>
  </w:style>
  <w:style w:type="table" w:styleId="Tabellagriglia5scura-colore5">
    <w:name w:val="Grid Table 5 Dark Accent 5"/>
    <w:basedOn w:val="Tabellanormale"/>
    <w:uiPriority w:val="50"/>
    <w:rsid w:val="005F5DE5"/>
    <w:pPr>
      <w:spacing w:after="0" w:line="240" w:lineRule="auto"/>
    </w:pPr>
    <w:rPr>
      <w:rFonts w:asciiTheme="majorHAnsi" w:hAnsiTheme="majorHAnsi" w:cstheme="majorBidi"/>
      <w:sz w:val="24"/>
      <w:szCs w:val="28"/>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fontstyle01">
    <w:name w:val="fontstyle01"/>
    <w:basedOn w:val="Carpredefinitoparagrafo"/>
    <w:rsid w:val="005F5DE5"/>
    <w:rPr>
      <w:rFonts w:ascii="NewBaskerville-Roman" w:hAnsi="NewBaskerville-Roman" w:hint="default"/>
      <w:b w:val="0"/>
      <w:bCs w:val="0"/>
      <w:i w:val="0"/>
      <w:iCs w:val="0"/>
      <w:color w:val="231F1F"/>
      <w:sz w:val="18"/>
      <w:szCs w:val="18"/>
    </w:rPr>
  </w:style>
  <w:style w:type="character" w:customStyle="1" w:styleId="fontstyle21">
    <w:name w:val="fontstyle21"/>
    <w:basedOn w:val="Carpredefinitoparagrafo"/>
    <w:rsid w:val="005F5DE5"/>
    <w:rPr>
      <w:rFonts w:ascii="AdvPS44A44B" w:hAnsi="AdvPS44A44B" w:hint="default"/>
      <w:b w:val="0"/>
      <w:bCs w:val="0"/>
      <w:i w:val="0"/>
      <w:iCs w:val="0"/>
      <w:color w:val="000000"/>
      <w:sz w:val="16"/>
      <w:szCs w:val="16"/>
    </w:rPr>
  </w:style>
  <w:style w:type="character" w:customStyle="1" w:styleId="fontstyle31">
    <w:name w:val="fontstyle31"/>
    <w:basedOn w:val="Carpredefinitoparagrafo"/>
    <w:rsid w:val="005F5DE5"/>
    <w:rPr>
      <w:rFonts w:ascii="AdvOT863180fb+fb" w:hAnsi="AdvOT863180fb+fb" w:hint="default"/>
      <w:b w:val="0"/>
      <w:bCs w:val="0"/>
      <w:i w:val="0"/>
      <w:iCs w:val="0"/>
      <w:color w:val="000000"/>
      <w:sz w:val="16"/>
      <w:szCs w:val="16"/>
    </w:rPr>
  </w:style>
  <w:style w:type="character" w:customStyle="1" w:styleId="fontstyle41">
    <w:name w:val="fontstyle41"/>
    <w:basedOn w:val="Carpredefinitoparagrafo"/>
    <w:rsid w:val="005F5DE5"/>
    <w:rPr>
      <w:rFonts w:ascii="AdvP4C4E59" w:hAnsi="AdvP4C4E59" w:hint="default"/>
      <w:b w:val="0"/>
      <w:bCs w:val="0"/>
      <w:i w:val="0"/>
      <w:iCs w:val="0"/>
      <w:color w:val="000000"/>
      <w:sz w:val="16"/>
      <w:szCs w:val="16"/>
    </w:rPr>
  </w:style>
  <w:style w:type="character" w:customStyle="1" w:styleId="fontstyle51">
    <w:name w:val="fontstyle51"/>
    <w:basedOn w:val="Carpredefinitoparagrafo"/>
    <w:rsid w:val="005F5DE5"/>
    <w:rPr>
      <w:rFonts w:ascii="AdvOTb92eb7df.I" w:hAnsi="AdvOTb92eb7df.I" w:hint="default"/>
      <w:b w:val="0"/>
      <w:bCs w:val="0"/>
      <w:i w:val="0"/>
      <w:iCs w:val="0"/>
      <w:color w:val="000000"/>
      <w:sz w:val="14"/>
      <w:szCs w:val="14"/>
    </w:rPr>
  </w:style>
  <w:style w:type="paragraph" w:styleId="NormaleWeb">
    <w:name w:val="Normal (Web)"/>
    <w:basedOn w:val="Normale"/>
    <w:uiPriority w:val="99"/>
    <w:unhideWhenUsed/>
    <w:rsid w:val="005F5DE5"/>
    <w:pPr>
      <w:spacing w:before="100" w:beforeAutospacing="1" w:after="100" w:afterAutospacing="1"/>
      <w:jc w:val="left"/>
    </w:pPr>
    <w:rPr>
      <w:rFonts w:eastAsia="Times New Roman" w:cs="Times New Roman"/>
      <w:b w:val="0"/>
      <w:szCs w:val="24"/>
      <w:lang w:val="it-IT" w:eastAsia="it-IT"/>
    </w:rPr>
  </w:style>
  <w:style w:type="paragraph" w:styleId="Revisione">
    <w:name w:val="Revision"/>
    <w:hidden/>
    <w:uiPriority w:val="99"/>
    <w:semiHidden/>
    <w:rsid w:val="005F5DE5"/>
    <w:pPr>
      <w:spacing w:after="0" w:line="240" w:lineRule="auto"/>
    </w:pPr>
    <w:rPr>
      <w:rFonts w:ascii="Times New Roman" w:hAnsi="Times New Roman" w:cstheme="majorBidi"/>
      <w:b/>
      <w:sz w:val="24"/>
      <w:szCs w:val="28"/>
      <w:lang w:val="en-GB"/>
    </w:rPr>
  </w:style>
  <w:style w:type="character" w:styleId="Numeroriga">
    <w:name w:val="line number"/>
    <w:basedOn w:val="Carpredefinitoparagrafo"/>
    <w:uiPriority w:val="99"/>
    <w:semiHidden/>
    <w:unhideWhenUsed/>
    <w:rsid w:val="005F5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j.marpol.2013.08.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80/08941920.2018.1489568" TargetMode="External"/><Relationship Id="rId5" Type="http://schemas.openxmlformats.org/officeDocument/2006/relationships/hyperlink" Target="https://doi.org/10.1017/S037689290400179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6817</Words>
  <Characters>38857</Characters>
  <Application>Microsoft Office Word</Application>
  <DocSecurity>0</DocSecurity>
  <Lines>323</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1</cp:revision>
  <dcterms:created xsi:type="dcterms:W3CDTF">2022-12-21T12:44:00Z</dcterms:created>
  <dcterms:modified xsi:type="dcterms:W3CDTF">2022-12-21T12:45:00Z</dcterms:modified>
</cp:coreProperties>
</file>