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988" w:type="dxa"/>
        <w:tblInd w:w="-714" w:type="dxa"/>
        <w:tblLook w:val="04A0" w:firstRow="1" w:lastRow="0" w:firstColumn="1" w:lastColumn="0" w:noHBand="0" w:noVBand="1"/>
      </w:tblPr>
      <w:tblGrid>
        <w:gridCol w:w="3240"/>
        <w:gridCol w:w="7748"/>
      </w:tblGrid>
      <w:tr w:rsidR="009F03BD" w:rsidRPr="00933618" w:rsidTr="003D0E43">
        <w:trPr>
          <w:trHeight w:val="262"/>
        </w:trPr>
        <w:tc>
          <w:tcPr>
            <w:tcW w:w="3240" w:type="dxa"/>
          </w:tcPr>
          <w:p w:rsidR="009F03BD" w:rsidRPr="00933618" w:rsidRDefault="009F03BD" w:rsidP="003D0E43">
            <w:pPr>
              <w:spacing w:before="0" w:after="0" w:line="360" w:lineRule="auto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933618">
              <w:rPr>
                <w:rFonts w:cs="Times New Roman"/>
                <w:b/>
                <w:sz w:val="20"/>
                <w:szCs w:val="24"/>
                <w:lang w:val="en-US"/>
              </w:rPr>
              <w:t>Strategy group</w:t>
            </w:r>
          </w:p>
        </w:tc>
        <w:tc>
          <w:tcPr>
            <w:tcW w:w="7748" w:type="dxa"/>
          </w:tcPr>
          <w:p w:rsidR="009F03BD" w:rsidRPr="00933618" w:rsidRDefault="009F03BD" w:rsidP="003D0E43">
            <w:pPr>
              <w:spacing w:before="0" w:after="0" w:line="360" w:lineRule="auto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933618">
              <w:rPr>
                <w:rFonts w:cs="Times New Roman"/>
                <w:b/>
                <w:sz w:val="20"/>
                <w:szCs w:val="24"/>
                <w:lang w:val="en-US"/>
              </w:rPr>
              <w:t>Relevant literature</w:t>
            </w:r>
          </w:p>
        </w:tc>
      </w:tr>
      <w:tr w:rsidR="009F03BD" w:rsidRPr="006D7087" w:rsidTr="003D0E43">
        <w:trPr>
          <w:trHeight w:val="262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Stakeholder inclusion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Massinga 1996; Pomeroy et al. 1997; Done and Reichelt 1998; Uychiaoco et al. 2000; White and Vogt 2000; Beger 2005; McLanahan et al. 2006; Rossiter and Levine 2014; Di Franco et al. 2016; Gallacher et al. 2016; Ahmad kamil et al. 2017; Gill et al. 2017; Jones et al. 2013; Mizrahi et al. 2018</w:t>
            </w:r>
          </w:p>
        </w:tc>
      </w:tr>
      <w:tr w:rsidR="009F03BD" w:rsidRPr="006D7087" w:rsidTr="003D0E43">
        <w:trPr>
          <w:trHeight w:val="121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Conflict avoidance and resolution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>Agardy et al. 2003; Dalton 2005; Gallacher et al. 2016; Pomeroy  2005; Rossiter and Levine 2014</w:t>
            </w:r>
          </w:p>
        </w:tc>
      </w:tr>
      <w:tr w:rsidR="009F03BD" w:rsidRPr="006D7087" w:rsidTr="003D0E43">
        <w:trPr>
          <w:trHeight w:val="28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Economic and market-based incentives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>Rivera and Newkirk 1997; Pollnac et al. 2001; Beger 2005; Jones et al. 2013; Gallacher et al. 2016</w:t>
            </w:r>
          </w:p>
        </w:tc>
      </w:tr>
      <w:tr w:rsidR="009F03BD" w:rsidRPr="006D7087" w:rsidTr="003D0E43">
        <w:trPr>
          <w:trHeight w:val="146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Ecotourism/pescatourism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jc w:val="left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sz w:val="20"/>
              </w:rPr>
              <w:t>Nordlund et al. 2013</w:t>
            </w:r>
          </w:p>
        </w:tc>
      </w:tr>
      <w:tr w:rsidR="009F03BD" w:rsidRPr="006D7087" w:rsidTr="003D0E43">
        <w:trPr>
          <w:trHeight w:val="445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Enforcement and monitoring, control and surveillance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>Russ and Alcala 1996; Beger 2005; McLanahan et al. 2006; Jones et al. 2013; Edgar et al. 2014; Rossiter and Levine 2014; Di Franco et al. 2016; Gallacher et al. 2016;</w:t>
            </w:r>
            <w:r w:rsidRPr="006D7087">
              <w:rPr>
                <w:rFonts w:cs="Times New Roman"/>
                <w:sz w:val="20"/>
                <w:szCs w:val="24"/>
                <w:lang w:val="en-US"/>
              </w:rPr>
              <w:t xml:space="preserve"> Gill et al. 2017; Iacarella et al. 2021</w:t>
            </w:r>
          </w:p>
        </w:tc>
      </w:tr>
      <w:tr w:rsidR="009F03BD" w:rsidRPr="006D7087" w:rsidTr="003D0E43">
        <w:trPr>
          <w:trHeight w:val="293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Enhance legislation/political will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>Heinen and Laranjo 1996; Agbayani et al. 2000; White and Vogt 2000; Beger 2005; McLanahan et al. 2006; Leverington et al. 2010; Jones et al. 2013</w:t>
            </w:r>
          </w:p>
        </w:tc>
      </w:tr>
      <w:tr w:rsidR="009F03BD" w:rsidRPr="006D7087" w:rsidTr="003D0E43">
        <w:trPr>
          <w:trHeight w:val="445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Improve communication/raising awareness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Savina and White 1986; Heinen and Laranjo 1996; Rivera and Newkirk 1997; Courtney And White 2000; White and Vogt 2000; Elliott et al. 2001; Beger 2005;</w:t>
            </w:r>
            <w:r w:rsidRPr="006D7087">
              <w:rPr>
                <w:rStyle w:val="fontstyle01"/>
                <w:rFonts w:cs="Times New Roman"/>
                <w:sz w:val="20"/>
                <w:szCs w:val="24"/>
              </w:rPr>
              <w:t xml:space="preserve"> Jones et al. 2013; Gallacher et al. 2016;</w:t>
            </w:r>
            <w:r w:rsidRPr="006D7087">
              <w:rPr>
                <w:rFonts w:cs="Times New Roman"/>
                <w:sz w:val="20"/>
                <w:szCs w:val="24"/>
                <w:lang w:val="en-US"/>
              </w:rPr>
              <w:t xml:space="preserve"> </w:t>
            </w:r>
            <w:r w:rsidRPr="006D7087">
              <w:rPr>
                <w:rStyle w:val="fontstyle01"/>
                <w:rFonts w:cs="Times New Roman"/>
                <w:sz w:val="20"/>
                <w:szCs w:val="24"/>
              </w:rPr>
              <w:t xml:space="preserve">Mizrahi et al. 2018; </w:t>
            </w:r>
            <w:r w:rsidRPr="006D7087">
              <w:rPr>
                <w:rFonts w:cs="Times New Roman"/>
                <w:sz w:val="20"/>
                <w:szCs w:val="24"/>
                <w:lang w:val="en-US"/>
              </w:rPr>
              <w:t>Iacarella et al. 2021</w:t>
            </w:r>
          </w:p>
        </w:tc>
      </w:tr>
      <w:tr w:rsidR="009F03BD" w:rsidRPr="006D7087" w:rsidTr="003D0E43">
        <w:trPr>
          <w:trHeight w:val="146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Peer pressure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Jones et al. 2013</w:t>
            </w:r>
          </w:p>
        </w:tc>
      </w:tr>
      <w:tr w:rsidR="009F03BD" w:rsidRPr="006D7087" w:rsidTr="003D0E43">
        <w:trPr>
          <w:trHeight w:val="299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Increase and secure funding/human resources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jc w:val="left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 xml:space="preserve">Graverstock et al. 2008; </w:t>
            </w:r>
            <w:r w:rsidRPr="006D7087">
              <w:rPr>
                <w:rStyle w:val="fontstyle01"/>
                <w:rFonts w:cs="Times New Roman"/>
                <w:sz w:val="20"/>
                <w:szCs w:val="24"/>
              </w:rPr>
              <w:t>Leverington et al. 2010; Rossiter and Levine 2014;</w:t>
            </w:r>
            <w:r w:rsidRPr="006D7087">
              <w:rPr>
                <w:rFonts w:cs="Times New Roman"/>
                <w:sz w:val="20"/>
                <w:szCs w:val="24"/>
                <w:lang w:val="en-US"/>
              </w:rPr>
              <w:t xml:space="preserve"> Gill et al. 2017</w:t>
            </w:r>
          </w:p>
        </w:tc>
      </w:tr>
      <w:tr w:rsidR="009F03BD" w:rsidRPr="006D7087" w:rsidTr="003D0E43">
        <w:trPr>
          <w:trHeight w:val="293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Provide MPA with adequate infrastructure and equipment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 xml:space="preserve">Leverington et al. 2010; </w:t>
            </w:r>
            <w:r w:rsidRPr="006D7087">
              <w:rPr>
                <w:rFonts w:cs="Times New Roman"/>
                <w:sz w:val="20"/>
                <w:szCs w:val="24"/>
                <w:lang w:val="en-US"/>
              </w:rPr>
              <w:t>Ahmad Kamil et al. 2017</w:t>
            </w:r>
          </w:p>
        </w:tc>
      </w:tr>
      <w:tr w:rsidR="009F03BD" w:rsidRPr="006D7087" w:rsidTr="003D0E43">
        <w:trPr>
          <w:trHeight w:val="299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Consider the surrounding network of MPAs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>Beger and Harborne 2000; Beger 2005</w:t>
            </w:r>
          </w:p>
        </w:tc>
      </w:tr>
      <w:tr w:rsidR="009F03BD" w:rsidRPr="006D7087" w:rsidTr="003D0E43">
        <w:trPr>
          <w:trHeight w:val="293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Presence of management objectives and plans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>Di Franco et al. 2016; Gallacher et al. 2016; G</w:t>
            </w:r>
            <w:r w:rsidRPr="006D7087">
              <w:rPr>
                <w:rFonts w:cs="Times New Roman"/>
                <w:sz w:val="20"/>
                <w:szCs w:val="24"/>
                <w:lang w:val="en-US"/>
              </w:rPr>
              <w:t>ill et al. 2017;</w:t>
            </w:r>
            <w:r w:rsidRPr="006D7087">
              <w:rPr>
                <w:rStyle w:val="fontstyle01"/>
                <w:rFonts w:cs="Times New Roman"/>
                <w:sz w:val="20"/>
                <w:szCs w:val="24"/>
              </w:rPr>
              <w:t xml:space="preserve"> Jones et al. 2013; McLanahan et al. 2006; Rossiter and Levine 2014</w:t>
            </w:r>
          </w:p>
        </w:tc>
      </w:tr>
      <w:tr w:rsidR="009F03BD" w:rsidRPr="006D7087" w:rsidTr="003D0E43">
        <w:trPr>
          <w:trHeight w:val="146"/>
        </w:trPr>
        <w:tc>
          <w:tcPr>
            <w:tcW w:w="3240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Fonts w:cs="Times New Roman"/>
                <w:sz w:val="20"/>
                <w:szCs w:val="24"/>
                <w:lang w:val="en-US"/>
              </w:rPr>
              <w:t>Research/capacity development</w:t>
            </w:r>
          </w:p>
        </w:tc>
        <w:tc>
          <w:tcPr>
            <w:tcW w:w="7748" w:type="dxa"/>
          </w:tcPr>
          <w:p w:rsidR="009F03BD" w:rsidRPr="006D7087" w:rsidRDefault="009F03BD" w:rsidP="003D0E43">
            <w:pPr>
              <w:spacing w:before="0" w:after="0" w:line="360" w:lineRule="auto"/>
              <w:rPr>
                <w:rFonts w:cs="Times New Roman"/>
                <w:sz w:val="20"/>
                <w:szCs w:val="24"/>
                <w:lang w:val="en-US"/>
              </w:rPr>
            </w:pPr>
            <w:r w:rsidRPr="006D7087">
              <w:rPr>
                <w:rStyle w:val="fontstyle01"/>
                <w:rFonts w:cs="Times New Roman"/>
                <w:sz w:val="20"/>
                <w:szCs w:val="24"/>
              </w:rPr>
              <w:t>White and Vogt 2000; Beger 2005; Jones et al. 2013; Gallacher et al. 2016</w:t>
            </w:r>
          </w:p>
        </w:tc>
      </w:tr>
    </w:tbl>
    <w:p w:rsidR="005B23F8" w:rsidRDefault="005B23F8" w:rsidP="005B23F8">
      <w:pPr>
        <w:spacing w:before="0" w:after="0"/>
        <w:rPr>
          <w:rFonts w:cs="Times New Roman"/>
          <w:b w:val="0"/>
          <w:lang w:val="en-AU"/>
        </w:rPr>
      </w:pPr>
      <w:bookmarkStart w:id="0" w:name="_GoBack"/>
      <w:bookmarkEnd w:id="0"/>
    </w:p>
    <w:p w:rsidR="00A84F7E" w:rsidRDefault="00A84F7E"/>
    <w:sectPr w:rsidR="00A84F7E" w:rsidSect="009F0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askerville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A9"/>
    <w:rsid w:val="005B23F8"/>
    <w:rsid w:val="00607BA9"/>
    <w:rsid w:val="009F03BD"/>
    <w:rsid w:val="00A84F7E"/>
    <w:rsid w:val="00C3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9C4B"/>
  <w15:chartTrackingRefBased/>
  <w15:docId w15:val="{219AC66B-4C09-48C3-8F95-42A17128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7BA9"/>
    <w:pPr>
      <w:spacing w:before="240" w:after="240" w:line="240" w:lineRule="auto"/>
      <w:jc w:val="both"/>
    </w:pPr>
    <w:rPr>
      <w:rFonts w:ascii="Times New Roman" w:hAnsi="Times New Roman" w:cstheme="majorBidi"/>
      <w:b/>
      <w:sz w:val="24"/>
      <w:szCs w:val="2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nhideWhenUsed/>
    <w:qFormat/>
    <w:rsid w:val="005B23F8"/>
    <w:pPr>
      <w:jc w:val="left"/>
    </w:pPr>
    <w:rPr>
      <w:b w:val="0"/>
      <w:bCs/>
      <w:sz w:val="20"/>
      <w:szCs w:val="20"/>
    </w:rPr>
  </w:style>
  <w:style w:type="table" w:styleId="Grigliatabella">
    <w:name w:val="Table Grid"/>
    <w:basedOn w:val="Tabellanormale"/>
    <w:uiPriority w:val="39"/>
    <w:rsid w:val="009F03BD"/>
    <w:pPr>
      <w:spacing w:after="0" w:line="240" w:lineRule="auto"/>
    </w:pPr>
    <w:rPr>
      <w:b/>
      <w:bCs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Carpredefinitoparagrafo"/>
    <w:rsid w:val="009F03BD"/>
    <w:rPr>
      <w:rFonts w:ascii="NewBaskerville-Roman" w:hAnsi="NewBaskerville-Roman" w:hint="default"/>
      <w:b w:val="0"/>
      <w:bCs w:val="0"/>
      <w:i w:val="0"/>
      <w:iCs w:val="0"/>
      <w:color w:val="231F1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2022-12-21T12:29:00Z</dcterms:created>
  <dcterms:modified xsi:type="dcterms:W3CDTF">2022-12-21T12:29:00Z</dcterms:modified>
</cp:coreProperties>
</file>