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 Bold" w:hAnsi="Times New Roman Bold" w:cs="Times New Roman Bold"/>
          <w:b/>
          <w:bCs/>
          <w:sz w:val="24"/>
          <w:szCs w:val="24"/>
          <w:lang w:bidi="ar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lang w:bidi="ar"/>
        </w:rPr>
        <w:t>Supplementary figures</w:t>
      </w:r>
    </w:p>
    <w:p>
      <w:pPr>
        <w:rPr>
          <w:rFonts w:hint="default" w:ascii="Times New Roman Bold" w:hAnsi="Times New Roman Bold" w:cs="Times New Roman Bold"/>
          <w:b/>
          <w:bCs/>
          <w:sz w:val="21"/>
          <w:szCs w:val="21"/>
          <w:lang w:bidi="ar"/>
        </w:rPr>
      </w:pPr>
    </w:p>
    <w:p>
      <w:pPr>
        <w:rPr>
          <w:rFonts w:ascii="Times New Roman"/>
          <w:b/>
          <w:bCs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hint="default" w:ascii="Times New Roman" w:hAnsi="Times New Roman"/>
          <w:b/>
          <w:bCs/>
          <w:sz w:val="24"/>
        </w:rPr>
        <w:t>ure</w:t>
      </w:r>
      <w:r>
        <w:rPr>
          <w:rFonts w:ascii="Times New Roman" w:hAnsi="Times New Roman"/>
          <w:b/>
          <w:bCs/>
          <w:sz w:val="24"/>
        </w:rPr>
        <w:t>.</w:t>
      </w:r>
      <w:r>
        <w:rPr>
          <w:rFonts w:hint="default"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S1.</w:t>
      </w:r>
    </w:p>
    <w:p>
      <w:pPr>
        <w:rPr>
          <w:rFonts w:hint="default" w:ascii="Times New Roman Bold" w:hAnsi="Times New Roman Bold" w:cs="Times New Roman Bold"/>
          <w:b/>
          <w:bCs/>
          <w:sz w:val="21"/>
          <w:szCs w:val="21"/>
          <w:lang w:bidi="ar"/>
        </w:rPr>
      </w:pPr>
    </w:p>
    <w:p>
      <w:pPr>
        <w:rPr>
          <w:rFonts w:ascii="Times New Roman" w:hAnsi="Times New Roman"/>
          <w:sz w:val="21"/>
          <w:szCs w:val="21"/>
          <w:lang w:bidi="ar"/>
        </w:rPr>
      </w:pPr>
      <w:r>
        <w:rPr>
          <w:rFonts w:ascii="Times New Roman" w:hAnsi="Times New Roman"/>
          <w:sz w:val="21"/>
          <w:szCs w:val="21"/>
          <w:lang w:bidi="ar"/>
        </w:rPr>
        <w:drawing>
          <wp:inline distT="0" distB="0" distL="114300" distR="114300">
            <wp:extent cx="4624070" cy="2061210"/>
            <wp:effectExtent l="0" t="0" r="0" b="21590"/>
            <wp:docPr id="1" name="图片 1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4070" cy="206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/>
          <w:sz w:val="21"/>
          <w:szCs w:val="21"/>
          <w:lang w:bidi="ar"/>
        </w:rPr>
        <w:t xml:space="preserve">(A) Comparison of GPNMB concentrations between bone metastasis and non-distance metastasis. (B) Comparison of GPNMB </w:t>
      </w:r>
      <w:bookmarkStart w:id="0" w:name="_GoBack"/>
      <w:bookmarkEnd w:id="0"/>
      <w:r>
        <w:rPr>
          <w:rFonts w:ascii="Times New Roman" w:hAnsi="Times New Roman"/>
          <w:sz w:val="21"/>
          <w:szCs w:val="21"/>
          <w:lang w:bidi="ar"/>
        </w:rPr>
        <w:t xml:space="preserve">concentrations between brain metastasis and non-distance metastasis.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9C9DD99"/>
    <w:rsid w:val="77A30BF8"/>
    <w:rsid w:val="9DF2782C"/>
    <w:rsid w:val="AB770765"/>
    <w:rsid w:val="AD3FC0CC"/>
    <w:rsid w:val="C9C9D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2022-08-21T18:39:00Z</dcterms:created>
  <dc:creator>liuqian</dc:creator>
  <cp:lastModifiedBy>qianqian</cp:lastModifiedBy>
  <dcterms:modified xsi:type="dcterms:W3CDTF">2022-12-04T19:34:43Z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6217985081F4F40ED3858C6395CA76B6</vt:lpwstr>
  </property>
</Properties>
</file>