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8D44" w14:textId="77777777" w:rsidR="00F57C13" w:rsidRDefault="00F57C13" w:rsidP="00F57C13">
      <w:pPr>
        <w:pStyle w:val="NormalWeb"/>
        <w:spacing w:before="0" w:beforeAutospacing="0" w:after="0" w:afterAutospacing="0" w:line="480" w:lineRule="auto"/>
        <w:jc w:val="both"/>
      </w:pPr>
      <w:r w:rsidRPr="00367071">
        <w:rPr>
          <w:rFonts w:ascii="Arial" w:eastAsiaTheme="minorEastAsia" w:hAnsi="Arial" w:cs="Arial"/>
          <w:b/>
          <w:bCs/>
          <w:color w:val="000000"/>
          <w:kern w:val="24"/>
        </w:rPr>
        <w:t xml:space="preserve">Supplementary data </w:t>
      </w:r>
    </w:p>
    <w:p w14:paraId="291D675C" w14:textId="77777777" w:rsidR="00F57C13" w:rsidRDefault="00F57C13" w:rsidP="00F57C13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theme="minorBidi"/>
          <w:b/>
          <w:bCs/>
          <w:color w:val="000000" w:themeColor="text1"/>
          <w:kern w:val="24"/>
          <w:lang w:val="en-US"/>
        </w:rPr>
        <w:t xml:space="preserve">S-Fig 1: </w:t>
      </w:r>
      <w:r>
        <w:rPr>
          <w:rFonts w:ascii="Arial" w:eastAsiaTheme="minorEastAsia" w:hAnsi="Arial" w:cs="Arial"/>
          <w:color w:val="000000" w:themeColor="text1"/>
          <w:kern w:val="24"/>
        </w:rPr>
        <w:t>Western blot used to produce Fig 1a is shown in full. This also includes positive control samples prepared from mouse testis, known to express Brn-3b.</w:t>
      </w:r>
    </w:p>
    <w:p w14:paraId="6812FF59" w14:textId="77777777" w:rsidR="00F57C13" w:rsidRDefault="00F57C13" w:rsidP="00F57C13">
      <w:pPr>
        <w:pStyle w:val="Norma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b/>
          <w:bCs/>
        </w:rPr>
        <w:t>S</w:t>
      </w:r>
      <w:r w:rsidRPr="00367071">
        <w:rPr>
          <w:rFonts w:ascii="Arial" w:hAnsi="Arial" w:cs="Arial"/>
          <w:b/>
          <w:bCs/>
        </w:rPr>
        <w:t>-</w:t>
      </w:r>
      <w:r w:rsidRPr="00367071">
        <w:rPr>
          <w:rFonts w:ascii="Arial" w:eastAsiaTheme="minorEastAsia" w:hAnsi="Arial" w:cs="Arial"/>
          <w:b/>
          <w:bCs/>
          <w:color w:val="000000"/>
          <w:kern w:val="24"/>
        </w:rPr>
        <w:t>Table 1:</w:t>
      </w:r>
      <w:r w:rsidRPr="00367071">
        <w:rPr>
          <w:rFonts w:ascii="Arial" w:eastAsia="Arial" w:hAnsi="Arial"/>
          <w:color w:val="000000" w:themeColor="text1"/>
          <w:kern w:val="24"/>
        </w:rPr>
        <w:t xml:space="preserve"> </w:t>
      </w:r>
      <w:r>
        <w:rPr>
          <w:rFonts w:ascii="Arial" w:eastAsia="Arial" w:hAnsi="Arial" w:cstheme="minorBidi"/>
          <w:color w:val="000000" w:themeColor="text1"/>
          <w:kern w:val="24"/>
          <w:lang w:val="en-US"/>
        </w:rPr>
        <w:t xml:space="preserve">(a) List of genes upregulated in Brn-3b KO aortas that are linked to muscle contractility and/or Ca2+ signalling or (b) </w:t>
      </w:r>
      <w:r w:rsidRPr="00367071">
        <w:rPr>
          <w:rFonts w:ascii="Arial" w:eastAsia="Arial" w:hAnsi="Arial" w:cstheme="minorBidi"/>
          <w:color w:val="000000" w:themeColor="text1"/>
          <w:kern w:val="24"/>
          <w:lang w:val="en-US"/>
        </w:rPr>
        <w:t>metabolic response</w:t>
      </w:r>
      <w:r>
        <w:rPr>
          <w:rFonts w:ascii="Arial" w:eastAsia="Arial" w:hAnsi="Arial" w:cstheme="minorBidi"/>
          <w:color w:val="000000" w:themeColor="text1"/>
          <w:kern w:val="24"/>
          <w:lang w:val="en-US"/>
        </w:rPr>
        <w:t xml:space="preserve">s; </w:t>
      </w:r>
      <w:r w:rsidRPr="00367071">
        <w:rPr>
          <w:rFonts w:ascii="Arial" w:eastAsia="Arial" w:hAnsi="Arial" w:cstheme="minorBidi"/>
          <w:color w:val="000000" w:themeColor="text1"/>
          <w:kern w:val="24"/>
          <w:lang w:val="en-US"/>
        </w:rPr>
        <w:t>immune response pathways or circadian processes</w:t>
      </w:r>
      <w:r>
        <w:rPr>
          <w:rFonts w:ascii="Arial" w:eastAsia="Arial" w:hAnsi="Arial" w:cstheme="minorBidi"/>
          <w:color w:val="000000" w:themeColor="text1"/>
          <w:kern w:val="24"/>
          <w:lang w:val="en-US"/>
        </w:rPr>
        <w:t>. Arranged by number of genes, with significance indicated by normalisation enrichment scores (NES) and adjusted p-value to</w:t>
      </w:r>
      <w:r w:rsidRPr="00367071">
        <w:rPr>
          <w:rFonts w:ascii="Arial" w:eastAsia="Arial" w:hAnsi="Arial" w:cstheme="minorBidi"/>
          <w:color w:val="000000" w:themeColor="text1"/>
          <w:kern w:val="24"/>
          <w:lang w:val="en-US"/>
        </w:rPr>
        <w:t xml:space="preserve"> indicat</w:t>
      </w:r>
      <w:r>
        <w:rPr>
          <w:rFonts w:ascii="Arial" w:eastAsia="Arial" w:hAnsi="Arial" w:cstheme="minorBidi"/>
          <w:color w:val="000000" w:themeColor="text1"/>
          <w:kern w:val="24"/>
          <w:lang w:val="en-US"/>
        </w:rPr>
        <w:t>e</w:t>
      </w:r>
      <w:r w:rsidRPr="00367071">
        <w:rPr>
          <w:rFonts w:ascii="Arial" w:eastAsia="Arial" w:hAnsi="Arial" w:cstheme="minorBidi"/>
          <w:color w:val="000000" w:themeColor="text1"/>
          <w:kern w:val="24"/>
          <w:lang w:val="en-US"/>
        </w:rPr>
        <w:t xml:space="preserve"> significance</w:t>
      </w:r>
      <w:r>
        <w:rPr>
          <w:rFonts w:ascii="Arial" w:eastAsia="Arial" w:hAnsi="Arial" w:cstheme="minorBidi"/>
          <w:color w:val="000000" w:themeColor="text1"/>
          <w:kern w:val="24"/>
          <w:lang w:val="en-US"/>
        </w:rPr>
        <w:t xml:space="preserve">. </w:t>
      </w:r>
    </w:p>
    <w:p w14:paraId="3BDAEBC0" w14:textId="77777777" w:rsidR="00F57C13" w:rsidRPr="00367071" w:rsidRDefault="00F57C13" w:rsidP="00F57C13">
      <w:pPr>
        <w:pStyle w:val="NormalWeb"/>
        <w:spacing w:before="0" w:beforeAutospacing="0" w:after="0" w:afterAutospacing="0"/>
        <w:textAlignment w:val="bottom"/>
        <w:rPr>
          <w:rFonts w:ascii="Arial" w:hAnsi="Arial" w:cs="Arial"/>
        </w:rPr>
      </w:pPr>
    </w:p>
    <w:p w14:paraId="5892E63C" w14:textId="77777777" w:rsidR="00F57C13" w:rsidRPr="00367071" w:rsidRDefault="00F57C13" w:rsidP="00F57C13">
      <w:pPr>
        <w:tabs>
          <w:tab w:val="num" w:pos="567"/>
        </w:tabs>
        <w:spacing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/>
          <w:b/>
          <w:bCs/>
          <w:color w:val="000000" w:themeColor="text1"/>
          <w:kern w:val="24"/>
        </w:rPr>
        <w:t>S-Table 2:</w:t>
      </w:r>
      <w:r>
        <w:rPr>
          <w:rFonts w:ascii="Arial" w:eastAsia="Arial" w:hAnsi="Arial"/>
          <w:color w:val="000000" w:themeColor="text1"/>
          <w:kern w:val="24"/>
        </w:rPr>
        <w:t xml:space="preserve"> (a) List of GO biological processes or (b) cellular components, associated with enriched genes within each cluster using data from 2 WT and 3 Brn-3b KO. Adjusted p-value and number of genes associated with different pathways are shown for each cluster</w:t>
      </w:r>
    </w:p>
    <w:p w14:paraId="30B87689" w14:textId="77777777" w:rsidR="00E1715D" w:rsidRDefault="00F57C13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13"/>
    <w:rsid w:val="001942F0"/>
    <w:rsid w:val="002C0857"/>
    <w:rsid w:val="003F01F8"/>
    <w:rsid w:val="00884728"/>
    <w:rsid w:val="008E2845"/>
    <w:rsid w:val="00D00B5E"/>
    <w:rsid w:val="00F57C13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B59BD"/>
  <w15:chartTrackingRefBased/>
  <w15:docId w15:val="{2F4528E6-BC67-468D-BFDA-A16DB4F3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13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7C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>Springer Nature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2023-01-16T05:18:00Z</dcterms:created>
  <dcterms:modified xsi:type="dcterms:W3CDTF">2023-01-16T05:19:00Z</dcterms:modified>
</cp:coreProperties>
</file>