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CDAB" w14:textId="77777777" w:rsidR="00154CE1" w:rsidRDefault="00154CE1">
      <w:pPr>
        <w:rPr>
          <w:b/>
          <w:bCs/>
        </w:rPr>
      </w:pPr>
    </w:p>
    <w:p w14:paraId="56896B20" w14:textId="00665510" w:rsidR="00511F33" w:rsidRDefault="00154CE1">
      <w:pPr>
        <w:rPr>
          <w:b/>
          <w:bCs/>
        </w:rPr>
      </w:pPr>
      <w:r w:rsidRPr="00154CE1">
        <w:rPr>
          <w:b/>
          <w:bCs/>
        </w:rPr>
        <w:t>ONLINE SUPPLEMENT</w:t>
      </w:r>
      <w:r>
        <w:rPr>
          <w:b/>
          <w:bCs/>
        </w:rPr>
        <w:t xml:space="preserve"> FOR </w:t>
      </w:r>
      <w:r w:rsidR="00622CC8">
        <w:rPr>
          <w:b/>
          <w:bCs/>
        </w:rPr>
        <w:t xml:space="preserve">TRIALS </w:t>
      </w:r>
    </w:p>
    <w:p w14:paraId="5D98993F" w14:textId="423BEA24" w:rsidR="00154CE1" w:rsidRDefault="00154CE1">
      <w:pPr>
        <w:rPr>
          <w:b/>
          <w:bCs/>
        </w:rPr>
      </w:pPr>
    </w:p>
    <w:p w14:paraId="0E155493" w14:textId="77777777" w:rsidR="00154CE1" w:rsidRPr="00191EDE" w:rsidRDefault="00154CE1" w:rsidP="00154CE1">
      <w:pPr>
        <w:pStyle w:val="Heading2"/>
        <w:rPr>
          <w:rFonts w:ascii="Arial" w:hAnsi="Arial" w:cs="Arial"/>
          <w:b/>
          <w:bCs/>
          <w:color w:val="auto"/>
          <w:sz w:val="22"/>
          <w:szCs w:val="22"/>
        </w:rPr>
      </w:pPr>
      <w:bookmarkStart w:id="0" w:name="_Toc84423834"/>
      <w:r w:rsidRPr="00191EDE">
        <w:rPr>
          <w:rFonts w:ascii="Arial" w:hAnsi="Arial" w:cs="Arial"/>
          <w:b/>
          <w:bCs/>
          <w:color w:val="auto"/>
          <w:sz w:val="22"/>
          <w:szCs w:val="22"/>
        </w:rPr>
        <w:t xml:space="preserve">BACKGROUND </w:t>
      </w:r>
    </w:p>
    <w:p w14:paraId="635A5415" w14:textId="77777777" w:rsidR="00154CE1" w:rsidRPr="00F41AC7" w:rsidRDefault="00154CE1" w:rsidP="00154CE1">
      <w:pPr>
        <w:pStyle w:val="Heading2"/>
        <w:rPr>
          <w:rFonts w:ascii="Arial" w:hAnsi="Arial" w:cs="Arial"/>
          <w:b/>
          <w:bCs/>
          <w:color w:val="auto"/>
          <w:sz w:val="22"/>
          <w:szCs w:val="22"/>
        </w:rPr>
      </w:pPr>
      <w:r w:rsidRPr="00F41AC7">
        <w:rPr>
          <w:rFonts w:ascii="Arial" w:hAnsi="Arial" w:cs="Arial"/>
          <w:b/>
          <w:bCs/>
          <w:color w:val="auto"/>
          <w:sz w:val="22"/>
          <w:szCs w:val="22"/>
        </w:rPr>
        <w:t>TJ-68 Nonclinical Studies</w:t>
      </w:r>
      <w:bookmarkEnd w:id="0"/>
    </w:p>
    <w:p w14:paraId="1B588AD0" w14:textId="14ED9423" w:rsidR="00154CE1" w:rsidRPr="00F41AC7" w:rsidRDefault="00154CE1" w:rsidP="00FE0160">
      <w:pPr>
        <w:spacing w:line="240" w:lineRule="exact"/>
        <w:contextualSpacing/>
      </w:pPr>
      <w:r w:rsidRPr="00F41AC7">
        <w:t>The pharmacodynamics studies of TJ-68E (</w:t>
      </w:r>
      <w:bookmarkStart w:id="1" w:name="_Hlk61606326"/>
      <w:r w:rsidRPr="00F41AC7">
        <w:t xml:space="preserve">TJ-68E: TJ-68’s extract </w:t>
      </w:r>
      <w:bookmarkEnd w:id="1"/>
      <w:r w:rsidRPr="00F41AC7">
        <w:t>bulk powder without excipients) in animal models</w:t>
      </w:r>
      <w:r w:rsidR="00025D68">
        <w:t xml:space="preserve"> identify</w:t>
      </w:r>
      <w:r w:rsidRPr="00F41AC7">
        <w:t xml:space="preserve"> </w:t>
      </w:r>
      <w:r w:rsidR="00025D68">
        <w:t xml:space="preserve">two </w:t>
      </w:r>
      <w:r w:rsidRPr="00F41AC7">
        <w:t xml:space="preserve">effects: peripheral relaxation effect and central analgesic effect. The constituents of peony root, </w:t>
      </w:r>
      <w:r w:rsidR="00FE0160" w:rsidRPr="00F41AC7">
        <w:t xml:space="preserve">Paeoniflorin </w:t>
      </w:r>
      <w:r w:rsidRPr="00F41AC7">
        <w:t xml:space="preserve">and </w:t>
      </w:r>
      <w:proofErr w:type="spellStart"/>
      <w:r w:rsidR="00FE0160" w:rsidRPr="00F41AC7">
        <w:t>Albiflorin</w:t>
      </w:r>
      <w:proofErr w:type="spellEnd"/>
      <w:r w:rsidRPr="00F41AC7">
        <w:t xml:space="preserve">, affect noradrenergic </w:t>
      </w:r>
      <w:r w:rsidR="00025D68">
        <w:t xml:space="preserve">neurons </w:t>
      </w:r>
      <w:r w:rsidRPr="00F41AC7">
        <w:t xml:space="preserve">in the descending pain inhibitory pathway </w:t>
      </w:r>
      <w:r w:rsidR="00025D68">
        <w:t>of</w:t>
      </w:r>
      <w:r w:rsidR="00025D68" w:rsidRPr="00F41AC7">
        <w:t xml:space="preserve"> </w:t>
      </w:r>
      <w:r w:rsidRPr="00F41AC7">
        <w:t xml:space="preserve">the spinal cord </w:t>
      </w:r>
      <w:r w:rsidRPr="00F41AC7">
        <w:fldChar w:fldCharType="begin"/>
      </w:r>
      <w:r w:rsidRPr="00F41AC7">
        <w:instrText>ADDIN RW.CITE{{69 Lee,K.K. 2011}}</w:instrText>
      </w:r>
      <w:r w:rsidRPr="00F41AC7">
        <w:fldChar w:fldCharType="separate"/>
      </w:r>
      <w:r w:rsidRPr="00F41AC7">
        <w:rPr>
          <w:rFonts w:eastAsia="Batang"/>
          <w:bCs/>
          <w:lang w:eastAsia="ko-KR"/>
        </w:rPr>
        <w:t>(</w:t>
      </w:r>
      <w:r w:rsidR="00026191" w:rsidRPr="00F41AC7">
        <w:rPr>
          <w:rFonts w:eastAsia="Batang"/>
          <w:bCs/>
          <w:lang w:eastAsia="ko-KR"/>
        </w:rPr>
        <w:t>1</w:t>
      </w:r>
      <w:r w:rsidRPr="00F41AC7">
        <w:rPr>
          <w:rFonts w:eastAsia="Batang"/>
          <w:bCs/>
          <w:lang w:eastAsia="ko-KR"/>
        </w:rPr>
        <w:t>)</w:t>
      </w:r>
      <w:r w:rsidRPr="00F41AC7">
        <w:fldChar w:fldCharType="end"/>
      </w:r>
      <w:r w:rsidRPr="00F41AC7">
        <w:fldChar w:fldCharType="begin">
          <w:fldData xml:space="preserve">PEVuZE5vdGU+PENpdGU+PEF1dGhvcj5MZWU8L0F1dGhvcj48WWVhcj4yMDExPC9ZZWFyPjxSZWNO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</w:fldData>
        </w:fldChar>
      </w:r>
      <w:r w:rsidRPr="00F41AC7">
        <w:instrText xml:space="preserve"> ADDIN EN.CITE </w:instrText>
      </w:r>
      <w:r w:rsidRPr="00F41AC7">
        <w:fldChar w:fldCharType="begin">
          <w:fldData xml:space="preserve">PEVuZE5vdGU+PENpdGU+PEF1dGhvcj5MZWU8L0F1dGhvcj48WWVhcj4yMDExPC9ZZWFyPjxSZWNO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</w:fldData>
        </w:fldChar>
      </w:r>
      <w:r w:rsidRPr="00F41AC7">
        <w:instrText xml:space="preserve"> ADDIN EN.CITE.DATA </w:instrText>
      </w:r>
      <w:r w:rsidRPr="00F41AC7">
        <w:fldChar w:fldCharType="end"/>
      </w:r>
      <w:r w:rsidRPr="00F41AC7">
        <w:fldChar w:fldCharType="end"/>
      </w:r>
      <w:r w:rsidRPr="00F41AC7">
        <w:t xml:space="preserve">. By activating α2 receptors in the spinal cord, they inhibit the release of algogenic substances and provide analgesia. The constituents of Glycyrrhiza, </w:t>
      </w:r>
      <w:proofErr w:type="spellStart"/>
      <w:r w:rsidR="00FE0160" w:rsidRPr="00F41AC7">
        <w:t>Glycyrrhetic</w:t>
      </w:r>
      <w:proofErr w:type="spellEnd"/>
      <w:r w:rsidR="00FE0160" w:rsidRPr="00F41AC7">
        <w:t xml:space="preserve"> acid</w:t>
      </w:r>
      <w:r w:rsidRPr="00F41AC7">
        <w:t xml:space="preserve">, </w:t>
      </w:r>
      <w:proofErr w:type="spellStart"/>
      <w:r w:rsidR="00FE0160" w:rsidRPr="00F41AC7">
        <w:t>Liquiritin</w:t>
      </w:r>
      <w:proofErr w:type="spellEnd"/>
      <w:r w:rsidR="00FE0160" w:rsidRPr="00F41AC7">
        <w:t xml:space="preserve"> </w:t>
      </w:r>
      <w:proofErr w:type="spellStart"/>
      <w:r w:rsidR="00FE0160" w:rsidRPr="00F41AC7">
        <w:t>apioside</w:t>
      </w:r>
      <w:proofErr w:type="spellEnd"/>
      <w:r w:rsidRPr="00F41AC7">
        <w:t xml:space="preserve">, </w:t>
      </w:r>
      <w:r w:rsidR="00FE0160" w:rsidRPr="00F41AC7">
        <w:t>Liquiritigenin</w:t>
      </w:r>
      <w:r w:rsidRPr="00F41AC7">
        <w:t xml:space="preserve">, </w:t>
      </w:r>
      <w:r w:rsidR="00FE0160" w:rsidRPr="00F41AC7">
        <w:t xml:space="preserve">Isoliquiritin </w:t>
      </w:r>
      <w:proofErr w:type="spellStart"/>
      <w:r w:rsidR="00FE0160" w:rsidRPr="00F41AC7">
        <w:t>apioside</w:t>
      </w:r>
      <w:proofErr w:type="spellEnd"/>
      <w:r w:rsidRPr="00F41AC7">
        <w:t xml:space="preserve">, and </w:t>
      </w:r>
      <w:r w:rsidR="00FE0160" w:rsidRPr="00F41AC7">
        <w:t>Liquiritigenin</w:t>
      </w:r>
      <w:r w:rsidRPr="00F41AC7">
        <w:t xml:space="preserve"> inhibit intracellular calcium influx and abnormal release of calcium from the sarcoplasmic reticulum </w:t>
      </w:r>
      <w:r w:rsidRPr="00F41AC7">
        <w:fldChar w:fldCharType="begin"/>
      </w:r>
      <w:r w:rsidRPr="00F41AC7">
        <w:instrText>ADDIN RW.CITE{{3 Lee,KeikoK. 2013}}</w:instrText>
      </w:r>
      <w:r w:rsidRPr="00F41AC7">
        <w:fldChar w:fldCharType="separate"/>
      </w:r>
      <w:r w:rsidRPr="00F41AC7">
        <w:rPr>
          <w:rFonts w:eastAsia="Batang"/>
          <w:bCs/>
          <w:lang w:eastAsia="ko-KR"/>
        </w:rPr>
        <w:t>(</w:t>
      </w:r>
      <w:r w:rsidR="00026191" w:rsidRPr="00F41AC7">
        <w:rPr>
          <w:rFonts w:eastAsia="Batang"/>
          <w:bCs/>
          <w:lang w:eastAsia="ko-KR"/>
        </w:rPr>
        <w:t>2</w:t>
      </w:r>
      <w:r w:rsidRPr="00F41AC7">
        <w:rPr>
          <w:rFonts w:eastAsia="Batang"/>
          <w:bCs/>
          <w:lang w:eastAsia="ko-KR"/>
        </w:rPr>
        <w:t>)</w:t>
      </w:r>
      <w:r w:rsidRPr="00F41AC7">
        <w:fldChar w:fldCharType="end"/>
      </w:r>
      <w:r w:rsidRPr="00F41AC7">
        <w:t xml:space="preserve">. They inhibit tetanic contractions exclusively and do not affect physiological twitch contractions of the skeletal muscles </w:t>
      </w:r>
      <w:r w:rsidRPr="00F41AC7">
        <w:fldChar w:fldCharType="begin"/>
      </w:r>
      <w:r w:rsidRPr="00F41AC7">
        <w:instrText>ADDIN RW.CITE{{3 Lee,KeikoK. 2013; 70 Kaifuchi,N. 2015}}</w:instrText>
      </w:r>
      <w:r w:rsidRPr="00F41AC7">
        <w:fldChar w:fldCharType="separate"/>
      </w:r>
      <w:r w:rsidRPr="00F41AC7">
        <w:rPr>
          <w:rFonts w:eastAsia="Batang"/>
          <w:bCs/>
          <w:lang w:eastAsia="ko-KR"/>
        </w:rPr>
        <w:t>(</w:t>
      </w:r>
      <w:r w:rsidR="00026191" w:rsidRPr="00F41AC7">
        <w:rPr>
          <w:rFonts w:eastAsia="Batang"/>
          <w:bCs/>
          <w:lang w:eastAsia="ko-KR"/>
        </w:rPr>
        <w:t>2, 3</w:t>
      </w:r>
      <w:r w:rsidRPr="00F41AC7">
        <w:rPr>
          <w:rFonts w:eastAsia="Batang"/>
          <w:bCs/>
          <w:lang w:eastAsia="ko-KR"/>
        </w:rPr>
        <w:t>)</w:t>
      </w:r>
      <w:r w:rsidRPr="00F41AC7">
        <w:fldChar w:fldCharType="end"/>
      </w:r>
      <w:r w:rsidRPr="00F41AC7">
        <w:t xml:space="preserve">.  </w:t>
      </w:r>
    </w:p>
    <w:p w14:paraId="2ED21798" w14:textId="77777777" w:rsidR="00154CE1" w:rsidRPr="00F41AC7" w:rsidRDefault="00154CE1" w:rsidP="00154CE1"/>
    <w:p w14:paraId="4CDFE761" w14:textId="726C1A1D" w:rsidR="00154CE1" w:rsidRPr="00F41AC7" w:rsidRDefault="00154CE1" w:rsidP="00154CE1">
      <w:r w:rsidRPr="00F41AC7">
        <w:t xml:space="preserve">A general pharmacology study suggested that TJ-68E exhibited no major effects on general behavioral, autonomic, </w:t>
      </w:r>
      <w:r w:rsidR="00025D68">
        <w:t>neurological,</w:t>
      </w:r>
      <w:r w:rsidRPr="00F41AC7">
        <w:t xml:space="preserve"> </w:t>
      </w:r>
      <w:proofErr w:type="spellStart"/>
      <w:r w:rsidRPr="00F41AC7">
        <w:t>respiratory</w:t>
      </w:r>
      <w:r w:rsidR="00025D68">
        <w:t>,</w:t>
      </w:r>
      <w:r w:rsidRPr="00F41AC7">
        <w:t>cardiovascular</w:t>
      </w:r>
      <w:proofErr w:type="spellEnd"/>
      <w:r w:rsidRPr="00F41AC7">
        <w:t xml:space="preserve">, gastrointestinal, </w:t>
      </w:r>
      <w:r w:rsidR="00025D68">
        <w:t>or</w:t>
      </w:r>
      <w:r w:rsidR="00025D68" w:rsidRPr="00F41AC7">
        <w:t xml:space="preserve"> </w:t>
      </w:r>
      <w:r w:rsidRPr="00F41AC7">
        <w:t xml:space="preserve">renal functions </w:t>
      </w:r>
      <w:r w:rsidRPr="00F41AC7">
        <w:fldChar w:fldCharType="begin"/>
      </w:r>
      <w:r w:rsidRPr="00F41AC7">
        <w:instrText>ADDIN RW.CITE{{34 TakedaS,GotoK,IshigeA,WeiJW,RuoTI,ChengFC,AburadaM 2003}}</w:instrText>
      </w:r>
      <w:r w:rsidRPr="00F41AC7">
        <w:fldChar w:fldCharType="separate"/>
      </w:r>
      <w:r w:rsidRPr="00F41AC7">
        <w:rPr>
          <w:rFonts w:eastAsia="Batang"/>
          <w:bCs/>
          <w:lang w:eastAsia="ko-KR"/>
        </w:rPr>
        <w:t>(</w:t>
      </w:r>
      <w:r w:rsidR="006E038D" w:rsidRPr="00F41AC7">
        <w:rPr>
          <w:rFonts w:eastAsia="Batang"/>
          <w:bCs/>
          <w:lang w:eastAsia="ko-KR"/>
        </w:rPr>
        <w:t>4</w:t>
      </w:r>
      <w:r w:rsidRPr="00F41AC7">
        <w:rPr>
          <w:rFonts w:eastAsia="Batang"/>
          <w:bCs/>
          <w:lang w:eastAsia="ko-KR"/>
        </w:rPr>
        <w:t>)</w:t>
      </w:r>
      <w:r w:rsidRPr="00F41AC7">
        <w:fldChar w:fldCharType="end"/>
      </w:r>
      <w:r w:rsidRPr="00F41AC7">
        <w:t xml:space="preserve">. </w:t>
      </w:r>
    </w:p>
    <w:p w14:paraId="44BC40D1" w14:textId="77777777" w:rsidR="00154CE1" w:rsidRPr="00F41AC7" w:rsidRDefault="00154CE1" w:rsidP="00154CE1">
      <w:pPr>
        <w:tabs>
          <w:tab w:val="left" w:pos="3630"/>
        </w:tabs>
      </w:pPr>
    </w:p>
    <w:p w14:paraId="050F5DD5" w14:textId="71C7F615" w:rsidR="00154CE1" w:rsidRPr="00F41AC7" w:rsidRDefault="00154CE1" w:rsidP="00154CE1">
      <w:r w:rsidRPr="00F41AC7">
        <w:t xml:space="preserve">For toxicology, neither the Ames test, chromosomal aberration test with mammalian cultured cells, nor the micronucleus test in mice exhibited genotoxicity </w:t>
      </w:r>
      <w:r w:rsidRPr="00F41AC7">
        <w:fldChar w:fldCharType="begin"/>
      </w:r>
      <w:r w:rsidRPr="00F41AC7">
        <w:instrText>ADDIN RW.CITE{{38 KuboniwaH 1993; 48 OhtaK 1993; 40 Nagasawa,K 1993}}</w:instrText>
      </w:r>
      <w:r w:rsidRPr="00F41AC7">
        <w:fldChar w:fldCharType="separate"/>
      </w:r>
      <w:r w:rsidRPr="00F41AC7">
        <w:rPr>
          <w:rFonts w:eastAsia="Batang"/>
          <w:bCs/>
          <w:lang w:eastAsia="ko-KR"/>
        </w:rPr>
        <w:t>(</w:t>
      </w:r>
      <w:r w:rsidR="006E038D" w:rsidRPr="00F41AC7">
        <w:rPr>
          <w:rFonts w:eastAsia="Batang"/>
          <w:bCs/>
          <w:lang w:eastAsia="ko-KR"/>
        </w:rPr>
        <w:t>5</w:t>
      </w:r>
      <w:r w:rsidR="00026191" w:rsidRPr="00F41AC7">
        <w:rPr>
          <w:rFonts w:eastAsia="Batang"/>
          <w:bCs/>
          <w:lang w:eastAsia="ko-KR"/>
        </w:rPr>
        <w:t>-</w:t>
      </w:r>
      <w:r w:rsidR="006E038D" w:rsidRPr="00F41AC7">
        <w:rPr>
          <w:rFonts w:eastAsia="Batang"/>
          <w:bCs/>
          <w:lang w:eastAsia="ko-KR"/>
        </w:rPr>
        <w:t>7</w:t>
      </w:r>
      <w:r w:rsidRPr="00F41AC7">
        <w:rPr>
          <w:rFonts w:eastAsia="Batang"/>
          <w:bCs/>
          <w:lang w:eastAsia="ko-KR"/>
        </w:rPr>
        <w:t>)</w:t>
      </w:r>
      <w:r w:rsidRPr="00F41AC7">
        <w:fldChar w:fldCharType="end"/>
      </w:r>
      <w:r w:rsidRPr="00F41AC7">
        <w:t xml:space="preserve">. Other toxicology studies also suggested that </w:t>
      </w:r>
      <w:bookmarkStart w:id="2" w:name="_Hlk61606357"/>
      <w:r w:rsidRPr="00F41AC7">
        <w:t xml:space="preserve">no-observed-adverse-effect levels (NOAELs) </w:t>
      </w:r>
      <w:bookmarkEnd w:id="2"/>
      <w:r w:rsidRPr="00F41AC7">
        <w:t xml:space="preserve">of TJ-68E were more than 10 g/kg in a single dose toxicity test of rats </w:t>
      </w:r>
      <w:r w:rsidRPr="00F41AC7">
        <w:fldChar w:fldCharType="begin"/>
      </w:r>
      <w:r w:rsidRPr="00F41AC7">
        <w:instrText>ADDIN RW.CITE{{42 PapagiannisC 1993}}</w:instrText>
      </w:r>
      <w:r w:rsidRPr="00F41AC7">
        <w:fldChar w:fldCharType="separate"/>
      </w:r>
      <w:r w:rsidRPr="00F41AC7">
        <w:rPr>
          <w:rFonts w:eastAsia="Batang"/>
          <w:bCs/>
          <w:lang w:eastAsia="ko-KR"/>
        </w:rPr>
        <w:t>(</w:t>
      </w:r>
      <w:r w:rsidR="006E038D" w:rsidRPr="00F41AC7">
        <w:rPr>
          <w:rFonts w:eastAsia="Batang"/>
          <w:bCs/>
          <w:lang w:eastAsia="ko-KR"/>
        </w:rPr>
        <w:t>8</w:t>
      </w:r>
      <w:r w:rsidRPr="00F41AC7">
        <w:rPr>
          <w:rFonts w:eastAsia="Batang"/>
          <w:bCs/>
          <w:lang w:eastAsia="ko-KR"/>
        </w:rPr>
        <w:t>)</w:t>
      </w:r>
      <w:r w:rsidRPr="00F41AC7">
        <w:fldChar w:fldCharType="end"/>
      </w:r>
      <w:r w:rsidRPr="00F41AC7">
        <w:t xml:space="preserve">; 500 mg/kg/d in a repeat dose toxicity test of rats and dogs </w:t>
      </w:r>
      <w:r w:rsidRPr="00F41AC7">
        <w:fldChar w:fldCharType="begin"/>
      </w:r>
      <w:r w:rsidRPr="00F41AC7">
        <w:instrText>ADDIN RW.CITE{{43 SpicerB 1994; 44 NamikiM 2017}}</w:instrText>
      </w:r>
      <w:r w:rsidRPr="00F41AC7">
        <w:fldChar w:fldCharType="separate"/>
      </w:r>
      <w:r w:rsidRPr="00F41AC7">
        <w:rPr>
          <w:rFonts w:eastAsia="Batang"/>
          <w:bCs/>
          <w:lang w:eastAsia="ko-KR"/>
        </w:rPr>
        <w:t>(</w:t>
      </w:r>
      <w:r w:rsidR="00026191" w:rsidRPr="00F41AC7">
        <w:rPr>
          <w:rFonts w:eastAsia="Batang"/>
          <w:bCs/>
          <w:lang w:eastAsia="ko-KR"/>
        </w:rPr>
        <w:t>9</w:t>
      </w:r>
      <w:r w:rsidR="006E038D" w:rsidRPr="00F41AC7">
        <w:rPr>
          <w:rFonts w:eastAsia="Batang"/>
          <w:bCs/>
          <w:lang w:eastAsia="ko-KR"/>
        </w:rPr>
        <w:t>,10</w:t>
      </w:r>
      <w:r w:rsidRPr="00F41AC7">
        <w:rPr>
          <w:rFonts w:eastAsia="Batang"/>
          <w:bCs/>
          <w:lang w:eastAsia="ko-KR"/>
        </w:rPr>
        <w:t>)</w:t>
      </w:r>
      <w:r w:rsidRPr="00F41AC7">
        <w:fldChar w:fldCharType="end"/>
      </w:r>
      <w:r w:rsidRPr="00F41AC7">
        <w:t xml:space="preserve">; and 500 mg/kg/d in a reproductive and developmental toxicity test in rats and rabbits </w:t>
      </w:r>
      <w:r w:rsidRPr="00F41AC7">
        <w:fldChar w:fldCharType="begin"/>
      </w:r>
      <w:r w:rsidRPr="00F41AC7">
        <w:instrText>ADDIN RW.CITE{{46 FujiiS 2019; 47 YabeK 2019}}</w:instrText>
      </w:r>
      <w:r w:rsidRPr="00F41AC7">
        <w:fldChar w:fldCharType="separate"/>
      </w:r>
      <w:r w:rsidRPr="00F41AC7">
        <w:rPr>
          <w:rFonts w:eastAsia="Batang"/>
          <w:bCs/>
          <w:lang w:eastAsia="ko-KR"/>
        </w:rPr>
        <w:t>(</w:t>
      </w:r>
      <w:r w:rsidR="00026191" w:rsidRPr="00F41AC7">
        <w:rPr>
          <w:rFonts w:eastAsia="Batang"/>
          <w:bCs/>
          <w:lang w:eastAsia="ko-KR"/>
        </w:rPr>
        <w:t>1</w:t>
      </w:r>
      <w:r w:rsidR="006E038D" w:rsidRPr="00F41AC7">
        <w:rPr>
          <w:rFonts w:eastAsia="Batang"/>
          <w:bCs/>
          <w:lang w:eastAsia="ko-KR"/>
        </w:rPr>
        <w:t>1</w:t>
      </w:r>
      <w:r w:rsidR="00026191" w:rsidRPr="00F41AC7">
        <w:rPr>
          <w:rFonts w:eastAsia="Batang"/>
          <w:bCs/>
          <w:lang w:eastAsia="ko-KR"/>
        </w:rPr>
        <w:t>,1</w:t>
      </w:r>
      <w:r w:rsidR="006E038D" w:rsidRPr="00F41AC7">
        <w:rPr>
          <w:rFonts w:eastAsia="Batang"/>
          <w:bCs/>
          <w:lang w:eastAsia="ko-KR"/>
        </w:rPr>
        <w:t>2</w:t>
      </w:r>
      <w:r w:rsidRPr="00F41AC7">
        <w:rPr>
          <w:rFonts w:eastAsia="Batang"/>
          <w:bCs/>
          <w:lang w:eastAsia="ko-KR"/>
        </w:rPr>
        <w:t>)</w:t>
      </w:r>
      <w:r w:rsidRPr="00F41AC7">
        <w:fldChar w:fldCharType="end"/>
      </w:r>
      <w:r w:rsidRPr="00F41AC7">
        <w:t>. These NOAELs are much larger than clinical dose levels</w:t>
      </w:r>
      <w:r w:rsidR="00025D68">
        <w:t xml:space="preserve"> (2.5-7.5g/day)</w:t>
      </w:r>
      <w:r w:rsidRPr="00F41AC7">
        <w:t xml:space="preserve">. TJ-68E did not inhibit </w:t>
      </w:r>
      <w:r w:rsidR="00FE0160" w:rsidRPr="00F41AC7">
        <w:t>P-glycoprotein (</w:t>
      </w:r>
      <w:r w:rsidRPr="00F41AC7">
        <w:t>P-gp</w:t>
      </w:r>
      <w:r w:rsidR="00FE0160" w:rsidRPr="00F41AC7">
        <w:t>)</w:t>
      </w:r>
      <w:r w:rsidRPr="00F41AC7">
        <w:t xml:space="preserve"> </w:t>
      </w:r>
      <w:r w:rsidRPr="00F41AC7">
        <w:rPr>
          <w:i/>
        </w:rPr>
        <w:t xml:space="preserve">in vitro </w:t>
      </w:r>
      <w:r w:rsidRPr="00F41AC7">
        <w:t xml:space="preserve">(Caco-2 cells), suggesting that it was unlikely to interact with drugs metabolized by P-gp </w:t>
      </w:r>
      <w:r w:rsidRPr="00F41AC7">
        <w:fldChar w:fldCharType="begin"/>
      </w:r>
      <w:r w:rsidRPr="00F41AC7">
        <w:instrText>ADDIN RW.CITE{{71 Matsumoto,T. 2018}}</w:instrText>
      </w:r>
      <w:r w:rsidRPr="00F41AC7">
        <w:fldChar w:fldCharType="separate"/>
      </w:r>
      <w:r w:rsidRPr="00F41AC7">
        <w:rPr>
          <w:rFonts w:eastAsia="Batang"/>
          <w:bCs/>
          <w:lang w:eastAsia="ko-KR"/>
        </w:rPr>
        <w:t>(</w:t>
      </w:r>
      <w:r w:rsidR="00026191" w:rsidRPr="00F41AC7">
        <w:rPr>
          <w:rFonts w:eastAsia="Batang"/>
          <w:bCs/>
          <w:lang w:eastAsia="ko-KR"/>
        </w:rPr>
        <w:t>1</w:t>
      </w:r>
      <w:r w:rsidR="006E038D" w:rsidRPr="00F41AC7">
        <w:rPr>
          <w:rFonts w:eastAsia="Batang"/>
          <w:bCs/>
          <w:lang w:eastAsia="ko-KR"/>
        </w:rPr>
        <w:t>3</w:t>
      </w:r>
      <w:r w:rsidRPr="00F41AC7">
        <w:rPr>
          <w:rFonts w:eastAsia="Batang"/>
          <w:bCs/>
          <w:lang w:eastAsia="ko-KR"/>
        </w:rPr>
        <w:t>)</w:t>
      </w:r>
      <w:r w:rsidRPr="00F41AC7">
        <w:fldChar w:fldCharType="end"/>
      </w:r>
      <w:r w:rsidRPr="00F41AC7">
        <w:t xml:space="preserve">. CYP3A and P-gp were also not inhibited by TJ-68E in mice </w:t>
      </w:r>
      <w:r w:rsidRPr="00F41AC7">
        <w:fldChar w:fldCharType="begin"/>
      </w:r>
      <w:r w:rsidRPr="00F41AC7">
        <w:instrText>ADDIN RW.CITE{{50 MatsumotoS 2017}}</w:instrText>
      </w:r>
      <w:r w:rsidRPr="00F41AC7">
        <w:fldChar w:fldCharType="separate"/>
      </w:r>
      <w:r w:rsidRPr="00F41AC7">
        <w:rPr>
          <w:rFonts w:eastAsia="Batang"/>
          <w:bCs/>
          <w:lang w:eastAsia="ko-KR"/>
        </w:rPr>
        <w:t>(</w:t>
      </w:r>
      <w:r w:rsidR="00026191" w:rsidRPr="00F41AC7">
        <w:rPr>
          <w:rFonts w:eastAsia="Batang"/>
          <w:bCs/>
          <w:lang w:eastAsia="ko-KR"/>
        </w:rPr>
        <w:t>1</w:t>
      </w:r>
      <w:r w:rsidR="006E038D" w:rsidRPr="00F41AC7">
        <w:rPr>
          <w:rFonts w:eastAsia="Batang"/>
          <w:bCs/>
          <w:lang w:eastAsia="ko-KR"/>
        </w:rPr>
        <w:t>4</w:t>
      </w:r>
      <w:r w:rsidRPr="00F41AC7">
        <w:rPr>
          <w:rFonts w:eastAsia="Batang"/>
          <w:bCs/>
          <w:lang w:eastAsia="ko-KR"/>
        </w:rPr>
        <w:t>)</w:t>
      </w:r>
      <w:r w:rsidRPr="00F41AC7">
        <w:fldChar w:fldCharType="end"/>
      </w:r>
      <w:r w:rsidRPr="00F41AC7">
        <w:t>.</w:t>
      </w:r>
    </w:p>
    <w:p w14:paraId="398F67EE" w14:textId="77777777" w:rsidR="00154CE1" w:rsidRPr="00F41AC7" w:rsidRDefault="00154CE1" w:rsidP="00154CE1">
      <w:pPr>
        <w:pStyle w:val="Heading2"/>
        <w:rPr>
          <w:rFonts w:ascii="Arial" w:hAnsi="Arial" w:cs="Arial"/>
          <w:color w:val="auto"/>
          <w:sz w:val="24"/>
          <w:szCs w:val="24"/>
        </w:rPr>
      </w:pPr>
      <w:bookmarkStart w:id="3" w:name="_Toc84423835"/>
    </w:p>
    <w:p w14:paraId="4D92EE1A" w14:textId="77777777" w:rsidR="00154CE1" w:rsidRPr="00F41AC7" w:rsidRDefault="00154CE1" w:rsidP="00154CE1">
      <w:pPr>
        <w:pStyle w:val="Heading2"/>
        <w:rPr>
          <w:rFonts w:ascii="Arial" w:hAnsi="Arial" w:cs="Arial"/>
          <w:b/>
          <w:bCs/>
          <w:color w:val="auto"/>
          <w:sz w:val="22"/>
          <w:szCs w:val="22"/>
        </w:rPr>
      </w:pPr>
      <w:r w:rsidRPr="00F41AC7">
        <w:rPr>
          <w:rFonts w:ascii="Arial" w:hAnsi="Arial" w:cs="Arial"/>
          <w:b/>
          <w:bCs/>
          <w:color w:val="auto"/>
          <w:sz w:val="22"/>
          <w:szCs w:val="22"/>
        </w:rPr>
        <w:t>TJ-68 Clinical Studies</w:t>
      </w:r>
      <w:bookmarkEnd w:id="3"/>
    </w:p>
    <w:p w14:paraId="18C530B7" w14:textId="77777777" w:rsidR="00154CE1" w:rsidRPr="00F41AC7" w:rsidRDefault="00154CE1" w:rsidP="00154CE1">
      <w:pPr>
        <w:rPr>
          <w:rFonts w:eastAsia="Malgun Gothic"/>
          <w:lang w:eastAsia="ko-KR"/>
        </w:rPr>
      </w:pPr>
      <w:r w:rsidRPr="00F41AC7">
        <w:rPr>
          <w:rFonts w:eastAsia="Malgun Gothic"/>
          <w:lang w:eastAsia="ko-KR"/>
        </w:rPr>
        <w:t>A pharmacokinetic study and several clinical studies were conducted in Japan to confirm the effectiveness of TJ-68 in various disease settings.</w:t>
      </w:r>
    </w:p>
    <w:p w14:paraId="5FEAAB14" w14:textId="77777777" w:rsidR="00154CE1" w:rsidRPr="00F41AC7" w:rsidRDefault="00154CE1" w:rsidP="00154CE1">
      <w:pPr>
        <w:pStyle w:val="TOC8"/>
        <w:spacing w:line="240" w:lineRule="auto"/>
        <w:ind w:left="360"/>
      </w:pPr>
    </w:p>
    <w:p w14:paraId="48B20CDC" w14:textId="60573814" w:rsidR="00154CE1" w:rsidRPr="00F41AC7" w:rsidRDefault="00154CE1" w:rsidP="00154CE1">
      <w:pPr>
        <w:rPr>
          <w:rFonts w:eastAsia="Malgun Gothic"/>
          <w:lang w:eastAsia="ko-KR"/>
        </w:rPr>
      </w:pPr>
      <w:r w:rsidRPr="00F41AC7">
        <w:rPr>
          <w:rFonts w:eastAsia="Malgun Gothic"/>
          <w:lang w:eastAsia="ko-KR"/>
        </w:rPr>
        <w:t xml:space="preserve">In a study of patients with 21 patients with lumbar spinal stenosis, TJ-68 was administered at 7.5 g/day for the first two weeks and then titrated ad libitum to the minimum effective dose by patient. Altogether, 90% of cases achieved 50% cramp reduction. There were very few adverse reactions, including only one case of dizziness </w:t>
      </w:r>
      <w:r w:rsidRPr="00F41AC7">
        <w:rPr>
          <w:rFonts w:eastAsia="Malgun Gothic"/>
          <w:lang w:eastAsia="ko-KR"/>
        </w:rPr>
        <w:fldChar w:fldCharType="begin"/>
      </w:r>
      <w:r w:rsidRPr="00F41AC7">
        <w:rPr>
          <w:rFonts w:eastAsia="Malgun Gothic"/>
          <w:lang w:eastAsia="ko-KR"/>
        </w:rPr>
        <w:instrText>ADDIN RW.CITE{{7 Takao,YUMIKO 2015}}</w:instrText>
      </w:r>
      <w:r w:rsidRPr="00F41AC7">
        <w:rPr>
          <w:rFonts w:eastAsia="Malgun Gothic"/>
          <w:lang w:eastAsia="ko-KR"/>
        </w:rPr>
        <w:fldChar w:fldCharType="separate"/>
      </w:r>
      <w:r w:rsidRPr="00F41AC7">
        <w:rPr>
          <w:rFonts w:eastAsia="Malgun Gothic"/>
          <w:bCs/>
          <w:lang w:eastAsia="ko-KR"/>
        </w:rPr>
        <w:t>(</w:t>
      </w:r>
      <w:r w:rsidR="00026191" w:rsidRPr="00F41AC7">
        <w:rPr>
          <w:rFonts w:eastAsia="Malgun Gothic"/>
          <w:bCs/>
          <w:lang w:eastAsia="ko-KR"/>
        </w:rPr>
        <w:t>1</w:t>
      </w:r>
      <w:r w:rsidR="006E038D" w:rsidRPr="00F41AC7">
        <w:rPr>
          <w:rFonts w:eastAsia="Malgun Gothic"/>
          <w:bCs/>
          <w:lang w:eastAsia="ko-KR"/>
        </w:rPr>
        <w:t>5</w:t>
      </w:r>
      <w:r w:rsidRPr="00F41AC7">
        <w:rPr>
          <w:rFonts w:eastAsia="Malgun Gothic"/>
          <w:bCs/>
          <w:lang w:eastAsia="ko-KR"/>
        </w:rPr>
        <w:t>)</w:t>
      </w:r>
      <w:r w:rsidRPr="00F41AC7">
        <w:rPr>
          <w:rFonts w:eastAsia="Malgun Gothic"/>
          <w:lang w:eastAsia="ko-KR"/>
        </w:rPr>
        <w:fldChar w:fldCharType="end"/>
      </w:r>
      <w:r w:rsidRPr="00F41AC7">
        <w:rPr>
          <w:rFonts w:eastAsia="Malgun Gothic"/>
          <w:lang w:eastAsia="ko-KR"/>
        </w:rPr>
        <w:t>.</w:t>
      </w:r>
    </w:p>
    <w:p w14:paraId="71A431A8" w14:textId="77777777" w:rsidR="00154CE1" w:rsidRPr="00F41AC7" w:rsidRDefault="00154CE1" w:rsidP="00154CE1">
      <w:pPr>
        <w:rPr>
          <w:rFonts w:eastAsia="Malgun Gothic"/>
          <w:lang w:eastAsia="ko-KR"/>
        </w:rPr>
      </w:pPr>
    </w:p>
    <w:p w14:paraId="4311DCC9" w14:textId="0B82357C" w:rsidR="00154CE1" w:rsidRPr="00F41AC7" w:rsidRDefault="00154CE1" w:rsidP="00154CE1">
      <w:pPr>
        <w:rPr>
          <w:rFonts w:eastAsia="Malgun Gothic"/>
          <w:lang w:eastAsia="ko-KR"/>
        </w:rPr>
      </w:pPr>
      <w:r w:rsidRPr="00F41AC7">
        <w:rPr>
          <w:rFonts w:eastAsia="Malgun Gothic"/>
          <w:lang w:eastAsia="ko-KR"/>
        </w:rPr>
        <w:t>In a randomized double-blind placebo-controlled parallel study of muscle cramps in patients with liver cirrhosis, a total of 101 patients were randomly assigned to receive TJ-68 7.5 g/day (</w:t>
      </w:r>
      <w:r w:rsidRPr="00F41AC7">
        <w:rPr>
          <w:rFonts w:eastAsia="Malgun Gothic"/>
          <w:i/>
          <w:lang w:eastAsia="ko-KR"/>
        </w:rPr>
        <w:t>n</w:t>
      </w:r>
      <w:r w:rsidRPr="00F41AC7">
        <w:rPr>
          <w:rFonts w:eastAsia="Malgun Gothic"/>
          <w:lang w:eastAsia="ko-KR"/>
        </w:rPr>
        <w:t xml:space="preserve"> = 52) or placebo 7.5 g/day (</w:t>
      </w:r>
      <w:r w:rsidRPr="00F41AC7">
        <w:rPr>
          <w:rFonts w:eastAsia="Malgun Gothic"/>
          <w:i/>
          <w:lang w:eastAsia="ko-KR"/>
        </w:rPr>
        <w:t>n</w:t>
      </w:r>
      <w:r w:rsidRPr="00F41AC7">
        <w:rPr>
          <w:rFonts w:eastAsia="Malgun Gothic"/>
          <w:lang w:eastAsia="ko-KR"/>
        </w:rPr>
        <w:t xml:space="preserve"> = 49) for two weeks. The improvement rate of muscle cramp frequency was significantly superior in the TJ-68 group compared to the placebo-group (</w:t>
      </w:r>
      <w:r w:rsidRPr="00F41AC7">
        <w:rPr>
          <w:rFonts w:eastAsia="Malgun Gothic"/>
          <w:i/>
          <w:lang w:eastAsia="ko-KR"/>
        </w:rPr>
        <w:t>p</w:t>
      </w:r>
      <w:r w:rsidRPr="00F41AC7">
        <w:rPr>
          <w:rFonts w:eastAsia="Malgun Gothic"/>
          <w:lang w:eastAsia="ko-KR"/>
        </w:rPr>
        <w:t xml:space="preserve"> = 0.011); 67.3% of patients in the TJ-68 group achieved “Markedly improved’ or ‘Improved’ as </w:t>
      </w:r>
      <w:r w:rsidR="00025D68">
        <w:rPr>
          <w:rFonts w:eastAsia="Malgun Gothic"/>
          <w:lang w:eastAsia="ko-KR"/>
        </w:rPr>
        <w:t>compared</w:t>
      </w:r>
      <w:r w:rsidR="00025D68" w:rsidRPr="00F41AC7">
        <w:rPr>
          <w:rFonts w:eastAsia="Malgun Gothic"/>
          <w:lang w:eastAsia="ko-KR"/>
        </w:rPr>
        <w:t xml:space="preserve"> </w:t>
      </w:r>
      <w:r w:rsidRPr="00F41AC7">
        <w:rPr>
          <w:rFonts w:eastAsia="Malgun Gothic"/>
          <w:lang w:eastAsia="ko-KR"/>
        </w:rPr>
        <w:t xml:space="preserve">to 36.7% in the placebo-group.  Incidents of adverse reactions were </w:t>
      </w:r>
      <w:r w:rsidR="00025D68">
        <w:rPr>
          <w:rFonts w:eastAsia="Malgun Gothic"/>
          <w:lang w:eastAsia="ko-KR"/>
        </w:rPr>
        <w:t>not significantly different</w:t>
      </w:r>
      <w:r w:rsidR="00025D68" w:rsidRPr="00F41AC7">
        <w:rPr>
          <w:rFonts w:eastAsia="Malgun Gothic"/>
          <w:lang w:eastAsia="ko-KR"/>
        </w:rPr>
        <w:t xml:space="preserve"> </w:t>
      </w:r>
      <w:r w:rsidRPr="00F41AC7">
        <w:rPr>
          <w:rFonts w:eastAsia="Malgun Gothic"/>
          <w:lang w:eastAsia="ko-KR"/>
        </w:rPr>
        <w:t>between the two groups: 14.3% in the TJ-68 group and 4.9% in the placebo group (</w:t>
      </w:r>
      <w:r w:rsidRPr="00F41AC7">
        <w:rPr>
          <w:rFonts w:eastAsia="Malgun Gothic"/>
          <w:i/>
          <w:lang w:eastAsia="ko-KR"/>
        </w:rPr>
        <w:t>p</w:t>
      </w:r>
      <w:r w:rsidRPr="00F41AC7">
        <w:rPr>
          <w:rFonts w:eastAsia="Malgun Gothic"/>
          <w:lang w:eastAsia="ko-KR"/>
        </w:rPr>
        <w:t xml:space="preserve"> = 0.173).  The most common adverse reactions included pseudoaldosteronism (</w:t>
      </w:r>
      <w:r w:rsidR="00025D68">
        <w:rPr>
          <w:rFonts w:eastAsia="Malgun Gothic"/>
          <w:lang w:eastAsia="ko-KR"/>
        </w:rPr>
        <w:t xml:space="preserve">n=X, </w:t>
      </w:r>
      <w:r w:rsidRPr="00F41AC7">
        <w:rPr>
          <w:rFonts w:eastAsia="Malgun Gothic"/>
          <w:lang w:eastAsia="ko-KR"/>
        </w:rPr>
        <w:t xml:space="preserve">blood-pressure raise, edema, and decrease in serum potassium level) in the TJ-68 group and digestive symptoms in the placebo group; however, no severe adverse reactions were documented </w:t>
      </w:r>
      <w:r w:rsidRPr="00F41AC7">
        <w:rPr>
          <w:rFonts w:eastAsia="Malgun Gothic"/>
          <w:lang w:eastAsia="ko-KR"/>
        </w:rPr>
        <w:fldChar w:fldCharType="begin"/>
      </w:r>
      <w:r w:rsidRPr="00F41AC7">
        <w:rPr>
          <w:rFonts w:eastAsia="Malgun Gothic"/>
          <w:lang w:eastAsia="ko-KR"/>
        </w:rPr>
        <w:instrText>ADDIN RW.CITE{{4 KumadaT,KumadaH,YoshibaM,NakanoS,SuzukiH,TangoT 1999}}</w:instrText>
      </w:r>
      <w:r w:rsidRPr="00F41AC7">
        <w:rPr>
          <w:rFonts w:eastAsia="Malgun Gothic"/>
          <w:lang w:eastAsia="ko-KR"/>
        </w:rPr>
        <w:fldChar w:fldCharType="separate"/>
      </w:r>
      <w:r w:rsidRPr="00F41AC7">
        <w:rPr>
          <w:rFonts w:eastAsia="Malgun Gothic"/>
          <w:bCs/>
          <w:lang w:eastAsia="ko-KR"/>
        </w:rPr>
        <w:t>(</w:t>
      </w:r>
      <w:r w:rsidR="00C4431B" w:rsidRPr="00F41AC7">
        <w:rPr>
          <w:rFonts w:eastAsia="Malgun Gothic"/>
          <w:bCs/>
          <w:lang w:eastAsia="ko-KR"/>
        </w:rPr>
        <w:t>1</w:t>
      </w:r>
      <w:r w:rsidR="007A6E19" w:rsidRPr="00F41AC7">
        <w:rPr>
          <w:rFonts w:eastAsia="Malgun Gothic"/>
          <w:bCs/>
          <w:lang w:eastAsia="ko-KR"/>
        </w:rPr>
        <w:t>6</w:t>
      </w:r>
      <w:r w:rsidRPr="00F41AC7">
        <w:rPr>
          <w:rFonts w:eastAsia="Malgun Gothic"/>
          <w:bCs/>
          <w:lang w:eastAsia="ko-KR"/>
        </w:rPr>
        <w:t>)</w:t>
      </w:r>
      <w:r w:rsidRPr="00F41AC7">
        <w:rPr>
          <w:rFonts w:eastAsia="Malgun Gothic"/>
          <w:lang w:eastAsia="ko-KR"/>
        </w:rPr>
        <w:fldChar w:fldCharType="end"/>
      </w:r>
      <w:r w:rsidRPr="00F41AC7">
        <w:rPr>
          <w:rFonts w:eastAsia="Malgun Gothic"/>
          <w:lang w:eastAsia="ko-KR"/>
        </w:rPr>
        <w:t>.</w:t>
      </w:r>
    </w:p>
    <w:p w14:paraId="1F4FF472" w14:textId="77777777" w:rsidR="00154CE1" w:rsidRPr="00F41AC7" w:rsidRDefault="00154CE1" w:rsidP="00154CE1">
      <w:pPr>
        <w:rPr>
          <w:rFonts w:eastAsia="Malgun Gothic"/>
          <w:lang w:eastAsia="ko-KR"/>
        </w:rPr>
      </w:pPr>
    </w:p>
    <w:p w14:paraId="596182B1" w14:textId="24986F77" w:rsidR="00154CE1" w:rsidRPr="00F41AC7" w:rsidRDefault="00154CE1" w:rsidP="00154CE1">
      <w:r w:rsidRPr="00F41AC7">
        <w:lastRenderedPageBreak/>
        <w:t xml:space="preserve">Longer treatment duration was tested in a study of nocturnal leg cramp complicated with diabetic neuropathy. TJ-68 was administered orally at 2.5-7.5 g/day for 4 weeks; 8 out of 12 patients </w:t>
      </w:r>
      <w:r w:rsidR="00025D68">
        <w:t xml:space="preserve">no longer experienced </w:t>
      </w:r>
      <w:r w:rsidRPr="00F41AC7">
        <w:t xml:space="preserve">muscle cramps. One patient with more than 2 months of administration </w:t>
      </w:r>
      <w:r w:rsidR="00025D68">
        <w:t xml:space="preserve">had </w:t>
      </w:r>
      <w:r w:rsidRPr="00F41AC7">
        <w:t xml:space="preserve">mild hypokalemia. The </w:t>
      </w:r>
      <w:r w:rsidR="00025D68">
        <w:t>hypokalemia</w:t>
      </w:r>
      <w:r w:rsidR="00025D68" w:rsidRPr="00F41AC7">
        <w:t xml:space="preserve"> re</w:t>
      </w:r>
      <w:r w:rsidR="00025D68">
        <w:t>solved</w:t>
      </w:r>
      <w:r w:rsidR="00025D68" w:rsidRPr="00F41AC7">
        <w:t xml:space="preserve"> </w:t>
      </w:r>
      <w:r w:rsidRPr="00F41AC7">
        <w:t xml:space="preserve">after discontinuation </w:t>
      </w:r>
      <w:r w:rsidRPr="00F41AC7">
        <w:fldChar w:fldCharType="begin"/>
      </w:r>
      <w:r w:rsidRPr="00F41AC7">
        <w:instrText>ADDIN RW.CITE{{6 Miura,Yoshitaka 1999}}</w:instrText>
      </w:r>
      <w:r w:rsidRPr="00F41AC7">
        <w:fldChar w:fldCharType="separate"/>
      </w:r>
      <w:r w:rsidRPr="00F41AC7">
        <w:rPr>
          <w:rFonts w:eastAsia="Batang"/>
          <w:bCs/>
          <w:lang w:eastAsia="ko-KR"/>
        </w:rPr>
        <w:t>(</w:t>
      </w:r>
      <w:r w:rsidR="00C4431B" w:rsidRPr="00F41AC7">
        <w:rPr>
          <w:rFonts w:eastAsia="Batang"/>
          <w:bCs/>
          <w:lang w:eastAsia="ko-KR"/>
        </w:rPr>
        <w:t>1</w:t>
      </w:r>
      <w:r w:rsidR="007A6E19" w:rsidRPr="00F41AC7">
        <w:rPr>
          <w:rFonts w:eastAsia="Batang"/>
          <w:bCs/>
          <w:lang w:eastAsia="ko-KR"/>
        </w:rPr>
        <w:t>7</w:t>
      </w:r>
      <w:r w:rsidRPr="00F41AC7">
        <w:rPr>
          <w:rFonts w:eastAsia="Batang"/>
          <w:bCs/>
          <w:lang w:eastAsia="ko-KR"/>
        </w:rPr>
        <w:t>)</w:t>
      </w:r>
      <w:r w:rsidRPr="00F41AC7">
        <w:fldChar w:fldCharType="end"/>
      </w:r>
      <w:r w:rsidRPr="00F41AC7">
        <w:t xml:space="preserve">. </w:t>
      </w:r>
    </w:p>
    <w:p w14:paraId="0CDFB2DF" w14:textId="77777777" w:rsidR="00154CE1" w:rsidRPr="00F41AC7" w:rsidRDefault="00154CE1" w:rsidP="00154CE1"/>
    <w:p w14:paraId="7CDDBE12" w14:textId="454A4934" w:rsidR="00154CE1" w:rsidRPr="00F41AC7" w:rsidRDefault="00154CE1" w:rsidP="00FE0160">
      <w:pPr>
        <w:spacing w:line="240" w:lineRule="exact"/>
        <w:contextualSpacing/>
      </w:pPr>
      <w:r w:rsidRPr="00F41AC7">
        <w:t xml:space="preserve">A randomized, open-label, two-arm, two-period, crossover pharmacokinetic study using TJ-68 was conducted in twenty Japanese healthy adults </w:t>
      </w:r>
      <w:r w:rsidRPr="00F41AC7">
        <w:fldChar w:fldCharType="begin"/>
      </w:r>
      <w:r w:rsidRPr="00F41AC7">
        <w:instrText>ADDIN RW.CITE{{51 Sadakane,C. 2015}}</w:instrText>
      </w:r>
      <w:r w:rsidRPr="00F41AC7">
        <w:fldChar w:fldCharType="separate"/>
      </w:r>
      <w:r w:rsidRPr="00F41AC7">
        <w:rPr>
          <w:rFonts w:eastAsia="Batang"/>
          <w:bCs/>
          <w:lang w:eastAsia="ko-KR"/>
        </w:rPr>
        <w:t>(</w:t>
      </w:r>
      <w:r w:rsidR="00C4431B" w:rsidRPr="00F41AC7">
        <w:rPr>
          <w:rFonts w:eastAsia="Batang"/>
          <w:bCs/>
          <w:lang w:eastAsia="ko-KR"/>
        </w:rPr>
        <w:t>1</w:t>
      </w:r>
      <w:r w:rsidR="007A6E19" w:rsidRPr="00F41AC7">
        <w:rPr>
          <w:rFonts w:eastAsia="Batang"/>
          <w:bCs/>
          <w:lang w:eastAsia="ko-KR"/>
        </w:rPr>
        <w:t>8</w:t>
      </w:r>
      <w:r w:rsidRPr="00F41AC7">
        <w:rPr>
          <w:rFonts w:eastAsia="Batang"/>
          <w:bCs/>
          <w:lang w:eastAsia="ko-KR"/>
        </w:rPr>
        <w:t>)</w:t>
      </w:r>
      <w:r w:rsidRPr="00F41AC7">
        <w:fldChar w:fldCharType="end"/>
      </w:r>
      <w:r w:rsidRPr="00F41AC7">
        <w:t>. TJ-68 was administered as a single dose of 2.5 or 5.0 g/day, with a washout period of at least 7 days to prevent carryover. The absorption of six targeted components (</w:t>
      </w:r>
      <w:proofErr w:type="spellStart"/>
      <w:r w:rsidR="00FE0160" w:rsidRPr="00F41AC7">
        <w:t>Albiflorin</w:t>
      </w:r>
      <w:proofErr w:type="spellEnd"/>
      <w:r w:rsidR="00FE0160" w:rsidRPr="00F41AC7">
        <w:t xml:space="preserve">, </w:t>
      </w:r>
      <w:proofErr w:type="spellStart"/>
      <w:r w:rsidR="0087066A" w:rsidRPr="00F41AC7">
        <w:t>Albiflorin</w:t>
      </w:r>
      <w:proofErr w:type="spellEnd"/>
      <w:r w:rsidR="0087066A" w:rsidRPr="00F41AC7">
        <w:t xml:space="preserve">, </w:t>
      </w:r>
      <w:proofErr w:type="spellStart"/>
      <w:r w:rsidR="0087066A" w:rsidRPr="00F41AC7">
        <w:t>Glycycoumarin</w:t>
      </w:r>
      <w:proofErr w:type="spellEnd"/>
      <w:r w:rsidR="0087066A" w:rsidRPr="00F41AC7">
        <w:t>, Isoliquiritin</w:t>
      </w:r>
      <w:r w:rsidRPr="00F41AC7">
        <w:t xml:space="preserve">, </w:t>
      </w:r>
      <w:r w:rsidR="0087066A" w:rsidRPr="00F41AC7">
        <w:t>Glycyrrhetic acid</w:t>
      </w:r>
      <w:r w:rsidRPr="00F41AC7">
        <w:t xml:space="preserve">, and </w:t>
      </w:r>
      <w:bookmarkStart w:id="4" w:name="_Hlk61606458"/>
      <w:r w:rsidRPr="00F41AC7">
        <w:t>glycyrrhetic acid-3-</w:t>
      </w:r>
      <w:r w:rsidRPr="00F41AC7">
        <w:rPr>
          <w:i/>
        </w:rPr>
        <w:t>O</w:t>
      </w:r>
      <w:r w:rsidRPr="00F41AC7">
        <w:t>-monoglucuronide (3MGA)</w:t>
      </w:r>
      <w:r w:rsidR="0087066A" w:rsidRPr="00F41AC7">
        <w:t>)</w:t>
      </w:r>
      <w:r w:rsidRPr="00F41AC7">
        <w:t xml:space="preserve"> </w:t>
      </w:r>
      <w:bookmarkEnd w:id="4"/>
      <w:r w:rsidRPr="00F41AC7">
        <w:t xml:space="preserve">after the administration of TJ-68 were clarified. The highest plasma concentration was found in </w:t>
      </w:r>
      <w:r w:rsidR="0087066A" w:rsidRPr="00F41AC7">
        <w:t xml:space="preserve">Glycyrrhetic acid </w:t>
      </w:r>
      <w:r w:rsidRPr="00F41AC7">
        <w:t xml:space="preserve"> showing </w:t>
      </w:r>
      <w:r w:rsidRPr="00F41AC7">
        <w:rPr>
          <w:i/>
          <w:iCs/>
        </w:rPr>
        <w:t>C</w:t>
      </w:r>
      <w:r w:rsidRPr="00F41AC7">
        <w:rPr>
          <w:vertAlign w:val="subscript"/>
        </w:rPr>
        <w:t>max</w:t>
      </w:r>
      <w:r w:rsidRPr="00F41AC7">
        <w:t xml:space="preserve">, approximately 200 ng/mL, followed by </w:t>
      </w:r>
      <w:r w:rsidR="0087066A" w:rsidRPr="00F41AC7">
        <w:t>Paeoniflorin</w:t>
      </w:r>
      <w:r w:rsidRPr="00F41AC7">
        <w:t xml:space="preserve">, </w:t>
      </w:r>
      <w:r w:rsidR="0087066A" w:rsidRPr="00F41AC7">
        <w:t>Paeoniflorin</w:t>
      </w:r>
      <w:r w:rsidRPr="00F41AC7">
        <w:t xml:space="preserve">, 3MGA, </w:t>
      </w:r>
      <w:bookmarkStart w:id="5" w:name="_Hlk115539547"/>
      <w:r w:rsidR="0087066A" w:rsidRPr="00F41AC7">
        <w:t>Isoliquiritin</w:t>
      </w:r>
      <w:bookmarkEnd w:id="5"/>
      <w:r w:rsidRPr="00F41AC7">
        <w:t xml:space="preserve">, and </w:t>
      </w:r>
      <w:proofErr w:type="spellStart"/>
      <w:r w:rsidR="0087066A" w:rsidRPr="00F41AC7">
        <w:t>Glycycoumarin</w:t>
      </w:r>
      <w:proofErr w:type="spellEnd"/>
      <w:r w:rsidRPr="00F41AC7">
        <w:t xml:space="preserve">.  Moreover, </w:t>
      </w:r>
      <w:proofErr w:type="spellStart"/>
      <w:r w:rsidRPr="00F41AC7">
        <w:rPr>
          <w:i/>
        </w:rPr>
        <w:t>t</w:t>
      </w:r>
      <w:r w:rsidRPr="00F41AC7">
        <w:rPr>
          <w:vertAlign w:val="subscript"/>
        </w:rPr>
        <w:t>max</w:t>
      </w:r>
      <w:proofErr w:type="spellEnd"/>
      <w:r w:rsidRPr="00F41AC7">
        <w:t xml:space="preserve"> of </w:t>
      </w:r>
      <w:r w:rsidR="0087066A" w:rsidRPr="00F41AC7">
        <w:t>Isoliquiritin</w:t>
      </w:r>
      <w:r w:rsidRPr="00F41AC7">
        <w:t xml:space="preserve">, </w:t>
      </w:r>
      <w:proofErr w:type="spellStart"/>
      <w:r w:rsidR="0087066A" w:rsidRPr="00F41AC7">
        <w:t>Glycycoumarin</w:t>
      </w:r>
      <w:proofErr w:type="spellEnd"/>
      <w:r w:rsidRPr="00F41AC7">
        <w:t xml:space="preserve">, </w:t>
      </w:r>
      <w:proofErr w:type="spellStart"/>
      <w:r w:rsidR="00AF5479" w:rsidRPr="00F41AC7">
        <w:t>Albiflorin</w:t>
      </w:r>
      <w:proofErr w:type="spellEnd"/>
      <w:r w:rsidRPr="00F41AC7">
        <w:t xml:space="preserve">, and </w:t>
      </w:r>
      <w:r w:rsidR="00AF5479" w:rsidRPr="00F41AC7">
        <w:t>Paeoniflorin</w:t>
      </w:r>
      <w:r w:rsidRPr="00F41AC7">
        <w:t xml:space="preserve"> were found within 3 h after the administration of TJ-68. The constituent notable for the longest </w:t>
      </w:r>
      <w:r w:rsidRPr="00F41AC7">
        <w:rPr>
          <w:i/>
          <w:iCs/>
        </w:rPr>
        <w:t>t</w:t>
      </w:r>
      <w:r w:rsidRPr="00F41AC7">
        <w:rPr>
          <w:vertAlign w:val="subscript"/>
        </w:rPr>
        <w:t>1/2</w:t>
      </w:r>
      <w:r w:rsidRPr="00F41AC7">
        <w:t xml:space="preserve"> was GA showing</w:t>
      </w:r>
      <w:r w:rsidRPr="00F41AC7">
        <w:rPr>
          <w:i/>
          <w:iCs/>
        </w:rPr>
        <w:t xml:space="preserve"> t</w:t>
      </w:r>
      <w:r w:rsidRPr="00F41AC7">
        <w:rPr>
          <w:vertAlign w:val="subscript"/>
        </w:rPr>
        <w:t>1/2</w:t>
      </w:r>
      <w:r w:rsidRPr="00F41AC7">
        <w:t xml:space="preserve">, approximately 10 hours. </w:t>
      </w:r>
    </w:p>
    <w:p w14:paraId="61D1A70E" w14:textId="77777777" w:rsidR="00154CE1" w:rsidRPr="00F41AC7" w:rsidRDefault="00154CE1" w:rsidP="00154CE1"/>
    <w:p w14:paraId="4302C14B" w14:textId="3F4D03EA" w:rsidR="00154CE1" w:rsidRPr="00F41AC7" w:rsidRDefault="00154CE1" w:rsidP="00154CE1">
      <w:r w:rsidRPr="00F41AC7">
        <w:t xml:space="preserve">As implied by the pharmacokinetic study, the rapid onset of </w:t>
      </w:r>
      <w:r w:rsidR="00025D68">
        <w:t>a clinical</w:t>
      </w:r>
      <w:r w:rsidR="00025D68" w:rsidRPr="00F41AC7">
        <w:t xml:space="preserve"> </w:t>
      </w:r>
      <w:r w:rsidRPr="00F41AC7">
        <w:t xml:space="preserve">pharmacological effect was also </w:t>
      </w:r>
      <w:r w:rsidR="00025D68">
        <w:t>seen</w:t>
      </w:r>
      <w:r w:rsidR="00025D68" w:rsidRPr="00F41AC7">
        <w:t xml:space="preserve"> </w:t>
      </w:r>
      <w:r w:rsidRPr="00F41AC7">
        <w:t xml:space="preserve">in a study of hemodialysis patients with muscle cramps during hemodialysis sessions. </w:t>
      </w:r>
      <w:r w:rsidRPr="00F41AC7">
        <w:rPr>
          <w:rFonts w:eastAsia="Malgun Gothic"/>
          <w:lang w:eastAsia="ko-KR"/>
        </w:rPr>
        <w:t xml:space="preserve">TJ-68 </w:t>
      </w:r>
      <w:r w:rsidR="00025D68">
        <w:rPr>
          <w:rFonts w:eastAsia="Malgun Gothic"/>
          <w:lang w:eastAsia="ko-KR"/>
        </w:rPr>
        <w:t>(</w:t>
      </w:r>
      <w:r w:rsidR="00025D68" w:rsidRPr="00F41AC7">
        <w:t>2.5 g</w:t>
      </w:r>
      <w:r w:rsidR="00025D68">
        <w:t>)</w:t>
      </w:r>
      <w:r w:rsidR="00025D68" w:rsidRPr="00F41AC7">
        <w:t xml:space="preserve"> </w:t>
      </w:r>
      <w:r w:rsidRPr="00F41AC7">
        <w:t xml:space="preserve">was administered on an as-needed basis, and muscle cramps and associated pain disappeared in about 5 minutes in 54 out of 61 cases </w:t>
      </w:r>
      <w:r w:rsidRPr="00F41AC7">
        <w:fldChar w:fldCharType="begin"/>
      </w:r>
      <w:r w:rsidRPr="00F41AC7">
        <w:instrText>ADDIN RW.CITE{{5 Hyodo,T. 2006}}</w:instrText>
      </w:r>
      <w:r w:rsidRPr="00F41AC7">
        <w:fldChar w:fldCharType="separate"/>
      </w:r>
      <w:r w:rsidRPr="00F41AC7">
        <w:rPr>
          <w:rFonts w:eastAsia="Batang"/>
          <w:bCs/>
          <w:lang w:eastAsia="ko-KR"/>
        </w:rPr>
        <w:t>(</w:t>
      </w:r>
      <w:r w:rsidR="00C4431B" w:rsidRPr="00F41AC7">
        <w:rPr>
          <w:rFonts w:eastAsia="Batang"/>
          <w:bCs/>
          <w:lang w:eastAsia="ko-KR"/>
        </w:rPr>
        <w:t>1</w:t>
      </w:r>
      <w:r w:rsidR="007A6E19" w:rsidRPr="00F41AC7">
        <w:rPr>
          <w:rFonts w:eastAsia="Batang"/>
          <w:bCs/>
          <w:lang w:eastAsia="ko-KR"/>
        </w:rPr>
        <w:t>9</w:t>
      </w:r>
      <w:r w:rsidRPr="00F41AC7">
        <w:rPr>
          <w:rFonts w:eastAsia="Batang"/>
          <w:bCs/>
          <w:lang w:eastAsia="ko-KR"/>
        </w:rPr>
        <w:t>)</w:t>
      </w:r>
      <w:r w:rsidRPr="00F41AC7">
        <w:fldChar w:fldCharType="end"/>
      </w:r>
      <w:r w:rsidRPr="00F41AC7">
        <w:t xml:space="preserve">. </w:t>
      </w:r>
    </w:p>
    <w:p w14:paraId="5BBE21BA" w14:textId="77777777" w:rsidR="00154CE1" w:rsidRPr="00F41AC7" w:rsidRDefault="00154CE1" w:rsidP="00154CE1">
      <w:pPr>
        <w:pStyle w:val="Heading2"/>
        <w:rPr>
          <w:rFonts w:ascii="Arial" w:hAnsi="Arial" w:cs="Arial"/>
          <w:color w:val="auto"/>
          <w:sz w:val="24"/>
          <w:szCs w:val="24"/>
        </w:rPr>
      </w:pPr>
      <w:bookmarkStart w:id="6" w:name="_Toc84423836"/>
    </w:p>
    <w:p w14:paraId="2820C15A" w14:textId="77777777" w:rsidR="00154CE1" w:rsidRPr="00F41AC7" w:rsidRDefault="00154CE1" w:rsidP="00154CE1">
      <w:pPr>
        <w:pStyle w:val="Heading2"/>
        <w:rPr>
          <w:rFonts w:ascii="Arial" w:hAnsi="Arial" w:cs="Arial"/>
          <w:b/>
          <w:bCs/>
          <w:color w:val="auto"/>
          <w:sz w:val="22"/>
          <w:szCs w:val="22"/>
        </w:rPr>
      </w:pPr>
      <w:r w:rsidRPr="00F41AC7">
        <w:rPr>
          <w:rFonts w:ascii="Arial" w:hAnsi="Arial" w:cs="Arial"/>
          <w:b/>
          <w:bCs/>
          <w:color w:val="auto"/>
          <w:sz w:val="22"/>
          <w:szCs w:val="22"/>
        </w:rPr>
        <w:t>Post-Marketing Safety Experience in Japan</w:t>
      </w:r>
      <w:bookmarkEnd w:id="6"/>
    </w:p>
    <w:p w14:paraId="0BA658F0" w14:textId="612B5418" w:rsidR="00154CE1" w:rsidRPr="00F41AC7" w:rsidRDefault="00154CE1" w:rsidP="00154CE1">
      <w:r w:rsidRPr="00F41AC7">
        <w:t>A post-marketing survey was conducted in Japan from 2013 to 2014 by registering</w:t>
      </w:r>
      <w:r w:rsidRPr="00F41AC7">
        <w:rPr>
          <w:rFonts w:eastAsia="Malgun Gothic"/>
          <w:lang w:eastAsia="ko-KR"/>
        </w:rPr>
        <w:t xml:space="preserve"> </w:t>
      </w:r>
      <w:r w:rsidRPr="00F41AC7">
        <w:t xml:space="preserve">3,330 patients who received TJ-68 with 2,975 patients eventually selected for analysis </w:t>
      </w:r>
      <w:r w:rsidRPr="00F41AC7">
        <w:fldChar w:fldCharType="begin"/>
      </w:r>
      <w:r w:rsidRPr="00F41AC7">
        <w:instrText>ADDIN RW.CITE{{54 MakiA. 2016}}</w:instrText>
      </w:r>
      <w:r w:rsidRPr="00F41AC7">
        <w:fldChar w:fldCharType="separate"/>
      </w:r>
      <w:r w:rsidRPr="00F41AC7">
        <w:rPr>
          <w:rFonts w:eastAsia="Batang"/>
          <w:bCs/>
          <w:lang w:eastAsia="ko-KR"/>
        </w:rPr>
        <w:t>(</w:t>
      </w:r>
      <w:r w:rsidR="007A6E19" w:rsidRPr="00F41AC7">
        <w:rPr>
          <w:rFonts w:eastAsia="Batang"/>
          <w:bCs/>
          <w:lang w:eastAsia="ko-KR"/>
        </w:rPr>
        <w:t>20</w:t>
      </w:r>
      <w:r w:rsidRPr="00F41AC7">
        <w:rPr>
          <w:rFonts w:eastAsia="Batang"/>
          <w:bCs/>
          <w:lang w:eastAsia="ko-KR"/>
        </w:rPr>
        <w:t>)</w:t>
      </w:r>
      <w:r w:rsidRPr="00F41AC7">
        <w:fldChar w:fldCharType="end"/>
      </w:r>
      <w:r w:rsidRPr="00F41AC7">
        <w:t xml:space="preserve">. The overall frequency of </w:t>
      </w:r>
      <w:bookmarkStart w:id="7" w:name="_Hlk61606936"/>
      <w:r w:rsidRPr="00F41AC7">
        <w:t xml:space="preserve">adverse drug reactions (ADRs) </w:t>
      </w:r>
      <w:bookmarkEnd w:id="7"/>
      <w:r w:rsidRPr="00F41AC7">
        <w:t xml:space="preserve">was 1.1% (33 out of 2,975 patients). The most common </w:t>
      </w:r>
      <w:bookmarkStart w:id="8" w:name="_Hlk61606964"/>
      <w:r w:rsidRPr="00F41AC7">
        <w:t xml:space="preserve">adverse events (AEs) </w:t>
      </w:r>
      <w:bookmarkEnd w:id="8"/>
      <w:r w:rsidRPr="00F41AC7">
        <w:t xml:space="preserve">were hypokalemia (7 patients [0.2%]) and hypertension, increased blood pressure, edema, face edema, </w:t>
      </w:r>
      <w:r w:rsidR="00025D68" w:rsidRPr="00F41AC7">
        <w:t xml:space="preserve">peripheral </w:t>
      </w:r>
      <w:r w:rsidRPr="00F41AC7">
        <w:t xml:space="preserve">edema, abdominal discomfort, and nausea (2 or 3 patients [0.1%]). Regarding the onset timing of each ADR, 40.5% of the entire ADRs appeared within 15 days after the start of treatment. On the other hand, hypokalemia tended to appear after treatment was administered for at least 4 weeks. In addition, the ADRs classified into the system organ class of “General disorders and administration site conditions” were recognized throughout the 26-week observation period, irrespective of the length of the treatment period. The incidence rate of ADR was 0.7% (8 out of 1129 patients) in non-elderly patients aged less than 65 years and 1.4% (25 out of 1846 patients) in elderly patients aged at least 65 years. When focusing on the hypokalemia, the most frequent ADR was seen in 7 of 33 patients (all of the 7 patients were elderly patients aged at least 65 years). Two ADRs in one patient (aged 80 years) were judged as serious (hypokalemia and hypertension, respectively). The remaining 35 ADRs in 32 patients were judged as not serious. There was no statistically significant correlation between the incidence rate of ADR and patient variables, such as gender, age, BMI, allergy history, liver dysfunction, and renal dysfunction. </w:t>
      </w:r>
    </w:p>
    <w:p w14:paraId="07AEAE5B" w14:textId="77777777" w:rsidR="00154CE1" w:rsidRPr="00F41AC7" w:rsidRDefault="00154CE1" w:rsidP="00154CE1">
      <w:pPr>
        <w:pStyle w:val="TOC8"/>
        <w:spacing w:line="240" w:lineRule="auto"/>
        <w:ind w:left="360"/>
      </w:pPr>
    </w:p>
    <w:p w14:paraId="53639141" w14:textId="7CF92A79" w:rsidR="00154CE1" w:rsidRPr="00F41AC7" w:rsidRDefault="00154CE1" w:rsidP="00154CE1">
      <w:r w:rsidRPr="00F41AC7">
        <w:t xml:space="preserve">In a retrospective cohort study investigating the occurrence of hypokalemia in patients treated with Yokukansan, another licorice-containing Kampo preparation, </w:t>
      </w:r>
      <w:r w:rsidR="00025D68">
        <w:t xml:space="preserve">the following </w:t>
      </w:r>
      <w:r w:rsidRPr="00F41AC7">
        <w:t>risk factors were found</w:t>
      </w:r>
      <w:r w:rsidR="00025D68">
        <w:t>;</w:t>
      </w:r>
      <w:r w:rsidRPr="00F41AC7">
        <w:t xml:space="preserve"> </w:t>
      </w:r>
      <w:r w:rsidR="00025D68">
        <w:t xml:space="preserve">age, duration of </w:t>
      </w:r>
      <w:proofErr w:type="gramStart"/>
      <w:r w:rsidRPr="00F41AC7">
        <w:t>treatment</w:t>
      </w:r>
      <w:r w:rsidR="00025D68">
        <w:t>,</w:t>
      </w:r>
      <w:r w:rsidRPr="00F41AC7">
        <w:t>:</w:t>
      </w:r>
      <w:proofErr w:type="gramEnd"/>
      <w:r w:rsidRPr="00F41AC7">
        <w:t xml:space="preserve"> dosage, co-administration of potassium-lowering drug, and hypoalbuminemia </w:t>
      </w:r>
      <w:r w:rsidRPr="00F41AC7">
        <w:fldChar w:fldCharType="begin"/>
      </w:r>
      <w:r w:rsidRPr="00F41AC7">
        <w:instrText>ADDIN RW.CITE{{93 Shimada,S. 2017}}</w:instrText>
      </w:r>
      <w:r w:rsidRPr="00F41AC7">
        <w:fldChar w:fldCharType="separate"/>
      </w:r>
      <w:r w:rsidRPr="00F41AC7">
        <w:rPr>
          <w:rFonts w:eastAsia="Batang"/>
          <w:bCs/>
          <w:lang w:eastAsia="ko-KR"/>
        </w:rPr>
        <w:t>(</w:t>
      </w:r>
      <w:r w:rsidR="00177295" w:rsidRPr="00F41AC7">
        <w:rPr>
          <w:rFonts w:eastAsia="Batang"/>
          <w:bCs/>
          <w:lang w:eastAsia="ko-KR"/>
        </w:rPr>
        <w:t>2</w:t>
      </w:r>
      <w:r w:rsidR="007A6E19" w:rsidRPr="00F41AC7">
        <w:rPr>
          <w:rFonts w:eastAsia="Batang"/>
          <w:bCs/>
          <w:lang w:eastAsia="ko-KR"/>
        </w:rPr>
        <w:t>1</w:t>
      </w:r>
      <w:r w:rsidRPr="00F41AC7">
        <w:rPr>
          <w:rFonts w:eastAsia="Batang"/>
          <w:bCs/>
          <w:lang w:eastAsia="ko-KR"/>
        </w:rPr>
        <w:t>)</w:t>
      </w:r>
      <w:r w:rsidRPr="00F41AC7">
        <w:fldChar w:fldCharType="end"/>
      </w:r>
      <w:r w:rsidRPr="00F41AC7">
        <w:t xml:space="preserve">. </w:t>
      </w:r>
    </w:p>
    <w:p w14:paraId="2DC84D4C" w14:textId="77777777" w:rsidR="00154CE1" w:rsidRPr="00F41AC7" w:rsidRDefault="00154CE1" w:rsidP="00154CE1"/>
    <w:p w14:paraId="784A188D" w14:textId="77777777" w:rsidR="00154CE1" w:rsidRPr="00F41AC7" w:rsidRDefault="00154CE1" w:rsidP="00154CE1">
      <w:r w:rsidRPr="00F41AC7">
        <w:t xml:space="preserve">As described previously, TJ-68 has been widely used (e.g., about 2,300,000 estimated annual patients in the year 2019) in Japan since its regulatory approval in 1986. In spontaneous safety reporting, 566 serious and 1055 non-serious ADRs were reported between 1994 and 2020. The most frequent ADRs among the serious ADRs involved pseudoaldosteronism, hypokalemia, rhabdomyolysis, myopathy, and other cardiac disorders due to hypokalemia. Other minor ADRs </w:t>
      </w:r>
      <w:r w:rsidRPr="00F41AC7">
        <w:lastRenderedPageBreak/>
        <w:t xml:space="preserve">involved interstitial lung disease and hepatic dysfunction. Most adverse event reports were among older populations, which we believe is the age group most likely to use the preparation. </w:t>
      </w:r>
    </w:p>
    <w:p w14:paraId="4D9CBF0D" w14:textId="77777777" w:rsidR="00154CE1" w:rsidRPr="00F41AC7" w:rsidRDefault="00154CE1" w:rsidP="00154CE1"/>
    <w:p w14:paraId="115A29DF" w14:textId="77777777" w:rsidR="00154CE1" w:rsidRPr="00F41AC7" w:rsidRDefault="00154CE1" w:rsidP="00154CE1">
      <w:r w:rsidRPr="00F41AC7">
        <w:t xml:space="preserve">Hypokalemia and pseudoaldosteronism are presumed to be ADRs caused by Glycyrrhiza/GL, but the relation between the other ADRs and patient variables or risk factors are unknown. Characteristic ADR derived from peony root was not found. </w:t>
      </w:r>
    </w:p>
    <w:p w14:paraId="4B0502D0" w14:textId="09F7573A" w:rsidR="00154CE1" w:rsidRPr="00F41AC7" w:rsidRDefault="00154CE1" w:rsidP="00154CE1">
      <w:pPr>
        <w:pStyle w:val="Heading2"/>
        <w:rPr>
          <w:rFonts w:ascii="Arial" w:hAnsi="Arial" w:cs="Arial"/>
          <w:color w:val="auto"/>
          <w:sz w:val="22"/>
          <w:szCs w:val="22"/>
        </w:rPr>
      </w:pPr>
    </w:p>
    <w:p w14:paraId="70DA0CCE" w14:textId="4A43D143" w:rsidR="00154CE1" w:rsidRPr="00F41AC7" w:rsidRDefault="00154CE1" w:rsidP="00154CE1">
      <w:pPr>
        <w:rPr>
          <w:b/>
          <w:bCs/>
        </w:rPr>
      </w:pPr>
      <w:r w:rsidRPr="00F41AC7">
        <w:rPr>
          <w:b/>
          <w:bCs/>
        </w:rPr>
        <w:t>SAFETY MANAGEMENT, COLLECTION OF AE AND REPORTING</w:t>
      </w:r>
    </w:p>
    <w:p w14:paraId="06CBC486" w14:textId="77777777" w:rsidR="00154CE1" w:rsidRPr="00F41AC7" w:rsidRDefault="00154CE1" w:rsidP="00154CE1"/>
    <w:p w14:paraId="7985F941" w14:textId="77777777" w:rsidR="00154CE1" w:rsidRPr="00F41AC7" w:rsidRDefault="00154CE1" w:rsidP="00154CE1">
      <w:pPr>
        <w:rPr>
          <w:bCs/>
        </w:rPr>
      </w:pPr>
      <w:r w:rsidRPr="00F41AC7">
        <w:rPr>
          <w:b/>
          <w:bCs/>
        </w:rPr>
        <w:t>Excessive Rates of AEs and Emergency DSMB Meeting</w:t>
      </w:r>
      <w:r w:rsidRPr="00F41AC7">
        <w:rPr>
          <w:bCs/>
        </w:rPr>
        <w:t xml:space="preserve">: In general, an emergency DSMB meeting will be prompted by the request of the investigators (Drs. Mitsumoto and Oskarsson) when safety concerns are raised. The chair of the BSMD can also call an emergency meeting based on the unblinded data provided by the Data Management Center. </w:t>
      </w:r>
    </w:p>
    <w:p w14:paraId="23B828B4" w14:textId="77777777" w:rsidR="00154CE1" w:rsidRPr="00F41AC7" w:rsidRDefault="00154CE1" w:rsidP="00154CE1">
      <w:pPr>
        <w:rPr>
          <w:bCs/>
        </w:rPr>
      </w:pPr>
    </w:p>
    <w:p w14:paraId="6AFE3F0E" w14:textId="4A6ABD17" w:rsidR="00154CE1" w:rsidRPr="00F41AC7" w:rsidRDefault="00154CE1" w:rsidP="00154CE1">
      <w:pPr>
        <w:rPr>
          <w:bCs/>
        </w:rPr>
      </w:pPr>
      <w:r w:rsidRPr="00F41AC7">
        <w:rPr>
          <w:bCs/>
        </w:rPr>
        <w:t xml:space="preserve">In a previous controlled clinical trial of TJ-68 among participants with liver cirrhosis, 9 participants reported a treatment-related AE among a total of 90 participants (7 out of 49 with TJ-68 and 2 out 41 with placebo) </w:t>
      </w:r>
      <w:r w:rsidRPr="00F41AC7">
        <w:rPr>
          <w:bCs/>
        </w:rPr>
        <w:fldChar w:fldCharType="begin"/>
      </w:r>
      <w:r w:rsidRPr="00F41AC7">
        <w:rPr>
          <w:bCs/>
        </w:rPr>
        <w:instrText>ADDIN RW.CITE{{4 KumadaT,KumadaH,YoshibaM,NakanoS,SuzukiH,TangoT 1999}}</w:instrText>
      </w:r>
      <w:r w:rsidRPr="00F41AC7">
        <w:rPr>
          <w:bCs/>
        </w:rPr>
        <w:fldChar w:fldCharType="separate"/>
      </w:r>
      <w:r w:rsidRPr="00F41AC7">
        <w:rPr>
          <w:bCs/>
        </w:rPr>
        <w:t>(</w:t>
      </w:r>
      <w:r w:rsidR="007A6E19" w:rsidRPr="00F41AC7">
        <w:rPr>
          <w:bCs/>
        </w:rPr>
        <w:t>16</w:t>
      </w:r>
      <w:r w:rsidRPr="00F41AC7">
        <w:rPr>
          <w:bCs/>
        </w:rPr>
        <w:t>)</w:t>
      </w:r>
      <w:r w:rsidRPr="00F41AC7">
        <w:rPr>
          <w:bCs/>
        </w:rPr>
        <w:fldChar w:fldCharType="end"/>
      </w:r>
      <w:r w:rsidRPr="00F41AC7">
        <w:rPr>
          <w:bCs/>
        </w:rPr>
        <w:t>. Based on the experience of this clinical trial, we will ask to hold an emergency DSMD meeting when a total of 9 phase participants report a presumable, treatment-related AE (because the investigators are blinded) in this multiple crossover design (88 phase participants).  Furthermore, if two participants report any SAE or deaths are observed during any point in the trial, an emergency DSMB meeting will be immediately initiated.</w:t>
      </w:r>
    </w:p>
    <w:p w14:paraId="36C5E8BC" w14:textId="77777777" w:rsidR="00154CE1" w:rsidRPr="00F41AC7" w:rsidRDefault="00154CE1" w:rsidP="00154CE1"/>
    <w:p w14:paraId="617E3675" w14:textId="77777777" w:rsidR="00154CE1" w:rsidRPr="00F41AC7" w:rsidRDefault="00154CE1" w:rsidP="00154CE1">
      <w:pPr>
        <w:rPr>
          <w:b/>
          <w:bCs/>
        </w:rPr>
      </w:pPr>
      <w:bookmarkStart w:id="9" w:name="_Toc99437766"/>
      <w:r w:rsidRPr="00F41AC7">
        <w:rPr>
          <w:b/>
          <w:bCs/>
        </w:rPr>
        <w:t>Recording and Reporting AEs</w:t>
      </w:r>
      <w:bookmarkEnd w:id="9"/>
      <w:r w:rsidRPr="00F41AC7">
        <w:rPr>
          <w:b/>
          <w:bCs/>
        </w:rPr>
        <w:t xml:space="preserve"> and SAEs</w:t>
      </w:r>
    </w:p>
    <w:p w14:paraId="41FC0F41" w14:textId="77777777" w:rsidR="00154CE1" w:rsidRPr="00F41AC7" w:rsidRDefault="00154CE1" w:rsidP="00154CE1">
      <w:pPr>
        <w:rPr>
          <w:b/>
          <w:bCs/>
        </w:rPr>
      </w:pPr>
      <w:r w:rsidRPr="00F41AC7">
        <w:rPr>
          <w:b/>
          <w:bCs/>
        </w:rPr>
        <w:t>Adver Event (AE)</w:t>
      </w:r>
    </w:p>
    <w:p w14:paraId="7DE207E7"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As defined by the International Conference on Harmonization, an AE is any untoward medical occurrence in a participant following the administration of an investigational product. This is not necessarily indicative of a causal relationship between the investigational product and AE. An AE can therefore be any unfavorable and unintended sign (including an abnormal laboratory finding), symptom, or disease (new or exacerbated) temporally associated with the use of the investigational product. </w:t>
      </w:r>
    </w:p>
    <w:p w14:paraId="63561A35" w14:textId="77777777" w:rsidR="00154CE1" w:rsidRPr="00F41AC7" w:rsidRDefault="00154CE1" w:rsidP="00154CE1">
      <w:pPr>
        <w:pStyle w:val="Default"/>
        <w:rPr>
          <w:rFonts w:ascii="Arial" w:hAnsi="Arial" w:cs="Arial"/>
          <w:b/>
          <w:bCs/>
          <w:color w:val="auto"/>
          <w:sz w:val="23"/>
          <w:szCs w:val="23"/>
        </w:rPr>
      </w:pPr>
    </w:p>
    <w:p w14:paraId="793855AB" w14:textId="77777777" w:rsidR="00154CE1" w:rsidRPr="00F41AC7" w:rsidRDefault="00154CE1" w:rsidP="00154CE1">
      <w:pPr>
        <w:pStyle w:val="Heading2"/>
        <w:rPr>
          <w:rFonts w:ascii="Arial" w:hAnsi="Arial" w:cs="Arial"/>
          <w:b/>
          <w:bCs/>
          <w:color w:val="auto"/>
          <w:sz w:val="22"/>
          <w:szCs w:val="22"/>
        </w:rPr>
      </w:pPr>
      <w:bookmarkStart w:id="10" w:name="_Toc84423895"/>
      <w:r w:rsidRPr="00F41AC7">
        <w:rPr>
          <w:rFonts w:ascii="Arial" w:hAnsi="Arial" w:cs="Arial"/>
          <w:b/>
          <w:bCs/>
          <w:color w:val="auto"/>
          <w:sz w:val="22"/>
          <w:szCs w:val="22"/>
        </w:rPr>
        <w:t>Serious Adverse Events (SAEs)</w:t>
      </w:r>
      <w:bookmarkEnd w:id="10"/>
    </w:p>
    <w:p w14:paraId="013B68FA" w14:textId="30CB8C0A" w:rsidR="00154CE1" w:rsidRPr="00F41AC7" w:rsidRDefault="00154CE1" w:rsidP="00154CE1">
      <w:r w:rsidRPr="00F41AC7">
        <w:t xml:space="preserve">A serious adverse event (SAE) is any AE in the following situations, summarized in Table </w:t>
      </w:r>
      <w:r w:rsidR="00DF6814" w:rsidRPr="00F41AC7">
        <w:t>1</w:t>
      </w:r>
      <w:r w:rsidRPr="00F41AC7">
        <w:t xml:space="preserve">. </w:t>
      </w:r>
    </w:p>
    <w:p w14:paraId="5F36E901" w14:textId="77777777" w:rsidR="00154CE1" w:rsidRPr="00F41AC7" w:rsidRDefault="00154CE1" w:rsidP="00154CE1">
      <w:pPr>
        <w:pStyle w:val="Heading2"/>
        <w:rPr>
          <w:rFonts w:ascii="Arial" w:hAnsi="Arial" w:cs="Arial"/>
          <w:b/>
          <w:bCs/>
          <w:color w:val="auto"/>
          <w:sz w:val="22"/>
          <w:szCs w:val="22"/>
        </w:rPr>
      </w:pPr>
      <w:bookmarkStart w:id="11" w:name="_Toc84423896"/>
      <w:r w:rsidRPr="00F41AC7">
        <w:rPr>
          <w:rFonts w:ascii="Arial" w:hAnsi="Arial" w:cs="Arial"/>
          <w:b/>
          <w:bCs/>
          <w:color w:val="auto"/>
          <w:sz w:val="22"/>
          <w:szCs w:val="22"/>
        </w:rPr>
        <w:t>Collection of AEs/SAEs</w:t>
      </w:r>
      <w:bookmarkEnd w:id="11"/>
    </w:p>
    <w:p w14:paraId="5895AF51"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During each scheduled visit, ask about potential AEs or SAEs using the following standard questions: </w:t>
      </w:r>
    </w:p>
    <w:p w14:paraId="0173A792" w14:textId="77777777" w:rsidR="00154CE1" w:rsidRPr="00F41AC7" w:rsidRDefault="00154CE1" w:rsidP="00154CE1">
      <w:pPr>
        <w:pStyle w:val="Default"/>
        <w:numPr>
          <w:ilvl w:val="0"/>
          <w:numId w:val="1"/>
        </w:numPr>
        <w:spacing w:after="53"/>
        <w:rPr>
          <w:rFonts w:ascii="Arial" w:hAnsi="Arial" w:cs="Arial"/>
          <w:color w:val="auto"/>
          <w:sz w:val="22"/>
          <w:szCs w:val="22"/>
        </w:rPr>
      </w:pPr>
      <w:r w:rsidRPr="00F41AC7">
        <w:rPr>
          <w:rFonts w:ascii="Arial" w:hAnsi="Arial" w:cs="Arial"/>
          <w:color w:val="auto"/>
          <w:sz w:val="22"/>
          <w:szCs w:val="22"/>
        </w:rPr>
        <w:t xml:space="preserve">Have you had any medical problems since your last visit? </w:t>
      </w:r>
    </w:p>
    <w:p w14:paraId="4CF04A27" w14:textId="77777777" w:rsidR="00154CE1" w:rsidRPr="00F41AC7" w:rsidRDefault="00154CE1" w:rsidP="00154CE1">
      <w:pPr>
        <w:pStyle w:val="Default"/>
        <w:numPr>
          <w:ilvl w:val="0"/>
          <w:numId w:val="1"/>
        </w:numPr>
        <w:spacing w:after="53"/>
        <w:rPr>
          <w:rFonts w:ascii="Arial" w:hAnsi="Arial" w:cs="Arial"/>
          <w:color w:val="auto"/>
          <w:sz w:val="22"/>
          <w:szCs w:val="22"/>
        </w:rPr>
      </w:pPr>
      <w:r w:rsidRPr="00F41AC7">
        <w:rPr>
          <w:rFonts w:ascii="Arial" w:hAnsi="Arial" w:cs="Arial"/>
          <w:color w:val="auto"/>
          <w:sz w:val="22"/>
          <w:szCs w:val="22"/>
        </w:rPr>
        <w:t xml:space="preserve">Have you taken any new medications since your last visit? </w:t>
      </w:r>
    </w:p>
    <w:p w14:paraId="3959AA43" w14:textId="77777777" w:rsidR="00154CE1" w:rsidRPr="00F41AC7" w:rsidRDefault="00154CE1" w:rsidP="00154CE1">
      <w:pPr>
        <w:pStyle w:val="Default"/>
        <w:spacing w:after="53"/>
        <w:ind w:left="720"/>
        <w:rPr>
          <w:rFonts w:ascii="Arial" w:hAnsi="Arial" w:cs="Arial"/>
          <w:color w:val="auto"/>
          <w:sz w:val="22"/>
          <w:szCs w:val="22"/>
        </w:rPr>
      </w:pPr>
    </w:p>
    <w:p w14:paraId="3FE5A774" w14:textId="77777777" w:rsidR="00154CE1" w:rsidRPr="00F41AC7" w:rsidRDefault="00154CE1" w:rsidP="00154CE1">
      <w:pPr>
        <w:pStyle w:val="Heading2"/>
        <w:rPr>
          <w:rFonts w:ascii="Arial" w:hAnsi="Arial" w:cs="Arial"/>
          <w:b/>
          <w:bCs/>
          <w:color w:val="auto"/>
          <w:sz w:val="22"/>
          <w:szCs w:val="22"/>
        </w:rPr>
      </w:pPr>
      <w:bookmarkStart w:id="12" w:name="_Toc84423897"/>
      <w:r w:rsidRPr="00F41AC7">
        <w:rPr>
          <w:rFonts w:ascii="Arial" w:hAnsi="Arial" w:cs="Arial"/>
          <w:b/>
          <w:bCs/>
          <w:color w:val="auto"/>
          <w:sz w:val="22"/>
          <w:szCs w:val="22"/>
        </w:rPr>
        <w:t>Recording and Reporting AEs</w:t>
      </w:r>
      <w:bookmarkEnd w:id="12"/>
    </w:p>
    <w:p w14:paraId="6855E22F"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Events occurring between the Screening Visit and just prior to the first dose of the investigational product on Day 1 should be recorded in the Medical History eCRF unless the event is related to a protocol-mandated procedure. If the event is deemed related to a protocol-mandated procedure (e.g., hematoma at the puncture site) and deemed clinically significant by the Investigator, the event should be reported as an AE or an SAE (if applicable). </w:t>
      </w:r>
    </w:p>
    <w:p w14:paraId="41D30522" w14:textId="77777777" w:rsidR="00154CE1" w:rsidRPr="00F41AC7" w:rsidRDefault="00154CE1" w:rsidP="00154CE1">
      <w:pPr>
        <w:pStyle w:val="Default"/>
        <w:rPr>
          <w:rFonts w:ascii="Arial" w:hAnsi="Arial" w:cs="Arial"/>
          <w:color w:val="auto"/>
          <w:sz w:val="22"/>
          <w:szCs w:val="22"/>
        </w:rPr>
      </w:pPr>
    </w:p>
    <w:p w14:paraId="5778BDF2"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AEs will be documented from the first administration of the investigational product through the Follow-Up Visit. The Principal Investigator at each study site (CU and Mayo Clinic) will review all documentation (e.g., hospital progress notes, </w:t>
      </w:r>
      <w:proofErr w:type="gramStart"/>
      <w:r w:rsidRPr="00F41AC7">
        <w:rPr>
          <w:rFonts w:ascii="Arial" w:hAnsi="Arial" w:cs="Arial"/>
          <w:color w:val="auto"/>
          <w:sz w:val="22"/>
          <w:szCs w:val="22"/>
        </w:rPr>
        <w:t>laboratory</w:t>
      </w:r>
      <w:proofErr w:type="gramEnd"/>
      <w:r w:rsidRPr="00F41AC7">
        <w:rPr>
          <w:rFonts w:ascii="Arial" w:hAnsi="Arial" w:cs="Arial"/>
          <w:color w:val="auto"/>
          <w:sz w:val="22"/>
          <w:szCs w:val="22"/>
        </w:rPr>
        <w:t xml:space="preserve"> and diagnostic reports) relevant to the </w:t>
      </w:r>
      <w:r w:rsidRPr="00F41AC7">
        <w:rPr>
          <w:rFonts w:ascii="Arial" w:hAnsi="Arial" w:cs="Arial"/>
          <w:color w:val="auto"/>
          <w:sz w:val="22"/>
          <w:szCs w:val="22"/>
        </w:rPr>
        <w:lastRenderedPageBreak/>
        <w:t xml:space="preserve">event. A diagnosis will then be determined based on signs, symptoms, and/or other clinical information. The diagnosis and not the individual signs/symptoms should be reported as the AE term. </w:t>
      </w:r>
    </w:p>
    <w:p w14:paraId="4E1BC986" w14:textId="77777777" w:rsidR="00154CE1" w:rsidRPr="00F41AC7" w:rsidRDefault="00154CE1" w:rsidP="00154CE1">
      <w:pPr>
        <w:pStyle w:val="Default"/>
        <w:rPr>
          <w:rFonts w:ascii="Arial" w:hAnsi="Arial" w:cs="Arial"/>
          <w:color w:val="auto"/>
        </w:rPr>
      </w:pPr>
    </w:p>
    <w:p w14:paraId="1B0F0701"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ALS progression and signs/symptoms that are expected as part of ALS progression will not be collected as AEs unless they meet seriousness criteria and should be recorded as SAEs.</w:t>
      </w:r>
    </w:p>
    <w:p w14:paraId="2A8C655D" w14:textId="77777777" w:rsidR="00154CE1" w:rsidRPr="00F41AC7" w:rsidRDefault="00154CE1" w:rsidP="00154CE1">
      <w:pPr>
        <w:pStyle w:val="Default"/>
        <w:rPr>
          <w:rFonts w:ascii="Arial" w:hAnsi="Arial" w:cs="Arial"/>
          <w:color w:val="auto"/>
          <w:sz w:val="22"/>
          <w:szCs w:val="22"/>
        </w:rPr>
      </w:pPr>
    </w:p>
    <w:p w14:paraId="67197CDF" w14:textId="77777777" w:rsidR="00154CE1" w:rsidRPr="00F41AC7" w:rsidRDefault="00154CE1" w:rsidP="00154CE1">
      <w:pPr>
        <w:pStyle w:val="Heading2"/>
        <w:rPr>
          <w:rFonts w:ascii="Arial" w:hAnsi="Arial" w:cs="Arial"/>
          <w:b/>
          <w:bCs/>
          <w:color w:val="auto"/>
          <w:sz w:val="24"/>
          <w:szCs w:val="24"/>
        </w:rPr>
      </w:pPr>
      <w:bookmarkStart w:id="13" w:name="_Toc84423898"/>
      <w:r w:rsidRPr="00F41AC7">
        <w:rPr>
          <w:rFonts w:ascii="Arial" w:hAnsi="Arial" w:cs="Arial"/>
          <w:b/>
          <w:bCs/>
          <w:color w:val="auto"/>
          <w:sz w:val="24"/>
          <w:szCs w:val="24"/>
        </w:rPr>
        <w:t>Recording and Reporting SAEs</w:t>
      </w:r>
      <w:bookmarkEnd w:id="13"/>
    </w:p>
    <w:p w14:paraId="57D859EA" w14:textId="39EC5D83"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If an AE meets any of the seriousness criteria, it must be reported using the SAE report form </w:t>
      </w:r>
      <w:r w:rsidRPr="00F41AC7">
        <w:rPr>
          <w:rFonts w:ascii="Arial" w:hAnsi="Arial" w:cs="Arial"/>
          <w:b/>
          <w:bCs/>
          <w:color w:val="auto"/>
          <w:sz w:val="22"/>
          <w:szCs w:val="22"/>
        </w:rPr>
        <w:t>within 24 hours of the site’s knowledge to the Columbia University Study Center</w:t>
      </w:r>
      <w:r w:rsidRPr="00F41AC7">
        <w:rPr>
          <w:rFonts w:ascii="Arial" w:hAnsi="Arial" w:cs="Arial"/>
          <w:color w:val="auto"/>
          <w:sz w:val="22"/>
          <w:szCs w:val="22"/>
        </w:rPr>
        <w:t xml:space="preserve">. At a minimum, the following information should be included: </w:t>
      </w:r>
    </w:p>
    <w:p w14:paraId="21FE5D39" w14:textId="77777777" w:rsidR="00154CE1" w:rsidRPr="00F41AC7" w:rsidRDefault="00154CE1" w:rsidP="00154CE1">
      <w:pPr>
        <w:pStyle w:val="Default"/>
        <w:spacing w:after="67"/>
        <w:ind w:left="360"/>
        <w:rPr>
          <w:rFonts w:ascii="Arial" w:hAnsi="Arial" w:cs="Arial"/>
          <w:color w:val="auto"/>
          <w:sz w:val="22"/>
          <w:szCs w:val="22"/>
        </w:rPr>
      </w:pPr>
      <w:r w:rsidRPr="00F41AC7">
        <w:rPr>
          <w:rFonts w:ascii="Arial" w:hAnsi="Arial" w:cs="Arial"/>
          <w:color w:val="auto"/>
          <w:sz w:val="22"/>
          <w:szCs w:val="22"/>
        </w:rPr>
        <w:t xml:space="preserve">• Patient number </w:t>
      </w:r>
    </w:p>
    <w:p w14:paraId="364B06CF" w14:textId="77777777" w:rsidR="00154CE1" w:rsidRPr="00F41AC7" w:rsidRDefault="00154CE1" w:rsidP="00154CE1">
      <w:pPr>
        <w:pStyle w:val="Default"/>
        <w:spacing w:after="67"/>
        <w:ind w:left="360"/>
        <w:rPr>
          <w:rFonts w:ascii="Arial" w:hAnsi="Arial" w:cs="Arial"/>
          <w:color w:val="auto"/>
          <w:sz w:val="22"/>
          <w:szCs w:val="22"/>
        </w:rPr>
      </w:pPr>
      <w:r w:rsidRPr="00F41AC7">
        <w:rPr>
          <w:rFonts w:ascii="Arial" w:hAnsi="Arial" w:cs="Arial"/>
          <w:color w:val="auto"/>
          <w:sz w:val="22"/>
          <w:szCs w:val="22"/>
        </w:rPr>
        <w:t xml:space="preserve">• Event term, including an onset date and stop date, if applicable, and a brief description </w:t>
      </w:r>
    </w:p>
    <w:p w14:paraId="77510864" w14:textId="77777777" w:rsidR="00154CE1" w:rsidRPr="00F41AC7" w:rsidRDefault="00154CE1" w:rsidP="00154CE1">
      <w:pPr>
        <w:pStyle w:val="Default"/>
        <w:spacing w:after="67"/>
        <w:ind w:left="360"/>
        <w:rPr>
          <w:rFonts w:ascii="Arial" w:hAnsi="Arial" w:cs="Arial"/>
          <w:color w:val="auto"/>
          <w:sz w:val="22"/>
          <w:szCs w:val="22"/>
        </w:rPr>
      </w:pPr>
      <w:r w:rsidRPr="00F41AC7">
        <w:rPr>
          <w:rFonts w:ascii="Arial" w:hAnsi="Arial" w:cs="Arial"/>
          <w:color w:val="auto"/>
          <w:sz w:val="22"/>
          <w:szCs w:val="22"/>
        </w:rPr>
        <w:t xml:space="preserve">• Seriousness criterion/criteria </w:t>
      </w:r>
    </w:p>
    <w:p w14:paraId="7ABBD252" w14:textId="77777777" w:rsidR="00154CE1" w:rsidRPr="00F41AC7" w:rsidRDefault="00154CE1" w:rsidP="00154CE1">
      <w:pPr>
        <w:pStyle w:val="Default"/>
        <w:ind w:left="360"/>
        <w:rPr>
          <w:rFonts w:ascii="Arial" w:hAnsi="Arial" w:cs="Arial"/>
          <w:color w:val="auto"/>
          <w:sz w:val="22"/>
          <w:szCs w:val="22"/>
        </w:rPr>
      </w:pPr>
      <w:r w:rsidRPr="00F41AC7">
        <w:rPr>
          <w:rFonts w:ascii="Arial" w:hAnsi="Arial" w:cs="Arial"/>
          <w:color w:val="auto"/>
          <w:sz w:val="22"/>
          <w:szCs w:val="22"/>
        </w:rPr>
        <w:t xml:space="preserve">• Causality assessment in relation to the investigational product </w:t>
      </w:r>
    </w:p>
    <w:p w14:paraId="12808682" w14:textId="77777777" w:rsidR="00154CE1" w:rsidRPr="00F41AC7" w:rsidRDefault="00154CE1" w:rsidP="00154CE1">
      <w:pPr>
        <w:pStyle w:val="Default"/>
        <w:ind w:left="360"/>
        <w:rPr>
          <w:rFonts w:ascii="Arial" w:hAnsi="Arial" w:cs="Arial"/>
          <w:color w:val="auto"/>
          <w:sz w:val="23"/>
          <w:szCs w:val="23"/>
        </w:rPr>
      </w:pPr>
    </w:p>
    <w:p w14:paraId="67B4E04C" w14:textId="77777777" w:rsidR="00154CE1" w:rsidRPr="00F41AC7" w:rsidRDefault="00154CE1" w:rsidP="00154CE1">
      <w:r w:rsidRPr="00F41AC7">
        <w:rPr>
          <w:sz w:val="23"/>
          <w:szCs w:val="23"/>
        </w:rPr>
        <w:t xml:space="preserve">If all information regarding the SAE is not initially available, the sites (CU and Mayo Clinic study sites) should still report the SAE within 24 hours of awareness/discovery. Additional information should be reported when it becomes available and no later than 24 hours after receipt of such information. </w:t>
      </w:r>
    </w:p>
    <w:p w14:paraId="210DB0DB" w14:textId="77777777" w:rsidR="00154CE1" w:rsidRPr="00F41AC7" w:rsidRDefault="00154CE1" w:rsidP="00154CE1">
      <w:pPr>
        <w:pStyle w:val="NoSpacing"/>
        <w:tabs>
          <w:tab w:val="left" w:pos="3480"/>
        </w:tabs>
        <w:ind w:left="360"/>
        <w:rPr>
          <w:sz w:val="22"/>
          <w:szCs w:val="22"/>
        </w:rPr>
      </w:pPr>
    </w:p>
    <w:p w14:paraId="254694F5" w14:textId="77777777" w:rsidR="00154CE1" w:rsidRPr="00F41AC7" w:rsidRDefault="00154CE1" w:rsidP="00154CE1">
      <w:pPr>
        <w:pStyle w:val="NoSpacing"/>
        <w:rPr>
          <w:sz w:val="22"/>
          <w:szCs w:val="22"/>
        </w:rPr>
      </w:pPr>
      <w:r w:rsidRPr="00F41AC7">
        <w:rPr>
          <w:sz w:val="22"/>
          <w:szCs w:val="22"/>
        </w:rPr>
        <w:t>The Sponsor will be responsible for notifying the Food and Drug Administration (FDA) of any unexpected fatal or life-threatening suspected adverse reaction as soon as possible, but in no case later than 7 calendar days after the Sponsor's initial receipt of the information.  In addition, the Sponsor must notify FDA and all participating investigators in an Investigational New Drug (IND) safety report of potential serious risks, from clinical trials or any other source, as soon as possible, but in no case later than 15 calendar days after the sponsor determines that the information qualifies for reporting according to 21 CFR 312.32.</w:t>
      </w:r>
    </w:p>
    <w:p w14:paraId="1FCD34DA" w14:textId="77777777" w:rsidR="00154CE1" w:rsidRPr="00F41AC7" w:rsidRDefault="00154CE1" w:rsidP="00154CE1">
      <w:pPr>
        <w:pStyle w:val="NoSpacing"/>
        <w:rPr>
          <w:sz w:val="22"/>
          <w:szCs w:val="22"/>
        </w:rPr>
      </w:pPr>
    </w:p>
    <w:p w14:paraId="1E714B5D" w14:textId="77777777" w:rsidR="00154CE1" w:rsidRPr="00F41AC7" w:rsidRDefault="00154CE1" w:rsidP="00154CE1">
      <w:pPr>
        <w:pStyle w:val="Heading2"/>
        <w:rPr>
          <w:rFonts w:ascii="Arial" w:hAnsi="Arial" w:cs="Arial"/>
          <w:b/>
          <w:bCs/>
          <w:color w:val="auto"/>
          <w:sz w:val="22"/>
          <w:szCs w:val="22"/>
        </w:rPr>
      </w:pPr>
      <w:bookmarkStart w:id="14" w:name="_Toc84423899"/>
      <w:r w:rsidRPr="00F41AC7">
        <w:rPr>
          <w:rFonts w:ascii="Arial" w:hAnsi="Arial" w:cs="Arial"/>
          <w:b/>
          <w:bCs/>
          <w:color w:val="auto"/>
          <w:sz w:val="22"/>
          <w:szCs w:val="22"/>
        </w:rPr>
        <w:t>Evaluating AEs and SAEs</w:t>
      </w:r>
      <w:bookmarkEnd w:id="14"/>
    </w:p>
    <w:p w14:paraId="7B650327" w14:textId="77777777" w:rsidR="00154CE1" w:rsidRPr="00F41AC7" w:rsidRDefault="00154CE1" w:rsidP="00154CE1">
      <w:pPr>
        <w:pStyle w:val="Heading3"/>
        <w:rPr>
          <w:rFonts w:ascii="Arial" w:hAnsi="Arial" w:cs="Arial"/>
          <w:color w:val="auto"/>
          <w:sz w:val="22"/>
          <w:szCs w:val="22"/>
        </w:rPr>
      </w:pPr>
      <w:bookmarkStart w:id="15" w:name="_Toc84423900"/>
      <w:r w:rsidRPr="00F41AC7">
        <w:rPr>
          <w:rFonts w:ascii="Arial" w:hAnsi="Arial" w:cs="Arial"/>
          <w:color w:val="auto"/>
          <w:sz w:val="22"/>
          <w:szCs w:val="22"/>
        </w:rPr>
        <w:t>Assessment of Severity</w:t>
      </w:r>
      <w:bookmarkEnd w:id="15"/>
    </w:p>
    <w:p w14:paraId="6D36DD3C"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The Investigator should assess the severity of each AE/SAE. The severity of AEs/SAEs will be assessed by assigning a Grade of 1, 2, 3, 4 or 5 according to the National Cancer Institute </w:t>
      </w:r>
      <w:bookmarkStart w:id="16" w:name="_Hlk61611780"/>
      <w:r w:rsidRPr="00F41AC7">
        <w:rPr>
          <w:rFonts w:ascii="Arial" w:hAnsi="Arial" w:cs="Arial"/>
          <w:color w:val="auto"/>
          <w:sz w:val="22"/>
          <w:szCs w:val="22"/>
        </w:rPr>
        <w:t>Common Terminology Criteria for Adverse Events (CTCAE),</w:t>
      </w:r>
      <w:bookmarkEnd w:id="16"/>
      <w:r w:rsidRPr="00F41AC7">
        <w:rPr>
          <w:rFonts w:ascii="Arial" w:hAnsi="Arial" w:cs="Arial"/>
          <w:color w:val="auto"/>
          <w:sz w:val="22"/>
          <w:szCs w:val="22"/>
        </w:rPr>
        <w:t xml:space="preserve"> version 6.0. (</w:t>
      </w:r>
      <w:hyperlink r:id="rId7" w:anchor="ctc_60" w:history="1">
        <w:r w:rsidRPr="00F41AC7">
          <w:rPr>
            <w:rStyle w:val="Hyperlink"/>
            <w:rFonts w:ascii="Arial" w:hAnsi="Arial" w:cs="Arial"/>
            <w:color w:val="auto"/>
            <w:sz w:val="22"/>
            <w:szCs w:val="22"/>
          </w:rPr>
          <w:t>https://ctep.cancer.gov/protocoldevelopment/electronic_applications/ctc.htm#ctc_60</w:t>
        </w:r>
      </w:hyperlink>
      <w:r w:rsidRPr="00F41AC7">
        <w:rPr>
          <w:rFonts w:ascii="Arial" w:hAnsi="Arial" w:cs="Arial"/>
          <w:color w:val="auto"/>
          <w:sz w:val="22"/>
          <w:szCs w:val="22"/>
        </w:rPr>
        <w:t xml:space="preserve"> )</w:t>
      </w:r>
    </w:p>
    <w:p w14:paraId="6CD2408E" w14:textId="77777777" w:rsidR="00154CE1" w:rsidRPr="00F41AC7" w:rsidRDefault="00154CE1" w:rsidP="00154CE1">
      <w:pPr>
        <w:pStyle w:val="Default"/>
        <w:tabs>
          <w:tab w:val="left" w:pos="3420"/>
        </w:tabs>
        <w:ind w:left="360"/>
        <w:rPr>
          <w:rFonts w:ascii="Arial" w:hAnsi="Arial" w:cs="Arial"/>
          <w:color w:val="auto"/>
          <w:sz w:val="22"/>
          <w:szCs w:val="22"/>
        </w:rPr>
      </w:pPr>
    </w:p>
    <w:p w14:paraId="590367DE" w14:textId="77777777" w:rsidR="00154CE1" w:rsidRPr="00F41AC7" w:rsidRDefault="00154CE1" w:rsidP="00154CE1">
      <w:pPr>
        <w:pStyle w:val="Heading3"/>
        <w:rPr>
          <w:rFonts w:ascii="Arial" w:hAnsi="Arial" w:cs="Arial"/>
          <w:b/>
          <w:bCs/>
          <w:color w:val="auto"/>
          <w:sz w:val="22"/>
          <w:szCs w:val="22"/>
        </w:rPr>
      </w:pPr>
      <w:bookmarkStart w:id="17" w:name="_Toc84423901"/>
      <w:r w:rsidRPr="00F41AC7">
        <w:rPr>
          <w:rFonts w:ascii="Arial" w:hAnsi="Arial" w:cs="Arial"/>
          <w:b/>
          <w:bCs/>
          <w:color w:val="auto"/>
          <w:sz w:val="22"/>
          <w:szCs w:val="22"/>
        </w:rPr>
        <w:t>Assessment of Causality</w:t>
      </w:r>
      <w:bookmarkEnd w:id="17"/>
    </w:p>
    <w:p w14:paraId="72B49938" w14:textId="1AFA51A8"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The Investigator will assign causality to each SAE (related or unrelated). When assessing the relationship to the study drug, the Investigator will consider the following factors listed in </w:t>
      </w:r>
      <w:r w:rsidRPr="00F41AC7">
        <w:rPr>
          <w:rFonts w:ascii="Arial" w:hAnsi="Arial" w:cs="Arial"/>
          <w:b/>
          <w:bCs/>
          <w:color w:val="auto"/>
          <w:sz w:val="22"/>
          <w:szCs w:val="22"/>
        </w:rPr>
        <w:t xml:space="preserve">Table </w:t>
      </w:r>
      <w:r w:rsidR="00DF6814" w:rsidRPr="00F41AC7">
        <w:rPr>
          <w:rFonts w:ascii="Arial" w:hAnsi="Arial" w:cs="Arial"/>
          <w:b/>
          <w:bCs/>
          <w:color w:val="auto"/>
          <w:sz w:val="22"/>
          <w:szCs w:val="22"/>
        </w:rPr>
        <w:t>2</w:t>
      </w:r>
      <w:r w:rsidRPr="00F41AC7">
        <w:rPr>
          <w:rFonts w:ascii="Arial" w:hAnsi="Arial" w:cs="Arial"/>
          <w:color w:val="auto"/>
          <w:sz w:val="22"/>
          <w:szCs w:val="22"/>
        </w:rPr>
        <w:t xml:space="preserve">.  </w:t>
      </w:r>
    </w:p>
    <w:p w14:paraId="1566F6ED" w14:textId="77777777" w:rsidR="00154CE1" w:rsidRPr="00F41AC7" w:rsidRDefault="00154CE1" w:rsidP="00154CE1">
      <w:pPr>
        <w:pStyle w:val="Default"/>
        <w:rPr>
          <w:rFonts w:ascii="Arial" w:hAnsi="Arial" w:cs="Arial"/>
          <w:color w:val="auto"/>
          <w:sz w:val="22"/>
          <w:szCs w:val="22"/>
        </w:rPr>
      </w:pPr>
    </w:p>
    <w:p w14:paraId="2A1BA60F" w14:textId="77777777" w:rsidR="00154CE1" w:rsidRPr="00F41AC7" w:rsidRDefault="00154CE1" w:rsidP="00154CE1">
      <w:pPr>
        <w:pStyle w:val="Heading3"/>
        <w:rPr>
          <w:rFonts w:ascii="Arial" w:hAnsi="Arial" w:cs="Arial"/>
          <w:b/>
          <w:bCs/>
          <w:color w:val="auto"/>
          <w:sz w:val="22"/>
          <w:szCs w:val="22"/>
        </w:rPr>
      </w:pPr>
      <w:bookmarkStart w:id="18" w:name="_Toc84423902"/>
      <w:r w:rsidRPr="00F41AC7">
        <w:rPr>
          <w:rFonts w:ascii="Arial" w:hAnsi="Arial" w:cs="Arial"/>
          <w:b/>
          <w:bCs/>
          <w:color w:val="auto"/>
          <w:sz w:val="22"/>
          <w:szCs w:val="22"/>
        </w:rPr>
        <w:t>Assessment of Expectedness</w:t>
      </w:r>
      <w:bookmarkEnd w:id="18"/>
    </w:p>
    <w:p w14:paraId="01BE5DA0" w14:textId="057303A2"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ALS is a progressive and uniformly fatal neurodegenerative disorder associated with relentlessly progressive loss of motor function, including appendicular, </w:t>
      </w:r>
      <w:proofErr w:type="spellStart"/>
      <w:r w:rsidRPr="00F41AC7">
        <w:rPr>
          <w:rFonts w:ascii="Arial" w:hAnsi="Arial" w:cs="Arial"/>
          <w:color w:val="auto"/>
          <w:sz w:val="22"/>
          <w:szCs w:val="22"/>
        </w:rPr>
        <w:t>craniobulbar</w:t>
      </w:r>
      <w:proofErr w:type="spellEnd"/>
      <w:r w:rsidRPr="00F41AC7">
        <w:rPr>
          <w:rFonts w:ascii="Arial" w:hAnsi="Arial" w:cs="Arial"/>
          <w:color w:val="auto"/>
          <w:sz w:val="22"/>
          <w:szCs w:val="22"/>
        </w:rPr>
        <w:t>, and respiratory function due to the degeneration of the upper and lower motor neurons that control and innervate the voluntary skeletal muscles. In addition to death due to ALS progression, some medical events are anticipated to occur in the study population as signs/symptoms of ALS progression, which may or may not lead to hospitalization (</w:t>
      </w:r>
      <w:r w:rsidRPr="00F41AC7">
        <w:rPr>
          <w:rFonts w:ascii="Arial" w:hAnsi="Arial" w:cs="Arial"/>
          <w:b/>
          <w:color w:val="auto"/>
          <w:sz w:val="22"/>
          <w:szCs w:val="22"/>
        </w:rPr>
        <w:t xml:space="preserve">Table </w:t>
      </w:r>
      <w:r w:rsidR="00DF6814" w:rsidRPr="00F41AC7">
        <w:rPr>
          <w:rFonts w:ascii="Arial" w:hAnsi="Arial" w:cs="Arial"/>
          <w:b/>
          <w:color w:val="auto"/>
          <w:sz w:val="22"/>
          <w:szCs w:val="22"/>
        </w:rPr>
        <w:t>2</w:t>
      </w:r>
      <w:r w:rsidRPr="00F41AC7">
        <w:rPr>
          <w:rFonts w:ascii="Arial" w:hAnsi="Arial" w:cs="Arial"/>
          <w:color w:val="auto"/>
          <w:sz w:val="22"/>
          <w:szCs w:val="22"/>
        </w:rPr>
        <w:t>). (</w:t>
      </w:r>
      <w:hyperlink r:id="rId8" w:history="1">
        <w:r w:rsidRPr="00F41AC7">
          <w:rPr>
            <w:rStyle w:val="Hyperlink"/>
            <w:rFonts w:ascii="Arial" w:hAnsi="Arial" w:cs="Arial"/>
            <w:color w:val="auto"/>
            <w:sz w:val="22"/>
            <w:szCs w:val="22"/>
          </w:rPr>
          <w:t>https://www.ich.org/page/meddra</w:t>
        </w:r>
      </w:hyperlink>
      <w:r w:rsidRPr="00F41AC7">
        <w:rPr>
          <w:rFonts w:ascii="Arial" w:hAnsi="Arial" w:cs="Arial"/>
          <w:color w:val="auto"/>
          <w:sz w:val="22"/>
          <w:szCs w:val="22"/>
        </w:rPr>
        <w:t>)</w:t>
      </w:r>
    </w:p>
    <w:p w14:paraId="7F1A843C" w14:textId="77777777" w:rsidR="00154CE1" w:rsidRPr="00F41AC7" w:rsidRDefault="00154CE1" w:rsidP="00154CE1">
      <w:pPr>
        <w:pStyle w:val="Default"/>
        <w:rPr>
          <w:rFonts w:ascii="Arial" w:hAnsi="Arial" w:cs="Arial"/>
          <w:color w:val="auto"/>
          <w:sz w:val="22"/>
          <w:szCs w:val="22"/>
        </w:rPr>
      </w:pPr>
    </w:p>
    <w:p w14:paraId="374FEC15" w14:textId="77777777" w:rsidR="00154CE1" w:rsidRPr="00F41AC7" w:rsidRDefault="00154CE1" w:rsidP="00154CE1">
      <w:pPr>
        <w:pStyle w:val="Heading2"/>
        <w:rPr>
          <w:rFonts w:ascii="Arial" w:hAnsi="Arial" w:cs="Arial"/>
          <w:b/>
          <w:bCs/>
          <w:color w:val="auto"/>
          <w:sz w:val="22"/>
          <w:szCs w:val="22"/>
        </w:rPr>
      </w:pPr>
      <w:bookmarkStart w:id="19" w:name="_Toc84423903"/>
      <w:r w:rsidRPr="00F41AC7">
        <w:rPr>
          <w:rFonts w:ascii="Arial" w:hAnsi="Arial" w:cs="Arial"/>
          <w:b/>
          <w:bCs/>
          <w:color w:val="auto"/>
          <w:sz w:val="22"/>
          <w:szCs w:val="22"/>
        </w:rPr>
        <w:t>Follow-up of AEs and SAEs</w:t>
      </w:r>
      <w:bookmarkEnd w:id="19"/>
    </w:p>
    <w:p w14:paraId="1020BCF8"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After the initial recording of an AE/SAE, the Investigator should proactively follow the participant. Non-serious AEs that are still ongoing at the end of the study should be reviewed by the Investigator to determine if further follow-up is required. The Investigator will document on the AE eCRF any/all ongoing non-serious AEs following study termination. If in doubt, the Investigator should consult the Medical Monitor. </w:t>
      </w:r>
    </w:p>
    <w:p w14:paraId="52FE39AE" w14:textId="77777777" w:rsidR="00154CE1" w:rsidRPr="00F41AC7" w:rsidRDefault="00154CE1" w:rsidP="00154CE1">
      <w:pPr>
        <w:pStyle w:val="Default"/>
        <w:rPr>
          <w:rFonts w:ascii="Arial" w:hAnsi="Arial" w:cs="Arial"/>
          <w:color w:val="auto"/>
          <w:sz w:val="22"/>
          <w:szCs w:val="22"/>
        </w:rPr>
      </w:pPr>
    </w:p>
    <w:p w14:paraId="7DF79BE7"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All SAEs should be followed until resolution, the condition stabilizes, or until the participant is lost to follow-up. Once the seriousness criterion no longer applies to the SAE (e.g., participant was discharged), the corresponding AE eCRF page should be updated. All relevant additional information collected regarding an SAE, including laboratory test reports, consultation reports from other health care professionals, discharge summaries, or other information should be transmitted to CU Study Center with the follow-up SAE report form </w:t>
      </w:r>
      <w:r w:rsidRPr="00F41AC7">
        <w:rPr>
          <w:rFonts w:ascii="Arial" w:hAnsi="Arial" w:cs="Arial"/>
          <w:b/>
          <w:bCs/>
          <w:color w:val="auto"/>
          <w:sz w:val="22"/>
          <w:szCs w:val="22"/>
        </w:rPr>
        <w:t>within 24 hours of receipt or awareness</w:t>
      </w:r>
      <w:r w:rsidRPr="00F41AC7">
        <w:rPr>
          <w:rFonts w:ascii="Arial" w:hAnsi="Arial" w:cs="Arial"/>
          <w:color w:val="auto"/>
          <w:sz w:val="22"/>
          <w:szCs w:val="22"/>
        </w:rPr>
        <w:t xml:space="preserve">. </w:t>
      </w:r>
    </w:p>
    <w:p w14:paraId="1F24E900" w14:textId="77777777" w:rsidR="00154CE1" w:rsidRPr="00F41AC7" w:rsidRDefault="00154CE1" w:rsidP="00154CE1">
      <w:pPr>
        <w:pStyle w:val="Default"/>
        <w:rPr>
          <w:rFonts w:ascii="Arial" w:hAnsi="Arial" w:cs="Arial"/>
          <w:color w:val="auto"/>
          <w:sz w:val="22"/>
          <w:szCs w:val="22"/>
        </w:rPr>
      </w:pPr>
    </w:p>
    <w:p w14:paraId="660B770B"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The CU Study Center may request the Co-PI (Dr. Oskarsson, Mayo Clinic) to perform or arrange for the conduct of supplemental measurements and/or evaluations to elucidate as fully as possible the nature and/or causality of any AE/SAE. </w:t>
      </w:r>
    </w:p>
    <w:p w14:paraId="60E2DD3A" w14:textId="77777777" w:rsidR="00154CE1" w:rsidRPr="00F41AC7" w:rsidRDefault="00154CE1" w:rsidP="00154CE1"/>
    <w:p w14:paraId="7A4DDA0D" w14:textId="77777777" w:rsidR="00154CE1" w:rsidRPr="00F41AC7" w:rsidRDefault="00154CE1" w:rsidP="00154CE1">
      <w:r w:rsidRPr="00F41AC7">
        <w:t>If a participant dies during the study or during the follow-up period, Dr. Oskarsson, Co-PI will provide CU Study Center with a copy of any post-mortem findings, including an autopsy report if obtainable.</w:t>
      </w:r>
    </w:p>
    <w:p w14:paraId="17B318B7" w14:textId="77777777" w:rsidR="00154CE1" w:rsidRPr="00F41AC7" w:rsidRDefault="00154CE1" w:rsidP="00154CE1"/>
    <w:p w14:paraId="4CC7DED9" w14:textId="77777777" w:rsidR="00154CE1" w:rsidRPr="00F41AC7" w:rsidRDefault="00154CE1" w:rsidP="00154CE1">
      <w:pPr>
        <w:pStyle w:val="Heading2"/>
        <w:rPr>
          <w:rFonts w:ascii="Arial" w:hAnsi="Arial" w:cs="Arial"/>
          <w:b/>
          <w:bCs/>
          <w:color w:val="auto"/>
          <w:sz w:val="22"/>
          <w:szCs w:val="22"/>
        </w:rPr>
      </w:pPr>
      <w:bookmarkStart w:id="20" w:name="_Toc84423904"/>
      <w:r w:rsidRPr="00F41AC7">
        <w:rPr>
          <w:rFonts w:ascii="Arial" w:hAnsi="Arial" w:cs="Arial"/>
          <w:b/>
          <w:bCs/>
          <w:color w:val="auto"/>
          <w:sz w:val="22"/>
          <w:szCs w:val="22"/>
        </w:rPr>
        <w:t>Post-study AEs and SAEs</w:t>
      </w:r>
      <w:bookmarkEnd w:id="20"/>
    </w:p>
    <w:p w14:paraId="2ABD17C8" w14:textId="77777777" w:rsidR="00154CE1" w:rsidRPr="00F41AC7" w:rsidRDefault="00154CE1" w:rsidP="00154CE1">
      <w:pPr>
        <w:pStyle w:val="Default"/>
        <w:rPr>
          <w:rFonts w:ascii="Arial" w:hAnsi="Arial" w:cs="Arial"/>
          <w:color w:val="auto"/>
        </w:rPr>
      </w:pPr>
      <w:r w:rsidRPr="00F41AC7">
        <w:rPr>
          <w:rFonts w:ascii="Arial" w:hAnsi="Arial" w:cs="Arial"/>
          <w:color w:val="auto"/>
          <w:sz w:val="22"/>
          <w:szCs w:val="22"/>
        </w:rPr>
        <w:t xml:space="preserve">A post-study AE/SAE is defined as any event that occurs outside of the AE detection period (after the final follow-up date). </w:t>
      </w:r>
      <w:r w:rsidRPr="00F41AC7">
        <w:rPr>
          <w:rFonts w:ascii="Arial" w:hAnsi="Arial" w:cs="Arial"/>
          <w:color w:val="auto"/>
        </w:rPr>
        <w:t>Investigators are not obligated to actively solicit AEs from former study participants. However, if the Investigator learns of an SAE that he/she considers reasonably related to the investigational product at any time after a participant has been terminated from the study, the Investigator will promptly notify CU Study Center.</w:t>
      </w:r>
    </w:p>
    <w:p w14:paraId="33460B2E" w14:textId="77777777" w:rsidR="00154CE1" w:rsidRPr="00F41AC7" w:rsidRDefault="00154CE1" w:rsidP="00154CE1">
      <w:pPr>
        <w:pStyle w:val="Default"/>
        <w:rPr>
          <w:rFonts w:ascii="Arial" w:hAnsi="Arial" w:cs="Arial"/>
          <w:color w:val="auto"/>
          <w:sz w:val="22"/>
          <w:szCs w:val="22"/>
        </w:rPr>
      </w:pPr>
    </w:p>
    <w:p w14:paraId="2127AE0B" w14:textId="77777777" w:rsidR="00154CE1" w:rsidRPr="00F41AC7" w:rsidRDefault="00154CE1" w:rsidP="00154CE1">
      <w:pPr>
        <w:pStyle w:val="Heading2"/>
        <w:rPr>
          <w:rFonts w:ascii="Arial" w:hAnsi="Arial" w:cs="Arial"/>
          <w:b/>
          <w:bCs/>
          <w:color w:val="auto"/>
          <w:sz w:val="22"/>
          <w:szCs w:val="22"/>
        </w:rPr>
      </w:pPr>
      <w:bookmarkStart w:id="21" w:name="_Toc84423905"/>
      <w:r w:rsidRPr="00F41AC7">
        <w:rPr>
          <w:rFonts w:ascii="Arial" w:hAnsi="Arial" w:cs="Arial"/>
          <w:b/>
          <w:bCs/>
          <w:color w:val="auto"/>
          <w:sz w:val="22"/>
          <w:szCs w:val="22"/>
        </w:rPr>
        <w:t>Pregnancy</w:t>
      </w:r>
      <w:bookmarkEnd w:id="21"/>
    </w:p>
    <w:p w14:paraId="0A4C96AB" w14:textId="77777777" w:rsidR="00154CE1" w:rsidRPr="00F41AC7" w:rsidRDefault="00154CE1" w:rsidP="00154CE1">
      <w:pPr>
        <w:pStyle w:val="Default"/>
        <w:rPr>
          <w:rFonts w:ascii="Arial" w:hAnsi="Arial" w:cs="Arial"/>
          <w:color w:val="auto"/>
          <w:sz w:val="22"/>
          <w:szCs w:val="22"/>
        </w:rPr>
      </w:pPr>
      <w:r w:rsidRPr="00F41AC7">
        <w:rPr>
          <w:rFonts w:ascii="Arial" w:hAnsi="Arial" w:cs="Arial"/>
          <w:color w:val="auto"/>
          <w:sz w:val="22"/>
          <w:szCs w:val="22"/>
        </w:rPr>
        <w:t xml:space="preserve">Pregnancy is not an AE; however, information on pregnant, female participants and partners of male participants will be collected if the pregnancy occurs after the participant receives the first dose of the investigational product until 10 weeks after the last dose. The pregnancy information and its outcome will be collected using the Pregnancy Report Form. If the pregnancy occurs in a partner of a male participant, the partner’s consent will be obtained before collecting information regarding the pregnancy and its outcome. Any female participant who becomes pregnant during the study is not eligible to continue the study and should complete the study procedures as soon as possible. If a partner of a male patient becomes pregnant during the study, the male participant may opt to continue his participation but must use a barrier method (condom) to prevent fetal exposure. </w:t>
      </w:r>
    </w:p>
    <w:p w14:paraId="373CDA37" w14:textId="77777777" w:rsidR="00154CE1" w:rsidRPr="00F41AC7" w:rsidRDefault="00154CE1" w:rsidP="00154CE1">
      <w:pPr>
        <w:pStyle w:val="Default"/>
        <w:rPr>
          <w:rFonts w:ascii="Arial" w:hAnsi="Arial" w:cs="Arial"/>
          <w:color w:val="auto"/>
          <w:sz w:val="22"/>
          <w:szCs w:val="22"/>
        </w:rPr>
      </w:pPr>
    </w:p>
    <w:p w14:paraId="348C3D62" w14:textId="77777777" w:rsidR="00154CE1" w:rsidRPr="00F41AC7" w:rsidRDefault="00154CE1" w:rsidP="00154CE1">
      <w:pPr>
        <w:pStyle w:val="Heading2"/>
        <w:rPr>
          <w:rFonts w:ascii="Arial" w:hAnsi="Arial" w:cs="Arial"/>
          <w:b/>
          <w:bCs/>
          <w:color w:val="auto"/>
          <w:sz w:val="22"/>
          <w:szCs w:val="22"/>
        </w:rPr>
      </w:pPr>
      <w:bookmarkStart w:id="22" w:name="_Toc84423906"/>
      <w:r w:rsidRPr="00F41AC7">
        <w:rPr>
          <w:rFonts w:ascii="Arial" w:hAnsi="Arial" w:cs="Arial"/>
          <w:b/>
          <w:bCs/>
          <w:color w:val="auto"/>
          <w:sz w:val="22"/>
          <w:szCs w:val="22"/>
        </w:rPr>
        <w:t>Unanticipated Problems (UPs)</w:t>
      </w:r>
      <w:bookmarkEnd w:id="22"/>
    </w:p>
    <w:p w14:paraId="031BA46F" w14:textId="367FB778" w:rsidR="00154CE1" w:rsidRPr="00F41AC7" w:rsidRDefault="00154CE1" w:rsidP="00154CE1">
      <w:r w:rsidRPr="00F41AC7">
        <w:t xml:space="preserve">The Office for Human Research Protections (OHRP) considers unanticipated problems involving risks to participants or others to include, in general, any incident, experience, or outcome that meets all of the following criteria summarized in </w:t>
      </w:r>
      <w:r w:rsidRPr="00F41AC7">
        <w:rPr>
          <w:b/>
          <w:bCs/>
        </w:rPr>
        <w:t xml:space="preserve">Table </w:t>
      </w:r>
      <w:r w:rsidR="00E52F9A" w:rsidRPr="00F41AC7">
        <w:rPr>
          <w:b/>
          <w:bCs/>
        </w:rPr>
        <w:t>3</w:t>
      </w:r>
      <w:r w:rsidRPr="00F41AC7">
        <w:t>).</w:t>
      </w:r>
    </w:p>
    <w:p w14:paraId="567FE2E8" w14:textId="77777777" w:rsidR="00154CE1" w:rsidRPr="00F41AC7" w:rsidRDefault="00154CE1" w:rsidP="00154CE1">
      <w:pPr>
        <w:pStyle w:val="NoSpacing"/>
        <w:rPr>
          <w:sz w:val="22"/>
          <w:szCs w:val="22"/>
        </w:rPr>
      </w:pPr>
    </w:p>
    <w:p w14:paraId="0330BB0D" w14:textId="401D8D6D" w:rsidR="00154CE1" w:rsidRPr="00F41AC7" w:rsidRDefault="00154CE1" w:rsidP="00154CE1">
      <w:pPr>
        <w:pStyle w:val="NoSpacing"/>
        <w:rPr>
          <w:sz w:val="22"/>
          <w:szCs w:val="22"/>
        </w:rPr>
      </w:pPr>
      <w:r w:rsidRPr="00F41AC7">
        <w:rPr>
          <w:sz w:val="22"/>
          <w:szCs w:val="22"/>
        </w:rPr>
        <w:lastRenderedPageBreak/>
        <w:t xml:space="preserve">The Investigator will report UPs to the Data Coordinating Center (DCC)/Sponsor using research electronic data capture system (REDCap). The UP report will include the following information (see </w:t>
      </w:r>
      <w:r w:rsidRPr="00F41AC7">
        <w:rPr>
          <w:b/>
          <w:bCs/>
          <w:sz w:val="22"/>
          <w:szCs w:val="22"/>
        </w:rPr>
        <w:t xml:space="preserve">Table </w:t>
      </w:r>
      <w:r w:rsidR="00E52F9A" w:rsidRPr="00F41AC7">
        <w:rPr>
          <w:b/>
          <w:bCs/>
          <w:sz w:val="22"/>
          <w:szCs w:val="22"/>
        </w:rPr>
        <w:t>3</w:t>
      </w:r>
      <w:r w:rsidRPr="00F41AC7">
        <w:rPr>
          <w:sz w:val="22"/>
          <w:szCs w:val="22"/>
        </w:rPr>
        <w:t xml:space="preserve">). To satisfy the requirement for prompt reporting, UPs will be reported using the following timeline outlined in </w:t>
      </w:r>
      <w:r w:rsidRPr="00F41AC7">
        <w:rPr>
          <w:b/>
          <w:bCs/>
          <w:sz w:val="22"/>
          <w:szCs w:val="22"/>
        </w:rPr>
        <w:t>Table</w:t>
      </w:r>
      <w:r w:rsidR="00E52F9A" w:rsidRPr="00F41AC7">
        <w:rPr>
          <w:b/>
          <w:bCs/>
          <w:sz w:val="22"/>
          <w:szCs w:val="22"/>
        </w:rPr>
        <w:t xml:space="preserve"> 3</w:t>
      </w:r>
      <w:r w:rsidRPr="00F41AC7">
        <w:rPr>
          <w:sz w:val="22"/>
          <w:szCs w:val="22"/>
        </w:rPr>
        <w:t xml:space="preserve">.   </w:t>
      </w:r>
    </w:p>
    <w:p w14:paraId="7F8480E4" w14:textId="77777777" w:rsidR="00154CE1" w:rsidRPr="00F41AC7" w:rsidRDefault="00154CE1" w:rsidP="00154CE1">
      <w:pPr>
        <w:pStyle w:val="Heading2"/>
        <w:rPr>
          <w:rFonts w:ascii="Arial" w:hAnsi="Arial" w:cs="Arial"/>
          <w:b/>
          <w:bCs/>
          <w:color w:val="auto"/>
          <w:sz w:val="21"/>
          <w:szCs w:val="21"/>
        </w:rPr>
      </w:pPr>
    </w:p>
    <w:p w14:paraId="5375E78E" w14:textId="77777777" w:rsidR="00154CE1" w:rsidRPr="00F41AC7" w:rsidRDefault="00154CE1" w:rsidP="00154CE1">
      <w:pPr>
        <w:pStyle w:val="Heading2"/>
        <w:rPr>
          <w:rFonts w:ascii="Arial" w:hAnsi="Arial" w:cs="Arial"/>
          <w:b/>
          <w:bCs/>
          <w:color w:val="auto"/>
          <w:sz w:val="22"/>
          <w:szCs w:val="22"/>
        </w:rPr>
      </w:pPr>
      <w:bookmarkStart w:id="23" w:name="_Toc84423882"/>
      <w:bookmarkStart w:id="24" w:name="_Hlk115517325"/>
      <w:bookmarkStart w:id="25" w:name="_Toc99437782"/>
      <w:r w:rsidRPr="00F41AC7">
        <w:rPr>
          <w:rFonts w:ascii="Arial" w:hAnsi="Arial" w:cs="Arial"/>
          <w:b/>
          <w:bCs/>
          <w:color w:val="auto"/>
          <w:sz w:val="22"/>
          <w:szCs w:val="22"/>
        </w:rPr>
        <w:t>Removal of Patients from Study Participation</w:t>
      </w:r>
      <w:bookmarkEnd w:id="23"/>
    </w:p>
    <w:bookmarkEnd w:id="24"/>
    <w:p w14:paraId="6D410B26" w14:textId="268830A5" w:rsidR="00154CE1" w:rsidRPr="00F41AC7" w:rsidRDefault="00154CE1" w:rsidP="00154CE1">
      <w:r w:rsidRPr="00F41AC7">
        <w:t>Patients will be informed that they are free to discontinue the study drug or withdraw from the study at any time and for any reason. The Investigator may discontinue the study drug or withdraw a patient from the study if they believe it is not in the best interest of the patient to continue the study. Patients may discontinue the study drug or withdraw from the study due to the following (</w:t>
      </w:r>
      <w:r w:rsidRPr="00F41AC7">
        <w:rPr>
          <w:b/>
          <w:bCs/>
        </w:rPr>
        <w:t xml:space="preserve">Table </w:t>
      </w:r>
      <w:r w:rsidR="00E52F9A" w:rsidRPr="00F41AC7">
        <w:rPr>
          <w:b/>
          <w:bCs/>
        </w:rPr>
        <w:t>4</w:t>
      </w:r>
      <w:r w:rsidRPr="00F41AC7">
        <w:t xml:space="preserve">). </w:t>
      </w:r>
    </w:p>
    <w:p w14:paraId="7355A577" w14:textId="77777777" w:rsidR="00154CE1" w:rsidRPr="00F41AC7" w:rsidRDefault="00154CE1" w:rsidP="00154CE1"/>
    <w:p w14:paraId="37B9BF64" w14:textId="70DAC642" w:rsidR="00154CE1" w:rsidRPr="00F41AC7" w:rsidRDefault="00154CE1" w:rsidP="00154CE1">
      <w:r w:rsidRPr="00F41AC7">
        <w:t>Participants should be strongly encouraged to perform the early termination visit as soon as possible following the last dose of study drug. The Follow-Up Visit should be performed 14 days after this last dose. Otherwise, patients will be followed by phone. In addition, they should be encouraged to return all remaining study assessments (with the exception of the 12-lead ECG, clinical laboratory) for the duration of the study following drug discontinuation. These remaining study visits should be performed according to the original study visit windows. Participants, who decide to start or stop edaravone or riluzole after screening and before randomization, will no longer be eligible for the study and should not be followed. If a participant decides to start edaravone or riluzole after randomization, they will be terminated from the study by the site. They should return to the clinic for their early drug termination visit as soon as possible following the last dose of the study drug and return 14 days after the last dose for the Follow-Up Visit. They will not be followed thereafter. For participants who terminate early from the study and do not want to return to the clinic for the visits described above, the evaluators will call the participants to collect the information over the phone if the participant is willing. The PI (Dr. Mitsumoto) and Co-PI (Dr. Oskarsson) will be immediately notified of any participant discontinuation. In case of withdrawal of study participation, efforts will be made to perform Early Termination</w:t>
      </w:r>
      <w:r w:rsidR="005454A2" w:rsidRPr="00F41AC7">
        <w:t xml:space="preserve"> an</w:t>
      </w:r>
      <w:r w:rsidRPr="00F41AC7">
        <w:t xml:space="preserve">d Follow-Up visit assessments. The date the patient withdraws from the study and the reason for discontinuation will be recorded on the patient’s </w:t>
      </w:r>
      <w:bookmarkStart w:id="26" w:name="_Hlk61610713"/>
      <w:r w:rsidRPr="00F41AC7">
        <w:t>electronic Clinical Report Form (eCRF)</w:t>
      </w:r>
      <w:bookmarkEnd w:id="26"/>
      <w:r w:rsidRPr="00F41AC7">
        <w:t>. All patients who prematurely discontinue from the study for AEs will be followed for up to 30 days by visit or phone (until the AE resolves or until the unresolved AE is judged by the Investigator to have stabilized).</w:t>
      </w:r>
    </w:p>
    <w:p w14:paraId="6BF02E3A" w14:textId="77777777" w:rsidR="00154CE1" w:rsidRPr="00F41AC7" w:rsidRDefault="00154CE1" w:rsidP="00154CE1"/>
    <w:p w14:paraId="782A4B2C" w14:textId="23D0B192" w:rsidR="00154CE1" w:rsidRPr="00F41AC7" w:rsidRDefault="00154CE1" w:rsidP="00154CE1">
      <w:r w:rsidRPr="00F41AC7">
        <w:t xml:space="preserve">The primary reason for a patient prematurely withdrawing from the study should be selected from the following categories and documented in the source documents summarized in </w:t>
      </w:r>
      <w:r w:rsidRPr="00F41AC7">
        <w:rPr>
          <w:b/>
          <w:bCs/>
        </w:rPr>
        <w:t xml:space="preserve">Table </w:t>
      </w:r>
      <w:r w:rsidR="00E52F9A" w:rsidRPr="00F41AC7">
        <w:rPr>
          <w:b/>
          <w:bCs/>
        </w:rPr>
        <w:t>5</w:t>
      </w:r>
      <w:r w:rsidRPr="00F41AC7">
        <w:t xml:space="preserve">.  </w:t>
      </w:r>
    </w:p>
    <w:p w14:paraId="0992CA9A" w14:textId="77777777" w:rsidR="00154CE1" w:rsidRPr="00F41AC7" w:rsidRDefault="00154CE1" w:rsidP="00154CE1"/>
    <w:p w14:paraId="5F7333E9" w14:textId="77777777" w:rsidR="00154CE1" w:rsidRPr="00F41AC7" w:rsidRDefault="00154CE1" w:rsidP="00154CE1">
      <w:pPr>
        <w:pStyle w:val="Heading2"/>
        <w:keepNext w:val="0"/>
        <w:keepLines w:val="0"/>
        <w:widowControl w:val="0"/>
        <w:snapToGrid w:val="0"/>
        <w:spacing w:before="0" w:line="240" w:lineRule="auto"/>
        <w:rPr>
          <w:rFonts w:ascii="Arial" w:hAnsi="Arial" w:cs="Arial"/>
          <w:b/>
          <w:bCs/>
          <w:color w:val="auto"/>
          <w:sz w:val="22"/>
          <w:szCs w:val="22"/>
        </w:rPr>
      </w:pPr>
      <w:bookmarkStart w:id="27" w:name="_Recording_and_Reporting"/>
      <w:bookmarkEnd w:id="25"/>
      <w:bookmarkEnd w:id="27"/>
    </w:p>
    <w:p w14:paraId="0F924245" w14:textId="0161AA44" w:rsidR="0050348B" w:rsidRDefault="0050348B">
      <w:pPr>
        <w:rPr>
          <w:b/>
          <w:bCs/>
        </w:rPr>
      </w:pPr>
      <w:r w:rsidRPr="00F41AC7">
        <w:rPr>
          <w:b/>
          <w:bCs/>
        </w:rPr>
        <w:br w:type="page"/>
      </w:r>
    </w:p>
    <w:p w14:paraId="4ED775B8" w14:textId="77777777" w:rsidR="00271FA6" w:rsidRDefault="00271FA6">
      <w:pPr>
        <w:rPr>
          <w:b/>
          <w:bCs/>
        </w:rPr>
      </w:pPr>
      <w:r>
        <w:rPr>
          <w:b/>
          <w:bCs/>
        </w:rPr>
        <w:lastRenderedPageBreak/>
        <w:t>References</w:t>
      </w:r>
    </w:p>
    <w:p w14:paraId="3C25275A" w14:textId="77777777" w:rsidR="00271FA6" w:rsidRDefault="00271FA6">
      <w:pPr>
        <w:rPr>
          <w:b/>
          <w:bCs/>
        </w:rPr>
      </w:pPr>
    </w:p>
    <w:p w14:paraId="64E2A314" w14:textId="277B1559" w:rsidR="00271FA6" w:rsidRPr="00571CE5" w:rsidRDefault="00177295" w:rsidP="00271FA6">
      <w:pPr>
        <w:pStyle w:val="NormalWeb"/>
        <w:rPr>
          <w:rFonts w:ascii="Arial" w:hAnsi="Arial" w:cs="Arial"/>
          <w:sz w:val="22"/>
        </w:rPr>
      </w:pPr>
      <w:r>
        <w:rPr>
          <w:rFonts w:ascii="Arial" w:hAnsi="Arial" w:cs="Arial"/>
          <w:sz w:val="22"/>
        </w:rPr>
        <w:t>1</w:t>
      </w:r>
      <w:r w:rsidR="00271FA6" w:rsidRPr="00571CE5">
        <w:rPr>
          <w:rFonts w:ascii="Arial" w:hAnsi="Arial" w:cs="Arial"/>
          <w:sz w:val="22"/>
        </w:rPr>
        <w:t xml:space="preserve">.      Lee KK, Omiya Y, </w:t>
      </w:r>
      <w:proofErr w:type="spellStart"/>
      <w:r w:rsidR="00271FA6" w:rsidRPr="00571CE5">
        <w:rPr>
          <w:rFonts w:ascii="Arial" w:hAnsi="Arial" w:cs="Arial"/>
          <w:sz w:val="22"/>
        </w:rPr>
        <w:t>Yuzurihara</w:t>
      </w:r>
      <w:proofErr w:type="spellEnd"/>
      <w:r w:rsidR="00271FA6" w:rsidRPr="00571CE5">
        <w:rPr>
          <w:rFonts w:ascii="Arial" w:hAnsi="Arial" w:cs="Arial"/>
          <w:sz w:val="22"/>
        </w:rPr>
        <w:t xml:space="preserve"> M, </w:t>
      </w:r>
      <w:proofErr w:type="spellStart"/>
      <w:r w:rsidR="00271FA6" w:rsidRPr="00571CE5">
        <w:rPr>
          <w:rFonts w:ascii="Arial" w:hAnsi="Arial" w:cs="Arial"/>
          <w:sz w:val="22"/>
        </w:rPr>
        <w:t>Kase</w:t>
      </w:r>
      <w:proofErr w:type="spellEnd"/>
      <w:r w:rsidR="00271FA6" w:rsidRPr="00571CE5">
        <w:rPr>
          <w:rFonts w:ascii="Arial" w:hAnsi="Arial" w:cs="Arial"/>
          <w:sz w:val="22"/>
        </w:rPr>
        <w:t xml:space="preserve"> Y, Kobayashi H. Antinociceptive effect of paeoniflorin via spinal alpha(2)-adrenoceptor activation in diabetic mice. </w:t>
      </w:r>
      <w:proofErr w:type="spellStart"/>
      <w:r w:rsidR="00271FA6" w:rsidRPr="00571CE5">
        <w:rPr>
          <w:rFonts w:ascii="Arial" w:hAnsi="Arial" w:cs="Arial"/>
          <w:sz w:val="22"/>
        </w:rPr>
        <w:t>Eur</w:t>
      </w:r>
      <w:proofErr w:type="spellEnd"/>
      <w:r w:rsidR="00271FA6" w:rsidRPr="00571CE5">
        <w:rPr>
          <w:rFonts w:ascii="Arial" w:hAnsi="Arial" w:cs="Arial"/>
          <w:sz w:val="22"/>
        </w:rPr>
        <w:t xml:space="preserve"> J Pain 2011 Nov;15(10):1035-1039. </w:t>
      </w:r>
      <w:proofErr w:type="spellStart"/>
      <w:r w:rsidR="00271FA6" w:rsidRPr="00571CE5">
        <w:rPr>
          <w:rFonts w:ascii="Arial" w:hAnsi="Arial" w:cs="Arial"/>
          <w:sz w:val="22"/>
        </w:rPr>
        <w:t>Epub</w:t>
      </w:r>
      <w:proofErr w:type="spellEnd"/>
      <w:r w:rsidR="00271FA6" w:rsidRPr="00571CE5">
        <w:rPr>
          <w:rFonts w:ascii="Arial" w:hAnsi="Arial" w:cs="Arial"/>
          <w:sz w:val="22"/>
        </w:rPr>
        <w:t xml:space="preserve"> 20110518. </w:t>
      </w:r>
    </w:p>
    <w:p w14:paraId="65972AED" w14:textId="5E9C4503" w:rsidR="00271FA6" w:rsidRPr="00571CE5" w:rsidRDefault="00177295" w:rsidP="00271FA6">
      <w:pPr>
        <w:pStyle w:val="NormalWeb"/>
        <w:rPr>
          <w:rFonts w:ascii="Arial" w:hAnsi="Arial" w:cs="Arial"/>
          <w:sz w:val="22"/>
        </w:rPr>
      </w:pPr>
      <w:r>
        <w:rPr>
          <w:rFonts w:ascii="Arial" w:hAnsi="Arial" w:cs="Arial"/>
          <w:sz w:val="22"/>
        </w:rPr>
        <w:t>2</w:t>
      </w:r>
      <w:r w:rsidR="00271FA6" w:rsidRPr="00571CE5">
        <w:rPr>
          <w:rFonts w:ascii="Arial" w:hAnsi="Arial" w:cs="Arial"/>
          <w:sz w:val="22"/>
        </w:rPr>
        <w:t xml:space="preserve">.      Lee KK, Omiya Y, </w:t>
      </w:r>
      <w:proofErr w:type="spellStart"/>
      <w:r w:rsidR="00271FA6" w:rsidRPr="00571CE5">
        <w:rPr>
          <w:rFonts w:ascii="Arial" w:hAnsi="Arial" w:cs="Arial"/>
          <w:sz w:val="22"/>
        </w:rPr>
        <w:t>Yuzurihara</w:t>
      </w:r>
      <w:proofErr w:type="spellEnd"/>
      <w:r w:rsidR="00271FA6" w:rsidRPr="00571CE5">
        <w:rPr>
          <w:rFonts w:ascii="Arial" w:hAnsi="Arial" w:cs="Arial"/>
          <w:sz w:val="22"/>
        </w:rPr>
        <w:t xml:space="preserve"> M, </w:t>
      </w:r>
      <w:proofErr w:type="spellStart"/>
      <w:r w:rsidR="00271FA6" w:rsidRPr="00571CE5">
        <w:rPr>
          <w:rFonts w:ascii="Arial" w:hAnsi="Arial" w:cs="Arial"/>
          <w:sz w:val="22"/>
        </w:rPr>
        <w:t>Kase</w:t>
      </w:r>
      <w:proofErr w:type="spellEnd"/>
      <w:r w:rsidR="00271FA6" w:rsidRPr="00571CE5">
        <w:rPr>
          <w:rFonts w:ascii="Arial" w:hAnsi="Arial" w:cs="Arial"/>
          <w:sz w:val="22"/>
        </w:rPr>
        <w:t xml:space="preserve"> Y, Kobayashi H. Antispasmodic effect of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extract on experimental muscle cramps in vivo: Role of the active constituents of Glycyrrhizae radix. J </w:t>
      </w:r>
      <w:proofErr w:type="spellStart"/>
      <w:r w:rsidR="00271FA6" w:rsidRPr="00571CE5">
        <w:rPr>
          <w:rFonts w:ascii="Arial" w:hAnsi="Arial" w:cs="Arial"/>
          <w:sz w:val="22"/>
        </w:rPr>
        <w:t>Ethnopharmacol</w:t>
      </w:r>
      <w:proofErr w:type="spellEnd"/>
      <w:r w:rsidR="00271FA6" w:rsidRPr="00571CE5">
        <w:rPr>
          <w:rFonts w:ascii="Arial" w:hAnsi="Arial" w:cs="Arial"/>
          <w:sz w:val="22"/>
        </w:rPr>
        <w:t xml:space="preserve"> 2013 9 January;145(1):286-293. </w:t>
      </w:r>
    </w:p>
    <w:p w14:paraId="7356BF2E" w14:textId="5C3865A9" w:rsidR="00271FA6" w:rsidRPr="00571CE5" w:rsidRDefault="00177295" w:rsidP="00271FA6">
      <w:pPr>
        <w:pStyle w:val="NormalWeb"/>
        <w:rPr>
          <w:rFonts w:ascii="Arial" w:hAnsi="Arial" w:cs="Arial"/>
          <w:sz w:val="22"/>
        </w:rPr>
      </w:pPr>
      <w:r>
        <w:rPr>
          <w:rFonts w:ascii="Arial" w:hAnsi="Arial" w:cs="Arial"/>
          <w:sz w:val="22"/>
        </w:rPr>
        <w:t>3</w:t>
      </w:r>
      <w:r w:rsidR="00271FA6" w:rsidRPr="00571CE5">
        <w:rPr>
          <w:rFonts w:ascii="Arial" w:hAnsi="Arial" w:cs="Arial"/>
          <w:sz w:val="22"/>
        </w:rPr>
        <w:t>.      </w:t>
      </w:r>
      <w:proofErr w:type="spellStart"/>
      <w:r w:rsidR="00271FA6" w:rsidRPr="00571CE5">
        <w:rPr>
          <w:rFonts w:ascii="Arial" w:hAnsi="Arial" w:cs="Arial"/>
          <w:sz w:val="22"/>
        </w:rPr>
        <w:t>Kaifuchi</w:t>
      </w:r>
      <w:proofErr w:type="spellEnd"/>
      <w:r w:rsidR="00271FA6" w:rsidRPr="00571CE5">
        <w:rPr>
          <w:rFonts w:ascii="Arial" w:hAnsi="Arial" w:cs="Arial"/>
          <w:sz w:val="22"/>
        </w:rPr>
        <w:t xml:space="preserve"> N, Omiya Y, </w:t>
      </w:r>
      <w:proofErr w:type="spellStart"/>
      <w:r w:rsidR="00271FA6" w:rsidRPr="00571CE5">
        <w:rPr>
          <w:rFonts w:ascii="Arial" w:hAnsi="Arial" w:cs="Arial"/>
          <w:sz w:val="22"/>
        </w:rPr>
        <w:t>Kushida</w:t>
      </w:r>
      <w:proofErr w:type="spellEnd"/>
      <w:r w:rsidR="00271FA6" w:rsidRPr="00571CE5">
        <w:rPr>
          <w:rFonts w:ascii="Arial" w:hAnsi="Arial" w:cs="Arial"/>
          <w:sz w:val="22"/>
        </w:rPr>
        <w:t xml:space="preserve"> H, </w:t>
      </w:r>
      <w:proofErr w:type="spellStart"/>
      <w:r w:rsidR="00271FA6" w:rsidRPr="00571CE5">
        <w:rPr>
          <w:rFonts w:ascii="Arial" w:hAnsi="Arial" w:cs="Arial"/>
          <w:sz w:val="22"/>
        </w:rPr>
        <w:t>Fukutake</w:t>
      </w:r>
      <w:proofErr w:type="spellEnd"/>
      <w:r w:rsidR="00271FA6" w:rsidRPr="00571CE5">
        <w:rPr>
          <w:rFonts w:ascii="Arial" w:hAnsi="Arial" w:cs="Arial"/>
          <w:sz w:val="22"/>
        </w:rPr>
        <w:t xml:space="preserve"> M, Nishimura H, </w:t>
      </w:r>
      <w:proofErr w:type="spellStart"/>
      <w:r w:rsidR="00271FA6" w:rsidRPr="00571CE5">
        <w:rPr>
          <w:rFonts w:ascii="Arial" w:hAnsi="Arial" w:cs="Arial"/>
          <w:sz w:val="22"/>
        </w:rPr>
        <w:t>Kase</w:t>
      </w:r>
      <w:proofErr w:type="spellEnd"/>
      <w:r w:rsidR="00271FA6" w:rsidRPr="00571CE5">
        <w:rPr>
          <w:rFonts w:ascii="Arial" w:hAnsi="Arial" w:cs="Arial"/>
          <w:sz w:val="22"/>
        </w:rPr>
        <w:t xml:space="preserve"> Y. Effects of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and its absorbed components on twitch contractions induced by physiological Ca2+ release in rat skeletal muscle. J Nat Med 2015 Jul;69(3):287-295. </w:t>
      </w:r>
      <w:proofErr w:type="spellStart"/>
      <w:r w:rsidR="00271FA6" w:rsidRPr="00571CE5">
        <w:rPr>
          <w:rFonts w:ascii="Arial" w:hAnsi="Arial" w:cs="Arial"/>
          <w:sz w:val="22"/>
        </w:rPr>
        <w:t>Epub</w:t>
      </w:r>
      <w:proofErr w:type="spellEnd"/>
      <w:r w:rsidR="00271FA6" w:rsidRPr="00571CE5">
        <w:rPr>
          <w:rFonts w:ascii="Arial" w:hAnsi="Arial" w:cs="Arial"/>
          <w:sz w:val="22"/>
        </w:rPr>
        <w:t xml:space="preserve"> 20150318. </w:t>
      </w:r>
    </w:p>
    <w:p w14:paraId="61F135EE" w14:textId="3947EFB4" w:rsidR="00271FA6" w:rsidRPr="00571CE5" w:rsidRDefault="00177295" w:rsidP="00271FA6">
      <w:pPr>
        <w:pStyle w:val="NormalWeb"/>
        <w:rPr>
          <w:rFonts w:ascii="Arial" w:hAnsi="Arial" w:cs="Arial"/>
          <w:sz w:val="22"/>
        </w:rPr>
      </w:pPr>
      <w:r>
        <w:rPr>
          <w:rFonts w:ascii="Arial" w:hAnsi="Arial" w:cs="Arial"/>
          <w:sz w:val="22"/>
        </w:rPr>
        <w:t>4</w:t>
      </w:r>
      <w:r w:rsidR="00271FA6" w:rsidRPr="00571CE5">
        <w:rPr>
          <w:rFonts w:ascii="Arial" w:hAnsi="Arial" w:cs="Arial"/>
          <w:sz w:val="22"/>
        </w:rPr>
        <w:t xml:space="preserve">.      Takeda S, </w:t>
      </w:r>
      <w:proofErr w:type="spellStart"/>
      <w:r w:rsidR="00271FA6" w:rsidRPr="00571CE5">
        <w:rPr>
          <w:rFonts w:ascii="Arial" w:hAnsi="Arial" w:cs="Arial"/>
          <w:sz w:val="22"/>
        </w:rPr>
        <w:t>Goto</w:t>
      </w:r>
      <w:proofErr w:type="spellEnd"/>
      <w:r w:rsidR="00271FA6" w:rsidRPr="00571CE5">
        <w:rPr>
          <w:rFonts w:ascii="Arial" w:hAnsi="Arial" w:cs="Arial"/>
          <w:sz w:val="22"/>
        </w:rPr>
        <w:t xml:space="preserve"> K, </w:t>
      </w:r>
      <w:proofErr w:type="spellStart"/>
      <w:r w:rsidR="00271FA6" w:rsidRPr="00571CE5">
        <w:rPr>
          <w:rFonts w:ascii="Arial" w:hAnsi="Arial" w:cs="Arial"/>
          <w:sz w:val="22"/>
        </w:rPr>
        <w:t>Ishige</w:t>
      </w:r>
      <w:proofErr w:type="spellEnd"/>
      <w:r w:rsidR="00271FA6" w:rsidRPr="00571CE5">
        <w:rPr>
          <w:rFonts w:ascii="Arial" w:hAnsi="Arial" w:cs="Arial"/>
          <w:sz w:val="22"/>
        </w:rPr>
        <w:t xml:space="preserve"> A, Wei JW, </w:t>
      </w:r>
      <w:proofErr w:type="spellStart"/>
      <w:r w:rsidR="00271FA6" w:rsidRPr="00571CE5">
        <w:rPr>
          <w:rFonts w:ascii="Arial" w:hAnsi="Arial" w:cs="Arial"/>
          <w:sz w:val="22"/>
        </w:rPr>
        <w:t>Ruo</w:t>
      </w:r>
      <w:proofErr w:type="spellEnd"/>
      <w:r w:rsidR="00271FA6" w:rsidRPr="00571CE5">
        <w:rPr>
          <w:rFonts w:ascii="Arial" w:hAnsi="Arial" w:cs="Arial"/>
          <w:sz w:val="22"/>
        </w:rPr>
        <w:t xml:space="preserve"> TI, Cheng FC, </w:t>
      </w:r>
      <w:proofErr w:type="spellStart"/>
      <w:r w:rsidR="00271FA6" w:rsidRPr="00571CE5">
        <w:rPr>
          <w:rFonts w:ascii="Arial" w:hAnsi="Arial" w:cs="Arial"/>
          <w:sz w:val="22"/>
        </w:rPr>
        <w:t>Aburada</w:t>
      </w:r>
      <w:proofErr w:type="spellEnd"/>
      <w:r w:rsidR="00271FA6" w:rsidRPr="00571CE5">
        <w:rPr>
          <w:rFonts w:ascii="Arial" w:hAnsi="Arial" w:cs="Arial"/>
          <w:sz w:val="22"/>
        </w:rPr>
        <w:t xml:space="preserve"> M. General pharmacological properties of </w:t>
      </w:r>
      <w:proofErr w:type="spellStart"/>
      <w:r w:rsidR="00271FA6" w:rsidRPr="00571CE5">
        <w:rPr>
          <w:rFonts w:ascii="Arial" w:hAnsi="Arial" w:cs="Arial"/>
          <w:sz w:val="22"/>
        </w:rPr>
        <w:t>shakuyaku</w:t>
      </w:r>
      <w:proofErr w:type="spellEnd"/>
      <w:r w:rsidR="00271FA6" w:rsidRPr="00571CE5">
        <w:rPr>
          <w:rFonts w:ascii="Arial" w:hAnsi="Arial" w:cs="Arial"/>
          <w:sz w:val="22"/>
        </w:rPr>
        <w:t>-</w:t>
      </w:r>
      <w:proofErr w:type="spellStart"/>
      <w:r w:rsidR="00271FA6" w:rsidRPr="00571CE5">
        <w:rPr>
          <w:rFonts w:ascii="Arial" w:hAnsi="Arial" w:cs="Arial"/>
          <w:sz w:val="22"/>
        </w:rPr>
        <w:t>kanzo</w:t>
      </w:r>
      <w:proofErr w:type="spellEnd"/>
      <w:r w:rsidR="00271FA6" w:rsidRPr="00571CE5">
        <w:rPr>
          <w:rFonts w:ascii="Arial" w:hAnsi="Arial" w:cs="Arial"/>
          <w:sz w:val="22"/>
        </w:rPr>
        <w:t xml:space="preserve">-to. </w:t>
      </w:r>
      <w:proofErr w:type="spellStart"/>
      <w:r w:rsidR="00271FA6" w:rsidRPr="00571CE5">
        <w:rPr>
          <w:rFonts w:ascii="Arial" w:hAnsi="Arial" w:cs="Arial"/>
          <w:sz w:val="22"/>
        </w:rPr>
        <w:t>Ōyō</w:t>
      </w:r>
      <w:proofErr w:type="spellEnd"/>
      <w:r w:rsidR="00271FA6" w:rsidRPr="00571CE5">
        <w:rPr>
          <w:rFonts w:ascii="Arial" w:hAnsi="Arial" w:cs="Arial"/>
          <w:sz w:val="22"/>
        </w:rPr>
        <w:t xml:space="preserve"> </w:t>
      </w:r>
      <w:proofErr w:type="spellStart"/>
      <w:r w:rsidR="00271FA6" w:rsidRPr="00571CE5">
        <w:rPr>
          <w:rFonts w:ascii="Arial" w:hAnsi="Arial" w:cs="Arial"/>
          <w:sz w:val="22"/>
        </w:rPr>
        <w:t>yakuri</w:t>
      </w:r>
      <w:proofErr w:type="spellEnd"/>
      <w:r w:rsidR="00271FA6" w:rsidRPr="00571CE5">
        <w:rPr>
          <w:rFonts w:ascii="Arial" w:hAnsi="Arial" w:cs="Arial"/>
          <w:sz w:val="22"/>
        </w:rPr>
        <w:t xml:space="preserve">/Pharmacometrics 2003;64(1/2):23-31. </w:t>
      </w:r>
    </w:p>
    <w:p w14:paraId="7DAECCCA" w14:textId="2B98E29C" w:rsidR="00271FA6" w:rsidRPr="00571CE5" w:rsidRDefault="00177295" w:rsidP="00271FA6">
      <w:pPr>
        <w:pStyle w:val="NormalWeb"/>
        <w:rPr>
          <w:rFonts w:ascii="Arial" w:hAnsi="Arial" w:cs="Arial"/>
          <w:sz w:val="22"/>
        </w:rPr>
      </w:pPr>
      <w:r>
        <w:rPr>
          <w:rFonts w:ascii="Arial" w:hAnsi="Arial" w:cs="Arial"/>
          <w:sz w:val="22"/>
        </w:rPr>
        <w:t>5</w:t>
      </w:r>
      <w:r w:rsidR="00271FA6" w:rsidRPr="00571CE5">
        <w:rPr>
          <w:rFonts w:ascii="Arial" w:hAnsi="Arial" w:cs="Arial"/>
          <w:sz w:val="22"/>
        </w:rPr>
        <w:t>.      </w:t>
      </w:r>
      <w:proofErr w:type="spellStart"/>
      <w:r w:rsidR="00271FA6" w:rsidRPr="00571CE5">
        <w:rPr>
          <w:rFonts w:ascii="Arial" w:hAnsi="Arial" w:cs="Arial"/>
          <w:sz w:val="22"/>
        </w:rPr>
        <w:t>Kuboniwa</w:t>
      </w:r>
      <w:proofErr w:type="spellEnd"/>
      <w:r w:rsidR="00271FA6" w:rsidRPr="00571CE5">
        <w:rPr>
          <w:rFonts w:ascii="Arial" w:hAnsi="Arial" w:cs="Arial"/>
          <w:sz w:val="22"/>
        </w:rPr>
        <w:t xml:space="preserve"> H. Bacterial Reverse Mutation Study of TSUMURA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(TJ-68). Tsumura Research Laboratories, Tsumura &amp; Co.; Ibaraki, Japan: Laboratory Report Number 1992-0616/M-91-002; 1993 February 22</w:t>
      </w:r>
    </w:p>
    <w:p w14:paraId="35F35FB6" w14:textId="55A525C8" w:rsidR="00271FA6" w:rsidRPr="00571CE5" w:rsidRDefault="00177295" w:rsidP="00271FA6">
      <w:pPr>
        <w:pStyle w:val="NormalWeb"/>
        <w:rPr>
          <w:rFonts w:ascii="Arial" w:hAnsi="Arial" w:cs="Arial"/>
          <w:sz w:val="22"/>
        </w:rPr>
      </w:pPr>
      <w:r>
        <w:rPr>
          <w:rFonts w:ascii="Arial" w:hAnsi="Arial" w:cs="Arial"/>
          <w:sz w:val="22"/>
        </w:rPr>
        <w:t>6</w:t>
      </w:r>
      <w:r w:rsidR="00271FA6" w:rsidRPr="00571CE5">
        <w:rPr>
          <w:rFonts w:ascii="Arial" w:hAnsi="Arial" w:cs="Arial"/>
          <w:sz w:val="22"/>
        </w:rPr>
        <w:t xml:space="preserve">.      Ohta K. Chromosomal Aberration Study of TSUMURA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(TJ-68) in CHL/IU. Kagoshima Main Branch Drug Safety Research Laboratories, Shin Nippon Biomedical Laboratories, LTD.; Kagoshima, Japan: Laboratory Report Number 2012-0346/SBL76-43. 1993 March 23</w:t>
      </w:r>
    </w:p>
    <w:p w14:paraId="54ABAC8C" w14:textId="58799DE5" w:rsidR="00271FA6" w:rsidRPr="00571CE5" w:rsidRDefault="007A6E19" w:rsidP="00271FA6">
      <w:pPr>
        <w:pStyle w:val="NormalWeb"/>
        <w:rPr>
          <w:rFonts w:ascii="Arial" w:hAnsi="Arial" w:cs="Arial"/>
          <w:sz w:val="22"/>
        </w:rPr>
      </w:pPr>
      <w:r>
        <w:rPr>
          <w:rFonts w:ascii="Arial" w:hAnsi="Arial" w:cs="Arial"/>
          <w:sz w:val="22"/>
        </w:rPr>
        <w:t>7</w:t>
      </w:r>
      <w:r w:rsidR="00271FA6" w:rsidRPr="00571CE5">
        <w:rPr>
          <w:rFonts w:ascii="Arial" w:hAnsi="Arial" w:cs="Arial"/>
          <w:sz w:val="22"/>
        </w:rPr>
        <w:t xml:space="preserve">.      Nagasawa K. Micronucleus Test of TSUMURA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(TJ-68) with Mice Bone Marrow Cells. Gifu Laboratories. Nihon Bioresearch Inc.; Gifu, Japan: Laboratory Report Number 2012-0345/9521; 1993 March 25</w:t>
      </w:r>
    </w:p>
    <w:p w14:paraId="5907521F" w14:textId="556C449E" w:rsidR="00271FA6" w:rsidRPr="00571CE5" w:rsidRDefault="007A6E19" w:rsidP="00271FA6">
      <w:pPr>
        <w:pStyle w:val="NormalWeb"/>
        <w:rPr>
          <w:rFonts w:ascii="Arial" w:hAnsi="Arial" w:cs="Arial"/>
          <w:sz w:val="22"/>
        </w:rPr>
      </w:pPr>
      <w:r>
        <w:rPr>
          <w:rFonts w:ascii="Arial" w:hAnsi="Arial" w:cs="Arial"/>
          <w:sz w:val="22"/>
        </w:rPr>
        <w:t>8</w:t>
      </w:r>
      <w:r w:rsidR="00271FA6" w:rsidRPr="00571CE5">
        <w:rPr>
          <w:rFonts w:ascii="Arial" w:hAnsi="Arial" w:cs="Arial"/>
          <w:sz w:val="22"/>
        </w:rPr>
        <w:t>.      Papagiannis C. Acute Oral Toxicity Study of TJ-68 in Rats - Limit Test. International Research and Development Corporation.; Michigan, U.S.A.: Laboratory Report Number 2012-0337/661-005; 1993 November 16</w:t>
      </w:r>
    </w:p>
    <w:p w14:paraId="06EDEC58" w14:textId="47C336FE" w:rsidR="00271FA6" w:rsidRPr="00571CE5" w:rsidRDefault="007A6E19" w:rsidP="00271FA6">
      <w:pPr>
        <w:pStyle w:val="NormalWeb"/>
        <w:rPr>
          <w:rFonts w:ascii="Arial" w:hAnsi="Arial" w:cs="Arial"/>
          <w:sz w:val="22"/>
        </w:rPr>
      </w:pPr>
      <w:r>
        <w:rPr>
          <w:rFonts w:ascii="Arial" w:hAnsi="Arial" w:cs="Arial"/>
          <w:sz w:val="22"/>
        </w:rPr>
        <w:t>9</w:t>
      </w:r>
      <w:r w:rsidR="00271FA6" w:rsidRPr="00571CE5">
        <w:rPr>
          <w:rFonts w:ascii="Arial" w:hAnsi="Arial" w:cs="Arial"/>
          <w:sz w:val="22"/>
        </w:rPr>
        <w:t>.      Spicer B. 13- Week Oral Toxicity Study of TJ-68 in Rats with a One Month Recovery Period. International Research and Development Corporation.; Michigan, U.S.A.: Laboratory Report Number 2012-0338/661-002; 1994 March 25</w:t>
      </w:r>
    </w:p>
    <w:p w14:paraId="70909AF2" w14:textId="5E0AF4AA" w:rsidR="00271FA6" w:rsidRPr="00571CE5" w:rsidRDefault="007A6E19" w:rsidP="00271FA6">
      <w:pPr>
        <w:pStyle w:val="NormalWeb"/>
        <w:rPr>
          <w:rFonts w:ascii="Arial" w:hAnsi="Arial" w:cs="Arial"/>
          <w:sz w:val="22"/>
        </w:rPr>
      </w:pPr>
      <w:r>
        <w:rPr>
          <w:rFonts w:ascii="Arial" w:hAnsi="Arial" w:cs="Arial"/>
          <w:sz w:val="22"/>
        </w:rPr>
        <w:t>10</w:t>
      </w:r>
      <w:r w:rsidR="00271FA6" w:rsidRPr="00571CE5">
        <w:rPr>
          <w:rFonts w:ascii="Arial" w:hAnsi="Arial" w:cs="Arial"/>
          <w:sz w:val="22"/>
        </w:rPr>
        <w:t>.      </w:t>
      </w:r>
      <w:proofErr w:type="spellStart"/>
      <w:r w:rsidR="00271FA6" w:rsidRPr="00571CE5">
        <w:rPr>
          <w:rFonts w:ascii="Arial" w:hAnsi="Arial" w:cs="Arial"/>
          <w:sz w:val="22"/>
        </w:rPr>
        <w:t>Namiki</w:t>
      </w:r>
      <w:proofErr w:type="spellEnd"/>
      <w:r w:rsidR="00271FA6" w:rsidRPr="00571CE5">
        <w:rPr>
          <w:rFonts w:ascii="Arial" w:hAnsi="Arial" w:cs="Arial"/>
          <w:sz w:val="22"/>
        </w:rPr>
        <w:t xml:space="preserve"> M. Three-Month Repeated Oral Dose Toxicity Study of TSUMURA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with 1-Month Recovery Study in Dogs. Hokkaido Laboratories, Safety Research Institute for Chemical Compounds Co., Ltd.; Hokkaido, Japan: Laboratory Report Number 2017-0217/SR16292; 2017 September 29</w:t>
      </w:r>
    </w:p>
    <w:p w14:paraId="769531D8" w14:textId="46399CD5" w:rsidR="00271FA6" w:rsidRPr="00571CE5" w:rsidRDefault="007A6E19" w:rsidP="00271FA6">
      <w:pPr>
        <w:pStyle w:val="NormalWeb"/>
        <w:rPr>
          <w:rFonts w:ascii="Arial" w:hAnsi="Arial" w:cs="Arial"/>
          <w:sz w:val="22"/>
        </w:rPr>
      </w:pPr>
      <w:r>
        <w:rPr>
          <w:rFonts w:ascii="Arial" w:hAnsi="Arial" w:cs="Arial"/>
          <w:sz w:val="22"/>
        </w:rPr>
        <w:t>11</w:t>
      </w:r>
      <w:r w:rsidR="00271FA6" w:rsidRPr="00571CE5">
        <w:rPr>
          <w:rFonts w:ascii="Arial" w:hAnsi="Arial" w:cs="Arial"/>
          <w:sz w:val="22"/>
        </w:rPr>
        <w:t>.      </w:t>
      </w:r>
      <w:proofErr w:type="spellStart"/>
      <w:r w:rsidR="00271FA6" w:rsidRPr="00571CE5">
        <w:rPr>
          <w:rFonts w:ascii="Arial" w:hAnsi="Arial" w:cs="Arial"/>
          <w:sz w:val="22"/>
        </w:rPr>
        <w:t>Fujii</w:t>
      </w:r>
      <w:proofErr w:type="spellEnd"/>
      <w:r w:rsidR="00271FA6" w:rsidRPr="00571CE5">
        <w:rPr>
          <w:rFonts w:ascii="Arial" w:hAnsi="Arial" w:cs="Arial"/>
          <w:sz w:val="22"/>
        </w:rPr>
        <w:t xml:space="preserve"> S. Study for Effects of TSUMURA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on Embryo-Fetal Development in Rats. Hokkaido Laboratories, Safety Research Institute for Chemical Compounds Co., Ltd.; Hokkaido, Japan: Laboratory Report Number 2019-0195/SR18099; 2019 March 20</w:t>
      </w:r>
    </w:p>
    <w:p w14:paraId="54A61617" w14:textId="22A1D9FE" w:rsidR="00271FA6" w:rsidRPr="00571CE5" w:rsidRDefault="007A6E19" w:rsidP="00271FA6">
      <w:pPr>
        <w:pStyle w:val="NormalWeb"/>
        <w:rPr>
          <w:rFonts w:ascii="Arial" w:hAnsi="Arial" w:cs="Arial"/>
          <w:sz w:val="22"/>
        </w:rPr>
      </w:pPr>
      <w:r>
        <w:rPr>
          <w:rFonts w:ascii="Arial" w:hAnsi="Arial" w:cs="Arial"/>
          <w:sz w:val="22"/>
        </w:rPr>
        <w:lastRenderedPageBreak/>
        <w:t>12.</w:t>
      </w:r>
      <w:r w:rsidR="00271FA6" w:rsidRPr="00571CE5">
        <w:rPr>
          <w:rFonts w:ascii="Arial" w:hAnsi="Arial" w:cs="Arial"/>
          <w:sz w:val="22"/>
        </w:rPr>
        <w:t xml:space="preserve">      Yabe K. Study for Effects of TSUMURA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on Embryo Fetal Development in Rabbits. Hokkaido Laboratories, Safety Research Institute for Chemical Compounds Co., Ltd.; Hokkaido, Japan: Laboratory Report Number 2019-0194/SR18097; 2019 March 20</w:t>
      </w:r>
    </w:p>
    <w:p w14:paraId="02AA5C7B" w14:textId="1C787C8B" w:rsidR="00271FA6" w:rsidRPr="00571CE5" w:rsidRDefault="007A6E19" w:rsidP="00271FA6">
      <w:pPr>
        <w:pStyle w:val="NormalWeb"/>
        <w:rPr>
          <w:rFonts w:ascii="Arial" w:hAnsi="Arial" w:cs="Arial"/>
          <w:sz w:val="22"/>
        </w:rPr>
      </w:pPr>
      <w:r>
        <w:rPr>
          <w:rFonts w:ascii="Arial" w:hAnsi="Arial" w:cs="Arial"/>
          <w:sz w:val="22"/>
        </w:rPr>
        <w:t>1</w:t>
      </w:r>
      <w:r w:rsidR="00271FA6" w:rsidRPr="00571CE5">
        <w:rPr>
          <w:rFonts w:ascii="Arial" w:hAnsi="Arial" w:cs="Arial"/>
          <w:sz w:val="22"/>
        </w:rPr>
        <w:t xml:space="preserve">3.      Matsumoto T, </w:t>
      </w:r>
      <w:proofErr w:type="spellStart"/>
      <w:r w:rsidR="00271FA6" w:rsidRPr="00571CE5">
        <w:rPr>
          <w:rFonts w:ascii="Arial" w:hAnsi="Arial" w:cs="Arial"/>
          <w:sz w:val="22"/>
        </w:rPr>
        <w:t>Kaifuchi</w:t>
      </w:r>
      <w:proofErr w:type="spellEnd"/>
      <w:r w:rsidR="00271FA6" w:rsidRPr="00571CE5">
        <w:rPr>
          <w:rFonts w:ascii="Arial" w:hAnsi="Arial" w:cs="Arial"/>
          <w:sz w:val="22"/>
        </w:rPr>
        <w:t xml:space="preserve"> N, </w:t>
      </w:r>
      <w:proofErr w:type="spellStart"/>
      <w:r w:rsidR="00271FA6" w:rsidRPr="00571CE5">
        <w:rPr>
          <w:rFonts w:ascii="Arial" w:hAnsi="Arial" w:cs="Arial"/>
          <w:sz w:val="22"/>
        </w:rPr>
        <w:t>Mizuhara</w:t>
      </w:r>
      <w:proofErr w:type="spellEnd"/>
      <w:r w:rsidR="00271FA6" w:rsidRPr="00571CE5">
        <w:rPr>
          <w:rFonts w:ascii="Arial" w:hAnsi="Arial" w:cs="Arial"/>
          <w:sz w:val="22"/>
        </w:rPr>
        <w:t xml:space="preserve"> Y, Warabi E, Watanabe J. Use of a Caco-2 permeability assay to evaluate the effects of several Kampo medicines on the drug transporter P-glycoprotein. J Nat Med 2018 Sep;72(4):897-904. </w:t>
      </w:r>
      <w:proofErr w:type="spellStart"/>
      <w:r w:rsidR="00271FA6" w:rsidRPr="00571CE5">
        <w:rPr>
          <w:rFonts w:ascii="Arial" w:hAnsi="Arial" w:cs="Arial"/>
          <w:sz w:val="22"/>
        </w:rPr>
        <w:t>Epub</w:t>
      </w:r>
      <w:proofErr w:type="spellEnd"/>
      <w:r w:rsidR="00271FA6" w:rsidRPr="00571CE5">
        <w:rPr>
          <w:rFonts w:ascii="Arial" w:hAnsi="Arial" w:cs="Arial"/>
          <w:sz w:val="22"/>
        </w:rPr>
        <w:t xml:space="preserve"> 20180524. </w:t>
      </w:r>
    </w:p>
    <w:p w14:paraId="5CAA9247" w14:textId="090C8719" w:rsidR="00271FA6" w:rsidRPr="00571CE5" w:rsidRDefault="007A6E19" w:rsidP="00271FA6">
      <w:pPr>
        <w:pStyle w:val="NormalWeb"/>
        <w:rPr>
          <w:rFonts w:ascii="Arial" w:hAnsi="Arial" w:cs="Arial"/>
          <w:sz w:val="22"/>
        </w:rPr>
      </w:pPr>
      <w:r>
        <w:rPr>
          <w:rFonts w:ascii="Arial" w:hAnsi="Arial" w:cs="Arial"/>
          <w:sz w:val="22"/>
        </w:rPr>
        <w:t>14</w:t>
      </w:r>
      <w:r w:rsidR="00271FA6" w:rsidRPr="00571CE5">
        <w:rPr>
          <w:rFonts w:ascii="Arial" w:hAnsi="Arial" w:cs="Arial"/>
          <w:sz w:val="22"/>
        </w:rPr>
        <w:t xml:space="preserve">.      Matsumoto S. Effects of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Extract (TJ-68E) Cyp3a and P-glycoprotein </w:t>
      </w:r>
      <w:r w:rsidR="00271FA6" w:rsidRPr="00571CE5">
        <w:rPr>
          <w:rFonts w:ascii="Arial" w:hAnsi="Arial" w:cs="Arial"/>
          <w:i/>
          <w:iCs/>
          <w:sz w:val="22"/>
        </w:rPr>
        <w:t>In Vivo </w:t>
      </w:r>
      <w:r w:rsidR="00271FA6" w:rsidRPr="00571CE5">
        <w:rPr>
          <w:rFonts w:ascii="Arial" w:hAnsi="Arial" w:cs="Arial"/>
          <w:sz w:val="22"/>
        </w:rPr>
        <w:t xml:space="preserve">Mouse. LSI </w:t>
      </w:r>
      <w:proofErr w:type="spellStart"/>
      <w:r w:rsidR="00271FA6" w:rsidRPr="00571CE5">
        <w:rPr>
          <w:rFonts w:ascii="Arial" w:hAnsi="Arial" w:cs="Arial"/>
          <w:sz w:val="22"/>
        </w:rPr>
        <w:t>medience</w:t>
      </w:r>
      <w:proofErr w:type="spellEnd"/>
      <w:r w:rsidR="00271FA6" w:rsidRPr="00571CE5">
        <w:rPr>
          <w:rFonts w:ascii="Arial" w:hAnsi="Arial" w:cs="Arial"/>
          <w:sz w:val="22"/>
        </w:rPr>
        <w:t xml:space="preserve"> corporation.; Tokyo, Japan: Laboratory Report Number 2017-0125/B161145; 2017 July 24</w:t>
      </w:r>
    </w:p>
    <w:p w14:paraId="16BAA575" w14:textId="0D027151" w:rsidR="00271FA6" w:rsidRDefault="007A6E19" w:rsidP="00271FA6">
      <w:pPr>
        <w:pStyle w:val="NormalWeb"/>
        <w:rPr>
          <w:rFonts w:ascii="Arial" w:hAnsi="Arial" w:cs="Arial"/>
          <w:sz w:val="22"/>
        </w:rPr>
      </w:pPr>
      <w:r>
        <w:rPr>
          <w:rFonts w:ascii="Arial" w:hAnsi="Arial" w:cs="Arial"/>
          <w:sz w:val="22"/>
        </w:rPr>
        <w:t>15</w:t>
      </w:r>
      <w:r w:rsidR="00271FA6" w:rsidRPr="00571CE5">
        <w:rPr>
          <w:rFonts w:ascii="Arial" w:hAnsi="Arial" w:cs="Arial"/>
          <w:sz w:val="22"/>
        </w:rPr>
        <w:t xml:space="preserve">.      Takao Y, Takaoka Y, Sugano A, Sato H, </w:t>
      </w:r>
      <w:proofErr w:type="spellStart"/>
      <w:r w:rsidR="00271FA6" w:rsidRPr="00571CE5">
        <w:rPr>
          <w:rFonts w:ascii="Arial" w:hAnsi="Arial" w:cs="Arial"/>
          <w:sz w:val="22"/>
        </w:rPr>
        <w:t>Motoyama</w:t>
      </w:r>
      <w:proofErr w:type="spellEnd"/>
      <w:r w:rsidR="00271FA6" w:rsidRPr="00571CE5">
        <w:rPr>
          <w:rFonts w:ascii="Arial" w:hAnsi="Arial" w:cs="Arial"/>
          <w:sz w:val="22"/>
        </w:rPr>
        <w:t xml:space="preserve"> Y, </w:t>
      </w:r>
      <w:proofErr w:type="spellStart"/>
      <w:r w:rsidR="00271FA6" w:rsidRPr="00571CE5">
        <w:rPr>
          <w:rFonts w:ascii="Arial" w:hAnsi="Arial" w:cs="Arial"/>
          <w:sz w:val="22"/>
        </w:rPr>
        <w:t>Ohta</w:t>
      </w:r>
      <w:proofErr w:type="spellEnd"/>
      <w:r w:rsidR="00271FA6" w:rsidRPr="00571CE5">
        <w:rPr>
          <w:rFonts w:ascii="Arial" w:hAnsi="Arial" w:cs="Arial"/>
          <w:sz w:val="22"/>
        </w:rPr>
        <w:t xml:space="preserve"> M, Nishimoto T, </w:t>
      </w:r>
      <w:proofErr w:type="spellStart"/>
      <w:r w:rsidR="00271FA6" w:rsidRPr="00571CE5">
        <w:rPr>
          <w:rFonts w:ascii="Arial" w:hAnsi="Arial" w:cs="Arial"/>
          <w:sz w:val="22"/>
        </w:rPr>
        <w:t>Mizobuchi</w:t>
      </w:r>
      <w:proofErr w:type="spellEnd"/>
      <w:r w:rsidR="00271FA6" w:rsidRPr="00571CE5">
        <w:rPr>
          <w:rFonts w:ascii="Arial" w:hAnsi="Arial" w:cs="Arial"/>
          <w:sz w:val="22"/>
        </w:rPr>
        <w:t xml:space="preserve"> S. </w:t>
      </w:r>
      <w:proofErr w:type="spellStart"/>
      <w:r w:rsidR="00271FA6" w:rsidRPr="00571CE5">
        <w:rPr>
          <w:rFonts w:ascii="Arial" w:hAnsi="Arial" w:cs="Arial"/>
          <w:sz w:val="22"/>
        </w:rPr>
        <w:t>Shakuyaku</w:t>
      </w:r>
      <w:proofErr w:type="spellEnd"/>
      <w:r w:rsidR="00271FA6" w:rsidRPr="00571CE5">
        <w:rPr>
          <w:rFonts w:ascii="Arial" w:hAnsi="Arial" w:cs="Arial"/>
          <w:sz w:val="22"/>
        </w:rPr>
        <w:t>-</w:t>
      </w:r>
      <w:proofErr w:type="spellStart"/>
      <w:r w:rsidR="00271FA6" w:rsidRPr="00571CE5">
        <w:rPr>
          <w:rFonts w:ascii="Arial" w:hAnsi="Arial" w:cs="Arial"/>
          <w:sz w:val="22"/>
        </w:rPr>
        <w:t>kanzo</w:t>
      </w:r>
      <w:proofErr w:type="spellEnd"/>
      <w:r w:rsidR="00271FA6" w:rsidRPr="00571CE5">
        <w:rPr>
          <w:rFonts w:ascii="Arial" w:hAnsi="Arial" w:cs="Arial"/>
          <w:sz w:val="22"/>
        </w:rPr>
        <w:t xml:space="preserve">-to (Shao-Yao-Gan-Cao-Tang) as treatment of painful muscle cramps in patients with lumbar spinal stenosis and its minimum effective dose. Kobe J Med Sci 2015;61(5):E132-E137. </w:t>
      </w:r>
    </w:p>
    <w:p w14:paraId="76598633" w14:textId="386E5EBB" w:rsidR="007A6E19" w:rsidRPr="00571CE5" w:rsidRDefault="007A6E19" w:rsidP="007A6E19">
      <w:pPr>
        <w:pStyle w:val="NormalWeb"/>
        <w:rPr>
          <w:rFonts w:ascii="Arial" w:hAnsi="Arial" w:cs="Arial"/>
          <w:sz w:val="22"/>
        </w:rPr>
      </w:pPr>
      <w:r>
        <w:rPr>
          <w:rFonts w:ascii="Arial" w:hAnsi="Arial" w:cs="Arial"/>
          <w:sz w:val="22"/>
        </w:rPr>
        <w:t>16</w:t>
      </w:r>
      <w:r w:rsidRPr="00571CE5">
        <w:rPr>
          <w:rFonts w:ascii="Arial" w:hAnsi="Arial" w:cs="Arial"/>
          <w:sz w:val="22"/>
        </w:rPr>
        <w:t>.      </w:t>
      </w:r>
      <w:proofErr w:type="spellStart"/>
      <w:r w:rsidRPr="00571CE5">
        <w:rPr>
          <w:rFonts w:ascii="Arial" w:hAnsi="Arial" w:cs="Arial"/>
          <w:sz w:val="22"/>
        </w:rPr>
        <w:t>Kumada</w:t>
      </w:r>
      <w:proofErr w:type="spellEnd"/>
      <w:r w:rsidRPr="00571CE5">
        <w:rPr>
          <w:rFonts w:ascii="Arial" w:hAnsi="Arial" w:cs="Arial"/>
          <w:sz w:val="22"/>
        </w:rPr>
        <w:t xml:space="preserve"> T, </w:t>
      </w:r>
      <w:proofErr w:type="spellStart"/>
      <w:r w:rsidRPr="00571CE5">
        <w:rPr>
          <w:rFonts w:ascii="Arial" w:hAnsi="Arial" w:cs="Arial"/>
          <w:sz w:val="22"/>
        </w:rPr>
        <w:t>Kumada</w:t>
      </w:r>
      <w:proofErr w:type="spellEnd"/>
      <w:r w:rsidRPr="00571CE5">
        <w:rPr>
          <w:rFonts w:ascii="Arial" w:hAnsi="Arial" w:cs="Arial"/>
          <w:sz w:val="22"/>
        </w:rPr>
        <w:t xml:space="preserve"> H, </w:t>
      </w:r>
      <w:proofErr w:type="spellStart"/>
      <w:r w:rsidRPr="00571CE5">
        <w:rPr>
          <w:rFonts w:ascii="Arial" w:hAnsi="Arial" w:cs="Arial"/>
          <w:sz w:val="22"/>
        </w:rPr>
        <w:t>Yoshiba</w:t>
      </w:r>
      <w:proofErr w:type="spellEnd"/>
      <w:r w:rsidRPr="00571CE5">
        <w:rPr>
          <w:rFonts w:ascii="Arial" w:hAnsi="Arial" w:cs="Arial"/>
          <w:sz w:val="22"/>
        </w:rPr>
        <w:t xml:space="preserve"> M, Nakano S, Suzuki H, Tango T. Effects of </w:t>
      </w:r>
      <w:proofErr w:type="spellStart"/>
      <w:r w:rsidRPr="00571CE5">
        <w:rPr>
          <w:rFonts w:ascii="Arial" w:hAnsi="Arial" w:cs="Arial"/>
          <w:sz w:val="22"/>
        </w:rPr>
        <w:t>Shakuyaku</w:t>
      </w:r>
      <w:proofErr w:type="spellEnd"/>
      <w:r w:rsidRPr="00571CE5">
        <w:rPr>
          <w:rFonts w:ascii="Arial" w:hAnsi="Arial" w:cs="Arial"/>
          <w:sz w:val="22"/>
        </w:rPr>
        <w:t>-</w:t>
      </w:r>
      <w:proofErr w:type="spellStart"/>
      <w:r w:rsidRPr="00571CE5">
        <w:rPr>
          <w:rFonts w:ascii="Arial" w:hAnsi="Arial" w:cs="Arial"/>
          <w:sz w:val="22"/>
        </w:rPr>
        <w:t>kanzo</w:t>
      </w:r>
      <w:proofErr w:type="spellEnd"/>
      <w:r w:rsidRPr="00571CE5">
        <w:rPr>
          <w:rFonts w:ascii="Arial" w:hAnsi="Arial" w:cs="Arial"/>
          <w:sz w:val="22"/>
        </w:rPr>
        <w:t xml:space="preserve">-to (Tsumura TJ-68) on muscle cramps accompanying cirrhosis in a placebo-controlled double-blind parallel study. J Clin </w:t>
      </w:r>
      <w:proofErr w:type="spellStart"/>
      <w:r w:rsidRPr="00571CE5">
        <w:rPr>
          <w:rFonts w:ascii="Arial" w:hAnsi="Arial" w:cs="Arial"/>
          <w:sz w:val="22"/>
        </w:rPr>
        <w:t>Ther</w:t>
      </w:r>
      <w:proofErr w:type="spellEnd"/>
      <w:r w:rsidRPr="00571CE5">
        <w:rPr>
          <w:rFonts w:ascii="Arial" w:hAnsi="Arial" w:cs="Arial"/>
          <w:sz w:val="22"/>
        </w:rPr>
        <w:t xml:space="preserve"> Med 1999;15:499-523. </w:t>
      </w:r>
    </w:p>
    <w:p w14:paraId="637E45EA" w14:textId="438ABC8B" w:rsidR="007A6E19" w:rsidRPr="00571CE5" w:rsidRDefault="007A6E19" w:rsidP="007A6E19">
      <w:pPr>
        <w:pStyle w:val="NormalWeb"/>
        <w:rPr>
          <w:rFonts w:ascii="Arial" w:hAnsi="Arial" w:cs="Arial"/>
          <w:sz w:val="22"/>
        </w:rPr>
      </w:pPr>
      <w:r>
        <w:rPr>
          <w:rFonts w:ascii="Arial" w:hAnsi="Arial" w:cs="Arial"/>
          <w:sz w:val="22"/>
        </w:rPr>
        <w:t>17</w:t>
      </w:r>
      <w:r w:rsidRPr="00571CE5">
        <w:rPr>
          <w:rFonts w:ascii="Arial" w:hAnsi="Arial" w:cs="Arial"/>
          <w:sz w:val="22"/>
        </w:rPr>
        <w:t xml:space="preserve">.      Miura Y. Effects of </w:t>
      </w:r>
      <w:proofErr w:type="spellStart"/>
      <w:r w:rsidRPr="00571CE5">
        <w:rPr>
          <w:rFonts w:ascii="Arial" w:hAnsi="Arial" w:cs="Arial"/>
          <w:sz w:val="22"/>
        </w:rPr>
        <w:t>Shakuyaku</w:t>
      </w:r>
      <w:proofErr w:type="spellEnd"/>
      <w:r w:rsidRPr="00571CE5">
        <w:rPr>
          <w:rFonts w:ascii="Arial" w:hAnsi="Arial" w:cs="Arial"/>
          <w:sz w:val="22"/>
        </w:rPr>
        <w:t>-</w:t>
      </w:r>
      <w:proofErr w:type="spellStart"/>
      <w:r w:rsidRPr="00571CE5">
        <w:rPr>
          <w:rFonts w:ascii="Arial" w:hAnsi="Arial" w:cs="Arial"/>
          <w:sz w:val="22"/>
        </w:rPr>
        <w:t>kanzo</w:t>
      </w:r>
      <w:proofErr w:type="spellEnd"/>
      <w:r w:rsidRPr="00571CE5">
        <w:rPr>
          <w:rFonts w:ascii="Arial" w:hAnsi="Arial" w:cs="Arial"/>
          <w:sz w:val="22"/>
        </w:rPr>
        <w:t xml:space="preserve">-to on painful nocturnal leg cramp caused by diabetic neuropathy. </w:t>
      </w:r>
      <w:proofErr w:type="spellStart"/>
      <w:r w:rsidRPr="00571CE5">
        <w:rPr>
          <w:rFonts w:ascii="Arial" w:hAnsi="Arial" w:cs="Arial"/>
          <w:sz w:val="22"/>
        </w:rPr>
        <w:t>Jpn</w:t>
      </w:r>
      <w:proofErr w:type="spellEnd"/>
      <w:r w:rsidRPr="00571CE5">
        <w:rPr>
          <w:rFonts w:ascii="Arial" w:hAnsi="Arial" w:cs="Arial"/>
          <w:sz w:val="22"/>
        </w:rPr>
        <w:t xml:space="preserve"> J Orient Med 1999;49(5):865-869. </w:t>
      </w:r>
    </w:p>
    <w:p w14:paraId="116A470F" w14:textId="52785F6D" w:rsidR="00271FA6" w:rsidRDefault="007A6E19" w:rsidP="00271FA6">
      <w:pPr>
        <w:pStyle w:val="NormalWeb"/>
        <w:rPr>
          <w:rFonts w:ascii="Arial" w:hAnsi="Arial" w:cs="Arial"/>
          <w:sz w:val="22"/>
        </w:rPr>
      </w:pPr>
      <w:r>
        <w:rPr>
          <w:rFonts w:ascii="Arial" w:hAnsi="Arial" w:cs="Arial"/>
          <w:sz w:val="22"/>
        </w:rPr>
        <w:t>18</w:t>
      </w:r>
      <w:r w:rsidR="00271FA6" w:rsidRPr="00571CE5">
        <w:rPr>
          <w:rFonts w:ascii="Arial" w:hAnsi="Arial" w:cs="Arial"/>
          <w:sz w:val="22"/>
        </w:rPr>
        <w:t>.      </w:t>
      </w:r>
      <w:proofErr w:type="spellStart"/>
      <w:r w:rsidR="00271FA6" w:rsidRPr="00571CE5">
        <w:rPr>
          <w:rFonts w:ascii="Arial" w:hAnsi="Arial" w:cs="Arial"/>
          <w:sz w:val="22"/>
        </w:rPr>
        <w:t>Sadakane</w:t>
      </w:r>
      <w:proofErr w:type="spellEnd"/>
      <w:r w:rsidR="00271FA6" w:rsidRPr="00571CE5">
        <w:rPr>
          <w:rFonts w:ascii="Arial" w:hAnsi="Arial" w:cs="Arial"/>
          <w:sz w:val="22"/>
        </w:rPr>
        <w:t xml:space="preserve"> C, Watanabe J, </w:t>
      </w:r>
      <w:proofErr w:type="spellStart"/>
      <w:r w:rsidR="00271FA6" w:rsidRPr="00571CE5">
        <w:rPr>
          <w:rFonts w:ascii="Arial" w:hAnsi="Arial" w:cs="Arial"/>
          <w:sz w:val="22"/>
        </w:rPr>
        <w:t>Fukutake</w:t>
      </w:r>
      <w:proofErr w:type="spellEnd"/>
      <w:r w:rsidR="00271FA6" w:rsidRPr="00571CE5">
        <w:rPr>
          <w:rFonts w:ascii="Arial" w:hAnsi="Arial" w:cs="Arial"/>
          <w:sz w:val="22"/>
        </w:rPr>
        <w:t xml:space="preserve"> M, </w:t>
      </w:r>
      <w:proofErr w:type="spellStart"/>
      <w:r w:rsidR="00271FA6" w:rsidRPr="00571CE5">
        <w:rPr>
          <w:rFonts w:ascii="Arial" w:hAnsi="Arial" w:cs="Arial"/>
          <w:sz w:val="22"/>
        </w:rPr>
        <w:t>Nisimura</w:t>
      </w:r>
      <w:proofErr w:type="spellEnd"/>
      <w:r w:rsidR="00271FA6" w:rsidRPr="00571CE5">
        <w:rPr>
          <w:rFonts w:ascii="Arial" w:hAnsi="Arial" w:cs="Arial"/>
          <w:sz w:val="22"/>
        </w:rPr>
        <w:t xml:space="preserve"> H, </w:t>
      </w:r>
      <w:proofErr w:type="spellStart"/>
      <w:r w:rsidR="00271FA6" w:rsidRPr="00571CE5">
        <w:rPr>
          <w:rFonts w:ascii="Arial" w:hAnsi="Arial" w:cs="Arial"/>
          <w:sz w:val="22"/>
        </w:rPr>
        <w:t>Maemura</w:t>
      </w:r>
      <w:proofErr w:type="spellEnd"/>
      <w:r w:rsidR="00271FA6" w:rsidRPr="00571CE5">
        <w:rPr>
          <w:rFonts w:ascii="Arial" w:hAnsi="Arial" w:cs="Arial"/>
          <w:sz w:val="22"/>
        </w:rPr>
        <w:t xml:space="preserve"> K, </w:t>
      </w:r>
      <w:proofErr w:type="spellStart"/>
      <w:r w:rsidR="00271FA6" w:rsidRPr="00571CE5">
        <w:rPr>
          <w:rFonts w:ascii="Arial" w:hAnsi="Arial" w:cs="Arial"/>
          <w:sz w:val="22"/>
        </w:rPr>
        <w:t>Kase</w:t>
      </w:r>
      <w:proofErr w:type="spellEnd"/>
      <w:r w:rsidR="00271FA6" w:rsidRPr="00571CE5">
        <w:rPr>
          <w:rFonts w:ascii="Arial" w:hAnsi="Arial" w:cs="Arial"/>
          <w:sz w:val="22"/>
        </w:rPr>
        <w:t xml:space="preserve"> Y, </w:t>
      </w:r>
      <w:proofErr w:type="spellStart"/>
      <w:r w:rsidR="00271FA6" w:rsidRPr="00571CE5">
        <w:rPr>
          <w:rFonts w:ascii="Arial" w:hAnsi="Arial" w:cs="Arial"/>
          <w:sz w:val="22"/>
        </w:rPr>
        <w:t>Kono</w:t>
      </w:r>
      <w:proofErr w:type="spellEnd"/>
      <w:r w:rsidR="00271FA6" w:rsidRPr="00571CE5">
        <w:rPr>
          <w:rFonts w:ascii="Arial" w:hAnsi="Arial" w:cs="Arial"/>
          <w:sz w:val="22"/>
        </w:rPr>
        <w:t xml:space="preserve"> T. Pharmacokinetic Profiles of Active Components After Oral Administration of a </w:t>
      </w:r>
      <w:proofErr w:type="spellStart"/>
      <w:r w:rsidR="00271FA6" w:rsidRPr="00571CE5">
        <w:rPr>
          <w:rFonts w:ascii="Arial" w:hAnsi="Arial" w:cs="Arial"/>
          <w:sz w:val="22"/>
        </w:rPr>
        <w:t>Kampo</w:t>
      </w:r>
      <w:proofErr w:type="spellEnd"/>
      <w:r w:rsidR="00271FA6" w:rsidRPr="00571CE5">
        <w:rPr>
          <w:rFonts w:ascii="Arial" w:hAnsi="Arial" w:cs="Arial"/>
          <w:sz w:val="22"/>
        </w:rPr>
        <w:t xml:space="preserve"> Medicine,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to Healthy Adult Japanese Volunteers. J Pharm Sci 2015 Nov;104(11):3952-3959. </w:t>
      </w:r>
      <w:proofErr w:type="spellStart"/>
      <w:r w:rsidR="00271FA6" w:rsidRPr="00571CE5">
        <w:rPr>
          <w:rFonts w:ascii="Arial" w:hAnsi="Arial" w:cs="Arial"/>
          <w:sz w:val="22"/>
        </w:rPr>
        <w:t>Epub</w:t>
      </w:r>
      <w:proofErr w:type="spellEnd"/>
      <w:r w:rsidR="00271FA6" w:rsidRPr="00571CE5">
        <w:rPr>
          <w:rFonts w:ascii="Arial" w:hAnsi="Arial" w:cs="Arial"/>
          <w:sz w:val="22"/>
        </w:rPr>
        <w:t xml:space="preserve"> 2015 Jul 24. </w:t>
      </w:r>
    </w:p>
    <w:p w14:paraId="3534BDDA" w14:textId="2DB53658" w:rsidR="00271FA6" w:rsidRPr="00571CE5" w:rsidRDefault="007A6E19" w:rsidP="00271FA6">
      <w:pPr>
        <w:pStyle w:val="NormalWeb"/>
        <w:rPr>
          <w:rFonts w:ascii="Arial" w:hAnsi="Arial" w:cs="Arial"/>
          <w:sz w:val="22"/>
        </w:rPr>
      </w:pPr>
      <w:r>
        <w:rPr>
          <w:rFonts w:ascii="Arial" w:hAnsi="Arial" w:cs="Arial"/>
          <w:sz w:val="22"/>
        </w:rPr>
        <w:t>19</w:t>
      </w:r>
      <w:r w:rsidR="00271FA6" w:rsidRPr="00571CE5">
        <w:rPr>
          <w:rFonts w:ascii="Arial" w:hAnsi="Arial" w:cs="Arial"/>
          <w:sz w:val="22"/>
        </w:rPr>
        <w:t>.      </w:t>
      </w:r>
      <w:proofErr w:type="spellStart"/>
      <w:r w:rsidR="00271FA6" w:rsidRPr="00571CE5">
        <w:rPr>
          <w:rFonts w:ascii="Arial" w:hAnsi="Arial" w:cs="Arial"/>
          <w:sz w:val="22"/>
        </w:rPr>
        <w:t>Hyodo</w:t>
      </w:r>
      <w:proofErr w:type="spellEnd"/>
      <w:r w:rsidR="00271FA6" w:rsidRPr="00571CE5">
        <w:rPr>
          <w:rFonts w:ascii="Arial" w:hAnsi="Arial" w:cs="Arial"/>
          <w:sz w:val="22"/>
        </w:rPr>
        <w:t xml:space="preserve"> T, Taira T, </w:t>
      </w:r>
      <w:proofErr w:type="spellStart"/>
      <w:r w:rsidR="00271FA6" w:rsidRPr="00571CE5">
        <w:rPr>
          <w:rFonts w:ascii="Arial" w:hAnsi="Arial" w:cs="Arial"/>
          <w:sz w:val="22"/>
        </w:rPr>
        <w:t>Takemura</w:t>
      </w:r>
      <w:proofErr w:type="spellEnd"/>
      <w:r w:rsidR="00271FA6" w:rsidRPr="00571CE5">
        <w:rPr>
          <w:rFonts w:ascii="Arial" w:hAnsi="Arial" w:cs="Arial"/>
          <w:sz w:val="22"/>
        </w:rPr>
        <w:t xml:space="preserve"> T, Yamamoto S, </w:t>
      </w:r>
      <w:proofErr w:type="spellStart"/>
      <w:r w:rsidR="00271FA6" w:rsidRPr="00571CE5">
        <w:rPr>
          <w:rFonts w:ascii="Arial" w:hAnsi="Arial" w:cs="Arial"/>
          <w:sz w:val="22"/>
        </w:rPr>
        <w:t>Tsuchida</w:t>
      </w:r>
      <w:proofErr w:type="spellEnd"/>
      <w:r w:rsidR="00271FA6" w:rsidRPr="00571CE5">
        <w:rPr>
          <w:rFonts w:ascii="Arial" w:hAnsi="Arial" w:cs="Arial"/>
          <w:sz w:val="22"/>
        </w:rPr>
        <w:t xml:space="preserve"> M, Yoshida K, Uchida T, Sakai T, </w:t>
      </w:r>
      <w:proofErr w:type="spellStart"/>
      <w:r w:rsidR="00271FA6" w:rsidRPr="00571CE5">
        <w:rPr>
          <w:rFonts w:ascii="Arial" w:hAnsi="Arial" w:cs="Arial"/>
          <w:sz w:val="22"/>
        </w:rPr>
        <w:t>Hidai</w:t>
      </w:r>
      <w:proofErr w:type="spellEnd"/>
      <w:r w:rsidR="00271FA6" w:rsidRPr="00571CE5">
        <w:rPr>
          <w:rFonts w:ascii="Arial" w:hAnsi="Arial" w:cs="Arial"/>
          <w:sz w:val="22"/>
        </w:rPr>
        <w:t xml:space="preserve"> H, Baba S. Immediate effect of </w:t>
      </w:r>
      <w:proofErr w:type="spellStart"/>
      <w:r w:rsidR="00271FA6" w:rsidRPr="00571CE5">
        <w:rPr>
          <w:rFonts w:ascii="Arial" w:hAnsi="Arial" w:cs="Arial"/>
          <w:sz w:val="22"/>
        </w:rPr>
        <w:t>Shakuyaku</w:t>
      </w:r>
      <w:proofErr w:type="spellEnd"/>
      <w:r w:rsidR="00271FA6" w:rsidRPr="00571CE5">
        <w:rPr>
          <w:rFonts w:ascii="Arial" w:hAnsi="Arial" w:cs="Arial"/>
          <w:sz w:val="22"/>
        </w:rPr>
        <w:t>-</w:t>
      </w:r>
      <w:proofErr w:type="spellStart"/>
      <w:r w:rsidR="00271FA6" w:rsidRPr="00571CE5">
        <w:rPr>
          <w:rFonts w:ascii="Arial" w:hAnsi="Arial" w:cs="Arial"/>
          <w:sz w:val="22"/>
        </w:rPr>
        <w:t>kanzo</w:t>
      </w:r>
      <w:proofErr w:type="spellEnd"/>
      <w:r w:rsidR="00271FA6" w:rsidRPr="00571CE5">
        <w:rPr>
          <w:rFonts w:ascii="Arial" w:hAnsi="Arial" w:cs="Arial"/>
          <w:sz w:val="22"/>
        </w:rPr>
        <w:t xml:space="preserve">-to on muscle cramp in hemodialysis patients. Nephron Clin </w:t>
      </w:r>
      <w:proofErr w:type="spellStart"/>
      <w:r w:rsidR="00271FA6" w:rsidRPr="00571CE5">
        <w:rPr>
          <w:rFonts w:ascii="Arial" w:hAnsi="Arial" w:cs="Arial"/>
          <w:sz w:val="22"/>
        </w:rPr>
        <w:t>Pract</w:t>
      </w:r>
      <w:proofErr w:type="spellEnd"/>
      <w:r w:rsidR="00271FA6" w:rsidRPr="00571CE5">
        <w:rPr>
          <w:rFonts w:ascii="Arial" w:hAnsi="Arial" w:cs="Arial"/>
          <w:sz w:val="22"/>
        </w:rPr>
        <w:t xml:space="preserve"> 2006;104(1):c28-32. </w:t>
      </w:r>
      <w:proofErr w:type="spellStart"/>
      <w:r w:rsidR="00271FA6" w:rsidRPr="00571CE5">
        <w:rPr>
          <w:rFonts w:ascii="Arial" w:hAnsi="Arial" w:cs="Arial"/>
          <w:sz w:val="22"/>
        </w:rPr>
        <w:t>Epub</w:t>
      </w:r>
      <w:proofErr w:type="spellEnd"/>
      <w:r w:rsidR="00271FA6" w:rsidRPr="00571CE5">
        <w:rPr>
          <w:rFonts w:ascii="Arial" w:hAnsi="Arial" w:cs="Arial"/>
          <w:sz w:val="22"/>
        </w:rPr>
        <w:t xml:space="preserve"> 2006 May 09. </w:t>
      </w:r>
    </w:p>
    <w:p w14:paraId="43641EE6" w14:textId="782C3B65" w:rsidR="00271FA6" w:rsidRPr="00571CE5" w:rsidRDefault="007A6E19" w:rsidP="00271FA6">
      <w:pPr>
        <w:pStyle w:val="NormalWeb"/>
        <w:rPr>
          <w:rFonts w:ascii="Arial" w:hAnsi="Arial" w:cs="Arial"/>
          <w:sz w:val="22"/>
        </w:rPr>
      </w:pPr>
      <w:r>
        <w:rPr>
          <w:rFonts w:ascii="Arial" w:hAnsi="Arial" w:cs="Arial"/>
          <w:sz w:val="22"/>
        </w:rPr>
        <w:t>20</w:t>
      </w:r>
      <w:r w:rsidR="00271FA6" w:rsidRPr="00571CE5">
        <w:rPr>
          <w:rFonts w:ascii="Arial" w:hAnsi="Arial" w:cs="Arial"/>
          <w:sz w:val="22"/>
        </w:rPr>
        <w:t xml:space="preserve">.      Maki A., Hisada T, </w:t>
      </w:r>
      <w:proofErr w:type="spellStart"/>
      <w:r w:rsidR="00271FA6" w:rsidRPr="00571CE5">
        <w:rPr>
          <w:rFonts w:ascii="Arial" w:hAnsi="Arial" w:cs="Arial"/>
          <w:sz w:val="22"/>
        </w:rPr>
        <w:t>Katori</w:t>
      </w:r>
      <w:proofErr w:type="spellEnd"/>
      <w:r w:rsidR="00271FA6" w:rsidRPr="00571CE5">
        <w:rPr>
          <w:rFonts w:ascii="Arial" w:hAnsi="Arial" w:cs="Arial"/>
          <w:sz w:val="22"/>
        </w:rPr>
        <w:t xml:space="preserve"> Y. Adverse Drug Reaction Frequency Investigation of TSUMURA </w:t>
      </w:r>
      <w:proofErr w:type="spellStart"/>
      <w:r w:rsidR="00271FA6" w:rsidRPr="00571CE5">
        <w:rPr>
          <w:rFonts w:ascii="Arial" w:hAnsi="Arial" w:cs="Arial"/>
          <w:sz w:val="22"/>
        </w:rPr>
        <w:t>Shakuyakukanzoto</w:t>
      </w:r>
      <w:proofErr w:type="spellEnd"/>
      <w:r w:rsidR="00271FA6" w:rsidRPr="00571CE5">
        <w:rPr>
          <w:rFonts w:ascii="Arial" w:hAnsi="Arial" w:cs="Arial"/>
          <w:sz w:val="22"/>
        </w:rPr>
        <w:t xml:space="preserve"> Extract Granules for Ethical Use  . Diagnosis and treatment 2016;104(7):947-958. </w:t>
      </w:r>
    </w:p>
    <w:p w14:paraId="73023B10" w14:textId="20694316" w:rsidR="00271FA6" w:rsidRPr="00571CE5" w:rsidRDefault="007A6E19" w:rsidP="00271FA6">
      <w:pPr>
        <w:pStyle w:val="NormalWeb"/>
        <w:rPr>
          <w:rFonts w:ascii="Arial" w:hAnsi="Arial" w:cs="Arial"/>
          <w:sz w:val="22"/>
        </w:rPr>
      </w:pPr>
      <w:r>
        <w:rPr>
          <w:rFonts w:ascii="Arial" w:hAnsi="Arial" w:cs="Arial"/>
          <w:sz w:val="22"/>
        </w:rPr>
        <w:t>21</w:t>
      </w:r>
      <w:r w:rsidR="00271FA6" w:rsidRPr="00571CE5">
        <w:rPr>
          <w:rFonts w:ascii="Arial" w:hAnsi="Arial" w:cs="Arial"/>
          <w:sz w:val="22"/>
        </w:rPr>
        <w:t xml:space="preserve">.      Shimada S, Arai T, </w:t>
      </w:r>
      <w:proofErr w:type="spellStart"/>
      <w:r w:rsidR="00271FA6" w:rsidRPr="00571CE5">
        <w:rPr>
          <w:rFonts w:ascii="Arial" w:hAnsi="Arial" w:cs="Arial"/>
          <w:sz w:val="22"/>
        </w:rPr>
        <w:t>Tamaoka</w:t>
      </w:r>
      <w:proofErr w:type="spellEnd"/>
      <w:r w:rsidR="00271FA6" w:rsidRPr="00571CE5">
        <w:rPr>
          <w:rFonts w:ascii="Arial" w:hAnsi="Arial" w:cs="Arial"/>
          <w:sz w:val="22"/>
        </w:rPr>
        <w:t xml:space="preserve"> A, Homma M. </w:t>
      </w:r>
      <w:proofErr w:type="spellStart"/>
      <w:r w:rsidR="00271FA6" w:rsidRPr="00571CE5">
        <w:rPr>
          <w:rFonts w:ascii="Arial" w:hAnsi="Arial" w:cs="Arial"/>
          <w:sz w:val="22"/>
        </w:rPr>
        <w:t>Liquorice</w:t>
      </w:r>
      <w:proofErr w:type="spellEnd"/>
      <w:r w:rsidR="00271FA6" w:rsidRPr="00571CE5">
        <w:rPr>
          <w:rFonts w:ascii="Arial" w:hAnsi="Arial" w:cs="Arial"/>
          <w:sz w:val="22"/>
        </w:rPr>
        <w:t xml:space="preserve">-induced </w:t>
      </w:r>
      <w:proofErr w:type="spellStart"/>
      <w:r w:rsidR="00271FA6" w:rsidRPr="00571CE5">
        <w:rPr>
          <w:rFonts w:ascii="Arial" w:hAnsi="Arial" w:cs="Arial"/>
          <w:sz w:val="22"/>
        </w:rPr>
        <w:t>hypokalaemia</w:t>
      </w:r>
      <w:proofErr w:type="spellEnd"/>
      <w:r w:rsidR="00271FA6" w:rsidRPr="00571CE5">
        <w:rPr>
          <w:rFonts w:ascii="Arial" w:hAnsi="Arial" w:cs="Arial"/>
          <w:sz w:val="22"/>
        </w:rPr>
        <w:t xml:space="preserve"> in patients treated with Yokukansan preparations: identification of the risk factors in a retrospective cohort study. BMJ Open 2017 Jun 15;7(6):e014218-2016-014218. </w:t>
      </w:r>
      <w:proofErr w:type="spellStart"/>
      <w:r w:rsidR="00271FA6" w:rsidRPr="00571CE5">
        <w:rPr>
          <w:rFonts w:ascii="Arial" w:hAnsi="Arial" w:cs="Arial"/>
          <w:sz w:val="22"/>
        </w:rPr>
        <w:t>Epub</w:t>
      </w:r>
      <w:proofErr w:type="spellEnd"/>
      <w:r w:rsidR="00271FA6" w:rsidRPr="00571CE5">
        <w:rPr>
          <w:rFonts w:ascii="Arial" w:hAnsi="Arial" w:cs="Arial"/>
          <w:sz w:val="22"/>
        </w:rPr>
        <w:t xml:space="preserve"> 20170615. </w:t>
      </w:r>
    </w:p>
    <w:p w14:paraId="37A0C907" w14:textId="77777777" w:rsidR="00271FA6" w:rsidRDefault="00271FA6" w:rsidP="00271FA6"/>
    <w:p w14:paraId="5FDB9595" w14:textId="77777777" w:rsidR="00271FA6" w:rsidRDefault="00271FA6">
      <w:pPr>
        <w:rPr>
          <w:b/>
          <w:bCs/>
        </w:rPr>
      </w:pPr>
      <w:r>
        <w:rPr>
          <w:b/>
          <w:bCs/>
        </w:rPr>
        <w:br w:type="page"/>
      </w:r>
    </w:p>
    <w:p w14:paraId="6889B396" w14:textId="5983B2E0" w:rsidR="0050348B" w:rsidRPr="00A0426F" w:rsidRDefault="00271FA6" w:rsidP="0050348B">
      <w:pPr>
        <w:rPr>
          <w:b/>
          <w:bCs/>
        </w:rPr>
      </w:pPr>
      <w:r>
        <w:rPr>
          <w:b/>
          <w:bCs/>
        </w:rPr>
        <w:lastRenderedPageBreak/>
        <w:t xml:space="preserve">Supplement </w:t>
      </w:r>
      <w:r w:rsidR="0050348B" w:rsidRPr="00A0426F">
        <w:rPr>
          <w:b/>
          <w:bCs/>
        </w:rPr>
        <w:t>Table</w:t>
      </w:r>
      <w:r w:rsidR="0050348B">
        <w:rPr>
          <w:b/>
          <w:bCs/>
        </w:rPr>
        <w:t xml:space="preserve"> </w:t>
      </w:r>
      <w:r w:rsidR="00E52F9A">
        <w:rPr>
          <w:b/>
          <w:bCs/>
        </w:rPr>
        <w:t>1</w:t>
      </w:r>
      <w:r w:rsidR="0050348B">
        <w:rPr>
          <w:b/>
          <w:bCs/>
        </w:rPr>
        <w:t xml:space="preserve">. </w:t>
      </w:r>
    </w:p>
    <w:p w14:paraId="7506CE69" w14:textId="77777777" w:rsidR="0050348B" w:rsidRDefault="0050348B" w:rsidP="0050348B"/>
    <w:tbl>
      <w:tblPr>
        <w:tblStyle w:val="TableGrid"/>
        <w:tblpPr w:leftFromText="180" w:rightFromText="180" w:horzAnchor="margin" w:tblpY="720"/>
        <w:tblW w:w="0" w:type="auto"/>
        <w:tblLook w:val="04A0" w:firstRow="1" w:lastRow="0" w:firstColumn="1" w:lastColumn="0" w:noHBand="0" w:noVBand="1"/>
      </w:tblPr>
      <w:tblGrid>
        <w:gridCol w:w="445"/>
        <w:gridCol w:w="8905"/>
      </w:tblGrid>
      <w:tr w:rsidR="0050348B" w14:paraId="05B42E81" w14:textId="77777777" w:rsidTr="00472CB1">
        <w:tc>
          <w:tcPr>
            <w:tcW w:w="9350" w:type="dxa"/>
            <w:gridSpan w:val="2"/>
          </w:tcPr>
          <w:p w14:paraId="3114CAC8" w14:textId="77777777" w:rsidR="0050348B" w:rsidRPr="00196B43" w:rsidRDefault="0050348B" w:rsidP="00472CB1">
            <w:pPr>
              <w:rPr>
                <w:b/>
                <w:bCs/>
              </w:rPr>
            </w:pPr>
            <w:r w:rsidRPr="00196B43">
              <w:rPr>
                <w:b/>
                <w:bCs/>
              </w:rPr>
              <w:t>Serious Adverse Events (SAEs)</w:t>
            </w:r>
          </w:p>
        </w:tc>
      </w:tr>
      <w:tr w:rsidR="0050348B" w14:paraId="6C8969EF" w14:textId="77777777" w:rsidTr="00472CB1">
        <w:tc>
          <w:tcPr>
            <w:tcW w:w="445" w:type="dxa"/>
          </w:tcPr>
          <w:p w14:paraId="6C68C827" w14:textId="77777777" w:rsidR="0050348B" w:rsidRDefault="0050348B" w:rsidP="00472CB1">
            <w:r>
              <w:t>1.</w:t>
            </w:r>
          </w:p>
        </w:tc>
        <w:tc>
          <w:tcPr>
            <w:tcW w:w="8905" w:type="dxa"/>
          </w:tcPr>
          <w:p w14:paraId="0AD37057" w14:textId="77777777" w:rsidR="0050348B" w:rsidRPr="00196B43" w:rsidRDefault="0050348B" w:rsidP="00472CB1">
            <w:pPr>
              <w:rPr>
                <w:b/>
                <w:bCs/>
              </w:rPr>
            </w:pPr>
            <w:r w:rsidRPr="00196B43">
              <w:rPr>
                <w:b/>
                <w:bCs/>
              </w:rPr>
              <w:t xml:space="preserve">Results in </w:t>
            </w:r>
            <w:r>
              <w:rPr>
                <w:b/>
                <w:bCs/>
              </w:rPr>
              <w:t>D</w:t>
            </w:r>
            <w:r w:rsidRPr="00196B43">
              <w:rPr>
                <w:b/>
                <w:bCs/>
              </w:rPr>
              <w:t>eath</w:t>
            </w:r>
          </w:p>
        </w:tc>
      </w:tr>
      <w:tr w:rsidR="0050348B" w14:paraId="2BDE9C92" w14:textId="77777777" w:rsidTr="00472CB1">
        <w:tc>
          <w:tcPr>
            <w:tcW w:w="445" w:type="dxa"/>
          </w:tcPr>
          <w:p w14:paraId="6EB1D5BB" w14:textId="77777777" w:rsidR="0050348B" w:rsidRDefault="0050348B" w:rsidP="00472CB1"/>
        </w:tc>
        <w:tc>
          <w:tcPr>
            <w:tcW w:w="8905" w:type="dxa"/>
          </w:tcPr>
          <w:p w14:paraId="376153F5" w14:textId="77777777" w:rsidR="0050348B" w:rsidRPr="000E6092" w:rsidRDefault="0050348B" w:rsidP="00472CB1">
            <w:r w:rsidRPr="000E6092">
              <w:t>Death is selected as a seriousness criterion ONLY when the event is the cause of death. Death is an outcome and the event which led to the death should be the reported event term.</w:t>
            </w:r>
          </w:p>
        </w:tc>
      </w:tr>
      <w:tr w:rsidR="0050348B" w14:paraId="27AD8904" w14:textId="77777777" w:rsidTr="00472CB1">
        <w:tc>
          <w:tcPr>
            <w:tcW w:w="445" w:type="dxa"/>
          </w:tcPr>
          <w:p w14:paraId="16295A38" w14:textId="77777777" w:rsidR="0050348B" w:rsidRDefault="0050348B" w:rsidP="00472CB1">
            <w:r>
              <w:t>2</w:t>
            </w:r>
            <w:r w:rsidRPr="000E6092">
              <w:t xml:space="preserve">. </w:t>
            </w:r>
          </w:p>
        </w:tc>
        <w:tc>
          <w:tcPr>
            <w:tcW w:w="8905" w:type="dxa"/>
          </w:tcPr>
          <w:p w14:paraId="4B76CD44" w14:textId="77777777" w:rsidR="0050348B" w:rsidRPr="00196B43" w:rsidRDefault="0050348B" w:rsidP="00472CB1">
            <w:pPr>
              <w:rPr>
                <w:b/>
                <w:bCs/>
              </w:rPr>
            </w:pPr>
            <w:r w:rsidRPr="00196B43">
              <w:rPr>
                <w:b/>
                <w:bCs/>
              </w:rPr>
              <w:t>Life-Threatening</w:t>
            </w:r>
            <w:r>
              <w:rPr>
                <w:b/>
                <w:bCs/>
              </w:rPr>
              <w:t xml:space="preserve"> Events</w:t>
            </w:r>
          </w:p>
        </w:tc>
      </w:tr>
      <w:tr w:rsidR="0050348B" w14:paraId="0BA9441F" w14:textId="77777777" w:rsidTr="00472CB1">
        <w:tc>
          <w:tcPr>
            <w:tcW w:w="445" w:type="dxa"/>
          </w:tcPr>
          <w:p w14:paraId="476E13BA" w14:textId="77777777" w:rsidR="0050348B" w:rsidRDefault="0050348B" w:rsidP="00472CB1"/>
        </w:tc>
        <w:tc>
          <w:tcPr>
            <w:tcW w:w="8905" w:type="dxa"/>
          </w:tcPr>
          <w:p w14:paraId="64F7A607" w14:textId="77777777" w:rsidR="0050348B" w:rsidRDefault="0050348B" w:rsidP="00472CB1">
            <w:r w:rsidRPr="000E6092">
              <w:t>The term 'life-threatening' in the definition of 'serious' refers to an event in which the patient was at risk of death at the time of the event. It does not refer to an event that hypothetically might have caused death if it were more severe, prolonged, or untreated.</w:t>
            </w:r>
          </w:p>
        </w:tc>
      </w:tr>
      <w:tr w:rsidR="0050348B" w14:paraId="3AC79C2C" w14:textId="77777777" w:rsidTr="00472CB1">
        <w:tc>
          <w:tcPr>
            <w:tcW w:w="445" w:type="dxa"/>
          </w:tcPr>
          <w:p w14:paraId="77A70A1D" w14:textId="77777777" w:rsidR="0050348B" w:rsidRDefault="0050348B" w:rsidP="00472CB1">
            <w:r>
              <w:t>3.</w:t>
            </w:r>
          </w:p>
        </w:tc>
        <w:tc>
          <w:tcPr>
            <w:tcW w:w="8905" w:type="dxa"/>
          </w:tcPr>
          <w:p w14:paraId="5E3BE4DB" w14:textId="77777777" w:rsidR="0050348B" w:rsidRPr="00196B43" w:rsidRDefault="0050348B" w:rsidP="00472CB1">
            <w:pPr>
              <w:rPr>
                <w:b/>
                <w:bCs/>
              </w:rPr>
            </w:pPr>
            <w:r>
              <w:rPr>
                <w:b/>
                <w:bCs/>
              </w:rPr>
              <w:t xml:space="preserve">Requiring </w:t>
            </w:r>
            <w:r w:rsidRPr="00196B43">
              <w:rPr>
                <w:b/>
                <w:bCs/>
              </w:rPr>
              <w:t>Hospitalization or Prolongation of Existing hospitalization</w:t>
            </w:r>
          </w:p>
        </w:tc>
      </w:tr>
      <w:tr w:rsidR="0050348B" w14:paraId="027868AB" w14:textId="77777777" w:rsidTr="00472CB1">
        <w:tc>
          <w:tcPr>
            <w:tcW w:w="445" w:type="dxa"/>
          </w:tcPr>
          <w:p w14:paraId="16BF0C11" w14:textId="77777777" w:rsidR="0050348B" w:rsidRDefault="0050348B" w:rsidP="00472CB1"/>
        </w:tc>
        <w:tc>
          <w:tcPr>
            <w:tcW w:w="8905" w:type="dxa"/>
          </w:tcPr>
          <w:p w14:paraId="3A3EB7FA" w14:textId="77777777" w:rsidR="0050348B" w:rsidRDefault="0050348B" w:rsidP="00472CB1">
            <w:r w:rsidRPr="000E6092">
              <w:t xml:space="preserve">Hospitalization signifies that the subject has been admitted to the hospital as an in-patient for any length of time. Emergency room treatment does not qualify for this category but may be appropriately included (see below). If a complication prolongs the hospitalization or fulfills any other seriousness criterion or criteria, the complication will be considered an additional SAE. When in doubt as to whether ‘hospitalization’ occurred, we will consult the Medical </w:t>
            </w:r>
            <w:r>
              <w:t xml:space="preserve">Safety </w:t>
            </w:r>
            <w:r w:rsidRPr="000E6092">
              <w:t>Officer.</w:t>
            </w:r>
          </w:p>
          <w:p w14:paraId="1324B675" w14:textId="77777777" w:rsidR="0050348B" w:rsidRDefault="0050348B" w:rsidP="00472CB1">
            <w:r>
              <w:t xml:space="preserve">   </w:t>
            </w:r>
            <w:r w:rsidRPr="00196B43">
              <w:t>Hospitalization should not be considered an AE term in itself. It will be considered an outcome of an AE. For example, hospitalization for an elective treatment of a pre-existing condition that did not worsen after the first dose of the investigational product will not be considered an AE.</w:t>
            </w:r>
          </w:p>
        </w:tc>
      </w:tr>
      <w:tr w:rsidR="0050348B" w14:paraId="5D21943F" w14:textId="77777777" w:rsidTr="00472CB1">
        <w:tc>
          <w:tcPr>
            <w:tcW w:w="445" w:type="dxa"/>
          </w:tcPr>
          <w:p w14:paraId="60542A82" w14:textId="77777777" w:rsidR="0050348B" w:rsidRDefault="0050348B" w:rsidP="00472CB1">
            <w:r>
              <w:t xml:space="preserve">4. </w:t>
            </w:r>
          </w:p>
        </w:tc>
        <w:tc>
          <w:tcPr>
            <w:tcW w:w="8905" w:type="dxa"/>
          </w:tcPr>
          <w:p w14:paraId="17EF9486" w14:textId="77777777" w:rsidR="0050348B" w:rsidRPr="00196B43" w:rsidRDefault="0050348B" w:rsidP="00472CB1">
            <w:pPr>
              <w:rPr>
                <w:b/>
                <w:bCs/>
              </w:rPr>
            </w:pPr>
            <w:r w:rsidRPr="00196B43">
              <w:rPr>
                <w:b/>
                <w:bCs/>
              </w:rPr>
              <w:t xml:space="preserve">Results in </w:t>
            </w:r>
            <w:r>
              <w:rPr>
                <w:b/>
                <w:bCs/>
              </w:rPr>
              <w:t>D</w:t>
            </w:r>
            <w:r w:rsidRPr="00196B43">
              <w:rPr>
                <w:b/>
                <w:bCs/>
              </w:rPr>
              <w:t>isability</w:t>
            </w:r>
            <w:r>
              <w:rPr>
                <w:b/>
                <w:bCs/>
              </w:rPr>
              <w:t>, I</w:t>
            </w:r>
            <w:r w:rsidRPr="00196B43">
              <w:rPr>
                <w:b/>
                <w:bCs/>
              </w:rPr>
              <w:t>ncapacity</w:t>
            </w:r>
            <w:r>
              <w:rPr>
                <w:b/>
                <w:bCs/>
              </w:rPr>
              <w:t>, or Both</w:t>
            </w:r>
          </w:p>
        </w:tc>
      </w:tr>
      <w:tr w:rsidR="0050348B" w14:paraId="267E0E5B" w14:textId="77777777" w:rsidTr="00472CB1">
        <w:tc>
          <w:tcPr>
            <w:tcW w:w="445" w:type="dxa"/>
          </w:tcPr>
          <w:p w14:paraId="6C411E3C" w14:textId="77777777" w:rsidR="0050348B" w:rsidRDefault="0050348B" w:rsidP="00472CB1"/>
        </w:tc>
        <w:tc>
          <w:tcPr>
            <w:tcW w:w="8905" w:type="dxa"/>
          </w:tcPr>
          <w:p w14:paraId="1931CC79" w14:textId="77777777" w:rsidR="0050348B" w:rsidRDefault="0050348B" w:rsidP="00472CB1">
            <w:r w:rsidRPr="00196B43">
              <w:t>The term disability means a substantial or permanent disruption of a person’s ability to conduct normal life functions. This definition is not intended to include experiences of relatively minor medical significance, such as uncomplicated headache, nausea, vomiting, diarrhea, influenza, and accidental trauma (e.g., sprained ankle) that may temporarily interfere with or prevent everyday life functions but do not constitute a substantial or permanent disruption.</w:t>
            </w:r>
          </w:p>
        </w:tc>
      </w:tr>
      <w:tr w:rsidR="0050348B" w14:paraId="26CF990A" w14:textId="77777777" w:rsidTr="00472CB1">
        <w:tc>
          <w:tcPr>
            <w:tcW w:w="445" w:type="dxa"/>
          </w:tcPr>
          <w:p w14:paraId="4CF98F13" w14:textId="77777777" w:rsidR="0050348B" w:rsidRDefault="0050348B" w:rsidP="00472CB1">
            <w:r>
              <w:t>5.</w:t>
            </w:r>
          </w:p>
        </w:tc>
        <w:tc>
          <w:tcPr>
            <w:tcW w:w="8905" w:type="dxa"/>
          </w:tcPr>
          <w:p w14:paraId="1CF2B9D3" w14:textId="77777777" w:rsidR="0050348B" w:rsidRPr="00196B43" w:rsidRDefault="0050348B" w:rsidP="00472CB1">
            <w:pPr>
              <w:rPr>
                <w:b/>
                <w:bCs/>
              </w:rPr>
            </w:pPr>
            <w:r w:rsidRPr="00196B43">
              <w:rPr>
                <w:b/>
                <w:bCs/>
              </w:rPr>
              <w:t xml:space="preserve">An </w:t>
            </w:r>
            <w:r>
              <w:rPr>
                <w:b/>
                <w:bCs/>
              </w:rPr>
              <w:t>I</w:t>
            </w:r>
            <w:r w:rsidRPr="00196B43">
              <w:rPr>
                <w:b/>
                <w:bCs/>
              </w:rPr>
              <w:t xml:space="preserve">mportant </w:t>
            </w:r>
            <w:r>
              <w:rPr>
                <w:b/>
                <w:bCs/>
              </w:rPr>
              <w:t>M</w:t>
            </w:r>
            <w:r w:rsidRPr="00196B43">
              <w:rPr>
                <w:b/>
                <w:bCs/>
              </w:rPr>
              <w:t xml:space="preserve">edical </w:t>
            </w:r>
            <w:r>
              <w:rPr>
                <w:b/>
                <w:bCs/>
              </w:rPr>
              <w:t>E</w:t>
            </w:r>
            <w:r w:rsidRPr="00196B43">
              <w:rPr>
                <w:b/>
                <w:bCs/>
              </w:rPr>
              <w:t>vent</w:t>
            </w:r>
          </w:p>
        </w:tc>
      </w:tr>
      <w:tr w:rsidR="0050348B" w14:paraId="3A3E87B5" w14:textId="77777777" w:rsidTr="00472CB1">
        <w:tc>
          <w:tcPr>
            <w:tcW w:w="445" w:type="dxa"/>
          </w:tcPr>
          <w:p w14:paraId="052ECFC1" w14:textId="77777777" w:rsidR="0050348B" w:rsidRDefault="0050348B" w:rsidP="00472CB1"/>
        </w:tc>
        <w:tc>
          <w:tcPr>
            <w:tcW w:w="8905" w:type="dxa"/>
          </w:tcPr>
          <w:p w14:paraId="6FE4DEA6" w14:textId="77777777" w:rsidR="0050348B" w:rsidRPr="00196B43" w:rsidRDefault="0050348B" w:rsidP="00472CB1">
            <w:pPr>
              <w:pStyle w:val="Default"/>
              <w:rPr>
                <w:rFonts w:ascii="Arial" w:hAnsi="Arial" w:cs="Arial"/>
                <w:sz w:val="22"/>
                <w:szCs w:val="22"/>
              </w:rPr>
            </w:pPr>
            <w:r w:rsidRPr="002D2715">
              <w:rPr>
                <w:rFonts w:ascii="Arial" w:hAnsi="Arial" w:cs="Arial"/>
                <w:sz w:val="22"/>
                <w:szCs w:val="22"/>
              </w:rPr>
              <w:t>Important medical events that may not be immediately life-threatening or result in death or hospitalization but may jeopardize the patient or may require medical or surgical intervention to prevent one of the other outcomes listed in the above definition may be considered serious.</w:t>
            </w:r>
          </w:p>
        </w:tc>
      </w:tr>
    </w:tbl>
    <w:p w14:paraId="05BB696C" w14:textId="2129944C" w:rsidR="0050348B" w:rsidRDefault="0050348B" w:rsidP="0050348B">
      <w:r>
        <w:t xml:space="preserve">The definition of SAE is similar to any protocol.  It is adopted from various previous study protocols. </w:t>
      </w:r>
    </w:p>
    <w:p w14:paraId="01C8053E" w14:textId="77777777" w:rsidR="0050348B" w:rsidRDefault="0050348B" w:rsidP="0050348B"/>
    <w:p w14:paraId="717DC70E" w14:textId="77777777" w:rsidR="0050348B" w:rsidRDefault="0050348B" w:rsidP="0050348B">
      <w:r>
        <w:br w:type="page"/>
      </w:r>
    </w:p>
    <w:p w14:paraId="014A5263" w14:textId="77777777" w:rsidR="0050348B" w:rsidRDefault="0050348B" w:rsidP="0050348B"/>
    <w:p w14:paraId="1B47528B" w14:textId="2EE9D90F" w:rsidR="0050348B" w:rsidRPr="007B53AC" w:rsidRDefault="007B53AC" w:rsidP="0050348B">
      <w:pPr>
        <w:rPr>
          <w:b/>
          <w:bCs/>
        </w:rPr>
      </w:pPr>
      <w:r>
        <w:rPr>
          <w:b/>
          <w:bCs/>
        </w:rPr>
        <w:t xml:space="preserve">Supplement </w:t>
      </w:r>
      <w:r w:rsidR="0050348B" w:rsidRPr="00271FA6">
        <w:rPr>
          <w:b/>
          <w:bCs/>
        </w:rPr>
        <w:t xml:space="preserve">Table </w:t>
      </w:r>
      <w:r w:rsidR="00E52F9A">
        <w:rPr>
          <w:b/>
          <w:bCs/>
        </w:rPr>
        <w:t>2</w:t>
      </w:r>
      <w:r w:rsidR="0050348B" w:rsidRPr="007B53AC">
        <w:rPr>
          <w:b/>
          <w:bCs/>
        </w:rPr>
        <w:t>. Consideration of Causality of Adverse Events and Expectedness in the Couse of ALS</w:t>
      </w:r>
    </w:p>
    <w:p w14:paraId="1A366947" w14:textId="77777777" w:rsidR="0050348B" w:rsidRDefault="0050348B" w:rsidP="0050348B"/>
    <w:tbl>
      <w:tblPr>
        <w:tblStyle w:val="TableGrid"/>
        <w:tblW w:w="0" w:type="auto"/>
        <w:tblLook w:val="04A0" w:firstRow="1" w:lastRow="0" w:firstColumn="1" w:lastColumn="0" w:noHBand="0" w:noVBand="1"/>
      </w:tblPr>
      <w:tblGrid>
        <w:gridCol w:w="715"/>
        <w:gridCol w:w="4677"/>
        <w:gridCol w:w="3958"/>
      </w:tblGrid>
      <w:tr w:rsidR="0050348B" w14:paraId="040A9E87" w14:textId="77777777" w:rsidTr="00472CB1">
        <w:tc>
          <w:tcPr>
            <w:tcW w:w="9350" w:type="dxa"/>
            <w:gridSpan w:val="3"/>
          </w:tcPr>
          <w:p w14:paraId="34719269" w14:textId="77777777" w:rsidR="0050348B" w:rsidRPr="00081B56" w:rsidRDefault="0050348B" w:rsidP="00472CB1">
            <w:pPr>
              <w:pStyle w:val="Heading3"/>
              <w:rPr>
                <w:rFonts w:ascii="Arial" w:hAnsi="Arial" w:cs="Arial"/>
                <w:b/>
                <w:bCs/>
                <w:sz w:val="22"/>
                <w:szCs w:val="22"/>
              </w:rPr>
            </w:pPr>
            <w:r w:rsidRPr="008F2D04">
              <w:rPr>
                <w:rFonts w:ascii="Arial" w:hAnsi="Arial" w:cs="Arial"/>
                <w:b/>
                <w:bCs/>
                <w:sz w:val="22"/>
                <w:szCs w:val="22"/>
              </w:rPr>
              <w:t>Assessment of Causality</w:t>
            </w:r>
          </w:p>
        </w:tc>
      </w:tr>
      <w:tr w:rsidR="0050348B" w14:paraId="181800C7" w14:textId="77777777" w:rsidTr="00472CB1">
        <w:tc>
          <w:tcPr>
            <w:tcW w:w="715" w:type="dxa"/>
          </w:tcPr>
          <w:p w14:paraId="26704ABE" w14:textId="77777777" w:rsidR="0050348B" w:rsidRDefault="0050348B" w:rsidP="00472CB1"/>
        </w:tc>
        <w:tc>
          <w:tcPr>
            <w:tcW w:w="8635" w:type="dxa"/>
            <w:gridSpan w:val="2"/>
          </w:tcPr>
          <w:p w14:paraId="3CF024DE" w14:textId="77777777" w:rsidR="0050348B" w:rsidRPr="00004AA0" w:rsidRDefault="0050348B" w:rsidP="00472CB1">
            <w:pPr>
              <w:pStyle w:val="Default"/>
              <w:spacing w:after="69"/>
              <w:rPr>
                <w:rFonts w:ascii="Arial" w:hAnsi="Arial" w:cs="Arial"/>
                <w:sz w:val="22"/>
                <w:szCs w:val="22"/>
              </w:rPr>
            </w:pPr>
            <w:r w:rsidRPr="00004AA0">
              <w:rPr>
                <w:rFonts w:ascii="Arial" w:hAnsi="Arial" w:cs="Arial"/>
                <w:sz w:val="22"/>
                <w:szCs w:val="22"/>
              </w:rPr>
              <w:t>• Temporal association between the administration of the investigational</w:t>
            </w:r>
            <w:r>
              <w:rPr>
                <w:rFonts w:ascii="Arial" w:hAnsi="Arial" w:cs="Arial"/>
                <w:sz w:val="22"/>
                <w:szCs w:val="22"/>
              </w:rPr>
              <w:t xml:space="preserve"> </w:t>
            </w:r>
            <w:r w:rsidRPr="00004AA0">
              <w:rPr>
                <w:rFonts w:ascii="Arial" w:hAnsi="Arial" w:cs="Arial"/>
                <w:sz w:val="22"/>
                <w:szCs w:val="22"/>
              </w:rPr>
              <w:t xml:space="preserve">product and the event </w:t>
            </w:r>
          </w:p>
          <w:p w14:paraId="63C31F91" w14:textId="77777777" w:rsidR="0050348B" w:rsidRPr="00004AA0" w:rsidRDefault="0050348B" w:rsidP="00472CB1">
            <w:pPr>
              <w:pStyle w:val="Default"/>
              <w:spacing w:after="69"/>
              <w:rPr>
                <w:rFonts w:ascii="Arial" w:hAnsi="Arial" w:cs="Arial"/>
                <w:sz w:val="22"/>
                <w:szCs w:val="22"/>
              </w:rPr>
            </w:pPr>
            <w:r w:rsidRPr="00004AA0">
              <w:rPr>
                <w:rFonts w:ascii="Arial" w:hAnsi="Arial" w:cs="Arial"/>
                <w:sz w:val="22"/>
                <w:szCs w:val="22"/>
              </w:rPr>
              <w:t xml:space="preserve">• Cessation of the AE following discontinuation of dosing </w:t>
            </w:r>
          </w:p>
          <w:p w14:paraId="4F9EE7C6" w14:textId="77777777" w:rsidR="0050348B" w:rsidRPr="00004AA0" w:rsidRDefault="0050348B" w:rsidP="00472CB1">
            <w:pPr>
              <w:pStyle w:val="Default"/>
              <w:spacing w:after="69"/>
              <w:rPr>
                <w:rFonts w:ascii="Arial" w:hAnsi="Arial" w:cs="Arial"/>
                <w:sz w:val="22"/>
                <w:szCs w:val="22"/>
              </w:rPr>
            </w:pPr>
            <w:r w:rsidRPr="00004AA0">
              <w:rPr>
                <w:rFonts w:ascii="Arial" w:hAnsi="Arial" w:cs="Arial"/>
                <w:sz w:val="22"/>
                <w:szCs w:val="22"/>
              </w:rPr>
              <w:t xml:space="preserve">• Recurrence of the AE with reintroduction of study drug, if performed </w:t>
            </w:r>
          </w:p>
          <w:p w14:paraId="1E2E7890" w14:textId="77777777" w:rsidR="0050348B" w:rsidRPr="00004AA0" w:rsidRDefault="0050348B" w:rsidP="00472CB1">
            <w:pPr>
              <w:pStyle w:val="Default"/>
              <w:spacing w:after="69"/>
              <w:rPr>
                <w:rFonts w:ascii="Arial" w:hAnsi="Arial" w:cs="Arial"/>
                <w:sz w:val="22"/>
                <w:szCs w:val="22"/>
              </w:rPr>
            </w:pPr>
            <w:r w:rsidRPr="00004AA0">
              <w:rPr>
                <w:rFonts w:ascii="Arial" w:hAnsi="Arial" w:cs="Arial"/>
                <w:sz w:val="22"/>
                <w:szCs w:val="22"/>
              </w:rPr>
              <w:t xml:space="preserve">• Similarity to known class effects </w:t>
            </w:r>
          </w:p>
          <w:p w14:paraId="77D3F9C9" w14:textId="77777777" w:rsidR="0050348B" w:rsidRPr="00004AA0" w:rsidRDefault="0050348B" w:rsidP="00472CB1">
            <w:pPr>
              <w:pStyle w:val="Default"/>
              <w:spacing w:after="67"/>
              <w:rPr>
                <w:rFonts w:ascii="Arial" w:hAnsi="Arial" w:cs="Arial"/>
                <w:sz w:val="22"/>
                <w:szCs w:val="22"/>
              </w:rPr>
            </w:pPr>
            <w:r w:rsidRPr="00004AA0">
              <w:rPr>
                <w:rFonts w:ascii="Arial" w:hAnsi="Arial" w:cs="Arial"/>
                <w:sz w:val="22"/>
                <w:szCs w:val="22"/>
              </w:rPr>
              <w:t xml:space="preserve">• Alternative causes, such as known effects of concomitant medications </w:t>
            </w:r>
          </w:p>
          <w:p w14:paraId="1A228D2E" w14:textId="77777777" w:rsidR="0050348B" w:rsidRPr="00004AA0" w:rsidRDefault="0050348B" w:rsidP="00472CB1">
            <w:pPr>
              <w:pStyle w:val="Default"/>
              <w:spacing w:after="67"/>
              <w:ind w:left="720"/>
              <w:rPr>
                <w:rFonts w:ascii="Arial" w:hAnsi="Arial" w:cs="Arial"/>
                <w:sz w:val="22"/>
                <w:szCs w:val="22"/>
              </w:rPr>
            </w:pPr>
            <w:r w:rsidRPr="00004AA0">
              <w:rPr>
                <w:rFonts w:ascii="Arial" w:hAnsi="Arial" w:cs="Arial"/>
                <w:sz w:val="22"/>
                <w:szCs w:val="22"/>
              </w:rPr>
              <w:t xml:space="preserve">− Pre-existing risk factors </w:t>
            </w:r>
          </w:p>
          <w:p w14:paraId="3A8EEC9C" w14:textId="77777777" w:rsidR="0050348B" w:rsidRDefault="0050348B" w:rsidP="00472CB1">
            <w:pPr>
              <w:pStyle w:val="Default"/>
              <w:ind w:left="720"/>
            </w:pPr>
            <w:r w:rsidRPr="00004AA0">
              <w:rPr>
                <w:rFonts w:ascii="Arial" w:hAnsi="Arial" w:cs="Arial"/>
                <w:sz w:val="22"/>
                <w:szCs w:val="22"/>
              </w:rPr>
              <w:t xml:space="preserve">− Concurrent illnesses </w:t>
            </w:r>
          </w:p>
        </w:tc>
      </w:tr>
      <w:tr w:rsidR="0050348B" w14:paraId="700F7BBF" w14:textId="77777777" w:rsidTr="00472CB1">
        <w:tc>
          <w:tcPr>
            <w:tcW w:w="9350" w:type="dxa"/>
            <w:gridSpan w:val="3"/>
          </w:tcPr>
          <w:p w14:paraId="6BE29F8B" w14:textId="77777777" w:rsidR="0050348B" w:rsidRPr="00081B56" w:rsidRDefault="0050348B" w:rsidP="00472CB1">
            <w:pPr>
              <w:pStyle w:val="Heading2"/>
              <w:spacing w:before="150" w:after="150"/>
              <w:rPr>
                <w:rFonts w:ascii="Arial" w:hAnsi="Arial" w:cs="Arial"/>
                <w:sz w:val="22"/>
                <w:szCs w:val="22"/>
              </w:rPr>
            </w:pPr>
            <w:r>
              <w:rPr>
                <w:rFonts w:ascii="Arial" w:hAnsi="Arial" w:cs="Arial"/>
                <w:b/>
                <w:bCs/>
                <w:color w:val="auto"/>
                <w:sz w:val="22"/>
                <w:szCs w:val="22"/>
              </w:rPr>
              <w:t xml:space="preserve">Assessment of Expectedness: Based on </w:t>
            </w:r>
            <w:r w:rsidRPr="00081B56">
              <w:rPr>
                <w:rFonts w:ascii="Arial" w:hAnsi="Arial" w:cs="Arial"/>
                <w:b/>
                <w:bCs/>
                <w:color w:val="auto"/>
                <w:sz w:val="22"/>
                <w:szCs w:val="22"/>
              </w:rPr>
              <w:t>Medical Dictionary for Regulatory Activities (MedDRA)</w:t>
            </w:r>
          </w:p>
        </w:tc>
      </w:tr>
      <w:tr w:rsidR="0050348B" w14:paraId="1C5202FE" w14:textId="77777777" w:rsidTr="00472CB1">
        <w:tc>
          <w:tcPr>
            <w:tcW w:w="715" w:type="dxa"/>
          </w:tcPr>
          <w:p w14:paraId="1D0B5017" w14:textId="77777777" w:rsidR="0050348B" w:rsidRDefault="0050348B" w:rsidP="00472CB1"/>
        </w:tc>
        <w:tc>
          <w:tcPr>
            <w:tcW w:w="4677" w:type="dxa"/>
          </w:tcPr>
          <w:p w14:paraId="560C4604" w14:textId="7DDF5F83" w:rsidR="0050348B" w:rsidRDefault="00DC7B62" w:rsidP="00472CB1">
            <w:r>
              <w:t>Dysarthria</w:t>
            </w:r>
          </w:p>
          <w:p w14:paraId="2FE6E21E" w14:textId="77777777" w:rsidR="0050348B" w:rsidRDefault="0050348B" w:rsidP="00472CB1">
            <w:r>
              <w:t>Dysphagia</w:t>
            </w:r>
          </w:p>
          <w:p w14:paraId="477D6A7F" w14:textId="77777777" w:rsidR="0050348B" w:rsidRDefault="0050348B" w:rsidP="00472CB1">
            <w:r>
              <w:t>Dyspnea</w:t>
            </w:r>
          </w:p>
          <w:p w14:paraId="316B5C8F" w14:textId="77777777" w:rsidR="0050348B" w:rsidRDefault="0050348B" w:rsidP="00472CB1">
            <w:r>
              <w:t>Gait disturbance</w:t>
            </w:r>
          </w:p>
          <w:p w14:paraId="7ECAAC4B" w14:textId="77777777" w:rsidR="0050348B" w:rsidRDefault="0050348B" w:rsidP="00472CB1">
            <w:r>
              <w:t>Involuntary muscle contractions</w:t>
            </w:r>
          </w:p>
          <w:p w14:paraId="4040AAFD" w14:textId="77777777" w:rsidR="0050348B" w:rsidRDefault="0050348B" w:rsidP="00472CB1">
            <w:r>
              <w:t>Muscle spasms</w:t>
            </w:r>
          </w:p>
        </w:tc>
        <w:tc>
          <w:tcPr>
            <w:tcW w:w="3958" w:type="dxa"/>
          </w:tcPr>
          <w:p w14:paraId="0BEC7B90" w14:textId="77777777" w:rsidR="0050348B" w:rsidRDefault="0050348B" w:rsidP="00472CB1">
            <w:r>
              <w:t>Muscle spasticity</w:t>
            </w:r>
          </w:p>
          <w:p w14:paraId="0A4CFA04" w14:textId="77777777" w:rsidR="0050348B" w:rsidRDefault="0050348B" w:rsidP="00472CB1">
            <w:r>
              <w:t>Muscle weakness</w:t>
            </w:r>
          </w:p>
          <w:p w14:paraId="46200F7E" w14:textId="77777777" w:rsidR="0050348B" w:rsidRDefault="0050348B" w:rsidP="00472CB1">
            <w:r>
              <w:t>Muscle stiffness</w:t>
            </w:r>
          </w:p>
          <w:p w14:paraId="56FF3CC6" w14:textId="77777777" w:rsidR="0050348B" w:rsidRDefault="0050348B" w:rsidP="00472CB1">
            <w:r>
              <w:t>Pneumonia aspiration</w:t>
            </w:r>
          </w:p>
          <w:p w14:paraId="18CB5644" w14:textId="7D6012A8" w:rsidR="0050348B" w:rsidRDefault="00DC7B62" w:rsidP="00472CB1">
            <w:r>
              <w:t>Respiratory</w:t>
            </w:r>
            <w:r w:rsidR="0050348B">
              <w:t xml:space="preserve"> failure</w:t>
            </w:r>
          </w:p>
          <w:p w14:paraId="4BB93C7A" w14:textId="77777777" w:rsidR="0050348B" w:rsidRDefault="0050348B" w:rsidP="00472CB1">
            <w:r>
              <w:t>Weight loss</w:t>
            </w:r>
          </w:p>
        </w:tc>
      </w:tr>
    </w:tbl>
    <w:p w14:paraId="1149889E" w14:textId="77777777" w:rsidR="0050348B" w:rsidRDefault="0050348B" w:rsidP="0050348B"/>
    <w:p w14:paraId="4D0ACDAB" w14:textId="77777777" w:rsidR="0050348B" w:rsidRDefault="0050348B" w:rsidP="0050348B"/>
    <w:p w14:paraId="328102C5" w14:textId="77777777" w:rsidR="0050348B" w:rsidRDefault="0050348B" w:rsidP="0050348B"/>
    <w:p w14:paraId="1A541DC1" w14:textId="77777777" w:rsidR="0050348B" w:rsidRDefault="0050348B" w:rsidP="0050348B"/>
    <w:p w14:paraId="280634F4" w14:textId="77777777" w:rsidR="0050348B" w:rsidRDefault="0050348B" w:rsidP="0050348B">
      <w:r>
        <w:br w:type="page"/>
      </w:r>
    </w:p>
    <w:p w14:paraId="112A4531" w14:textId="77777777" w:rsidR="0050348B" w:rsidRDefault="0050348B" w:rsidP="0050348B"/>
    <w:p w14:paraId="1DAD2665" w14:textId="0EEF407F" w:rsidR="0050348B" w:rsidRDefault="007B53AC" w:rsidP="0050348B">
      <w:r>
        <w:rPr>
          <w:b/>
          <w:bCs/>
        </w:rPr>
        <w:t xml:space="preserve">Supplement </w:t>
      </w:r>
      <w:r w:rsidR="0050348B" w:rsidRPr="00AE6F2B">
        <w:rPr>
          <w:b/>
          <w:bCs/>
        </w:rPr>
        <w:t xml:space="preserve">Table </w:t>
      </w:r>
      <w:r w:rsidR="00E52F9A">
        <w:rPr>
          <w:b/>
          <w:bCs/>
        </w:rPr>
        <w:t>3</w:t>
      </w:r>
      <w:r w:rsidR="0050348B" w:rsidRPr="00AE6F2B">
        <w:rPr>
          <w:b/>
          <w:bCs/>
        </w:rPr>
        <w:t>.</w:t>
      </w:r>
      <w:r w:rsidR="0050348B">
        <w:t xml:space="preserve"> </w:t>
      </w:r>
      <w:r w:rsidR="0050348B" w:rsidRPr="00AE6F2B">
        <w:rPr>
          <w:b/>
          <w:bCs/>
        </w:rPr>
        <w:t>Dealing with</w:t>
      </w:r>
      <w:r w:rsidR="0050348B">
        <w:t xml:space="preserve"> </w:t>
      </w:r>
      <w:r w:rsidR="0050348B" w:rsidRPr="009907A3">
        <w:rPr>
          <w:b/>
          <w:bCs/>
        </w:rPr>
        <w:t>Unanticipated Problems (UPs)</w:t>
      </w:r>
    </w:p>
    <w:p w14:paraId="16A6B002" w14:textId="77777777" w:rsidR="0050348B" w:rsidRDefault="0050348B" w:rsidP="0050348B"/>
    <w:tbl>
      <w:tblPr>
        <w:tblStyle w:val="TableGrid"/>
        <w:tblW w:w="0" w:type="auto"/>
        <w:tblLook w:val="04A0" w:firstRow="1" w:lastRow="0" w:firstColumn="1" w:lastColumn="0" w:noHBand="0" w:noVBand="1"/>
      </w:tblPr>
      <w:tblGrid>
        <w:gridCol w:w="512"/>
        <w:gridCol w:w="8838"/>
      </w:tblGrid>
      <w:tr w:rsidR="0050348B" w14:paraId="08698C5D" w14:textId="77777777" w:rsidTr="00472CB1">
        <w:tc>
          <w:tcPr>
            <w:tcW w:w="9350" w:type="dxa"/>
            <w:gridSpan w:val="2"/>
          </w:tcPr>
          <w:p w14:paraId="13BB02DD" w14:textId="77777777" w:rsidR="0050348B" w:rsidRPr="00AE6F2B" w:rsidRDefault="0050348B" w:rsidP="00472CB1">
            <w:pPr>
              <w:pStyle w:val="Heading2"/>
              <w:rPr>
                <w:rFonts w:ascii="Arial" w:hAnsi="Arial" w:cs="Arial"/>
                <w:b/>
                <w:bCs/>
                <w:color w:val="auto"/>
                <w:sz w:val="22"/>
                <w:szCs w:val="22"/>
              </w:rPr>
            </w:pPr>
            <w:r w:rsidRPr="009907A3">
              <w:rPr>
                <w:rFonts w:ascii="Arial" w:hAnsi="Arial" w:cs="Arial"/>
                <w:b/>
                <w:bCs/>
                <w:color w:val="auto"/>
                <w:sz w:val="22"/>
                <w:szCs w:val="22"/>
              </w:rPr>
              <w:t>Unanticipated Problems (UPs)</w:t>
            </w:r>
          </w:p>
        </w:tc>
      </w:tr>
      <w:tr w:rsidR="0050348B" w14:paraId="64928F1A" w14:textId="77777777" w:rsidTr="00472CB1">
        <w:tc>
          <w:tcPr>
            <w:tcW w:w="9350" w:type="dxa"/>
            <w:gridSpan w:val="2"/>
          </w:tcPr>
          <w:p w14:paraId="543A887A" w14:textId="77777777" w:rsidR="0050348B" w:rsidRPr="00AE6F2B" w:rsidRDefault="0050348B" w:rsidP="00472CB1">
            <w:pPr>
              <w:pStyle w:val="ListParagraph"/>
              <w:numPr>
                <w:ilvl w:val="0"/>
                <w:numId w:val="4"/>
              </w:numPr>
              <w:rPr>
                <w:b/>
                <w:bCs/>
              </w:rPr>
            </w:pPr>
            <w:r w:rsidRPr="00AE6F2B">
              <w:rPr>
                <w:b/>
                <w:bCs/>
              </w:rPr>
              <w:t>Unanticipated problems (PUs) involving risks to participants meeting all of the following criteria</w:t>
            </w:r>
          </w:p>
        </w:tc>
      </w:tr>
      <w:tr w:rsidR="0050348B" w14:paraId="11B738DD" w14:textId="77777777" w:rsidTr="00472CB1">
        <w:tc>
          <w:tcPr>
            <w:tcW w:w="512" w:type="dxa"/>
          </w:tcPr>
          <w:p w14:paraId="6588D007" w14:textId="77777777" w:rsidR="0050348B" w:rsidRDefault="0050348B" w:rsidP="00472CB1"/>
        </w:tc>
        <w:tc>
          <w:tcPr>
            <w:tcW w:w="8838" w:type="dxa"/>
          </w:tcPr>
          <w:p w14:paraId="4CA198D9" w14:textId="77777777" w:rsidR="0050348B" w:rsidRPr="00571CE5" w:rsidRDefault="0050348B" w:rsidP="0050348B">
            <w:pPr>
              <w:pStyle w:val="TOC8"/>
              <w:spacing w:line="240" w:lineRule="auto"/>
              <w:ind w:left="360" w:hanging="360"/>
            </w:pPr>
            <w:r w:rsidRPr="00571CE5">
              <w:t>Unexpected in terms of nature, severity, or frequency given (a) the research procedures that are described in the protocol-related documents, such as the IRB-approved research protocol and informed consent document; and (b) the characteristics of the participant population being studied;</w:t>
            </w:r>
          </w:p>
          <w:p w14:paraId="6E71A3C8" w14:textId="77777777" w:rsidR="0050348B" w:rsidRPr="00571CE5" w:rsidRDefault="0050348B" w:rsidP="0050348B">
            <w:pPr>
              <w:pStyle w:val="TOC8"/>
              <w:spacing w:line="240" w:lineRule="auto"/>
              <w:ind w:left="360" w:hanging="360"/>
            </w:pPr>
            <w:r w:rsidRPr="00571CE5">
              <w:t>Related or possibly related to participation in the research (“possibly related” means there is a reasonable possibility that the incident, experience, or outcome may have been caused by the procedures involved in the research); and</w:t>
            </w:r>
          </w:p>
          <w:p w14:paraId="18A51F87" w14:textId="77777777" w:rsidR="0050348B" w:rsidRDefault="0050348B" w:rsidP="0050348B">
            <w:pPr>
              <w:pStyle w:val="TOC8"/>
              <w:spacing w:line="240" w:lineRule="auto"/>
              <w:ind w:left="360" w:hanging="360"/>
            </w:pPr>
            <w:r w:rsidRPr="00571CE5">
              <w:t>Suggests that the research places participants or others at a greater risk of harm (including physical, psychological, economic, or social harm) than was previously known or recognized.</w:t>
            </w:r>
          </w:p>
        </w:tc>
      </w:tr>
      <w:tr w:rsidR="0050348B" w14:paraId="40692896" w14:textId="77777777" w:rsidTr="00472CB1">
        <w:tc>
          <w:tcPr>
            <w:tcW w:w="9350" w:type="dxa"/>
            <w:gridSpan w:val="2"/>
          </w:tcPr>
          <w:p w14:paraId="3D0D4051" w14:textId="77777777" w:rsidR="0050348B" w:rsidRPr="00AE6F2B" w:rsidRDefault="0050348B" w:rsidP="00472CB1">
            <w:pPr>
              <w:pStyle w:val="ListParagraph"/>
              <w:numPr>
                <w:ilvl w:val="0"/>
                <w:numId w:val="4"/>
              </w:numPr>
              <w:rPr>
                <w:b/>
                <w:bCs/>
              </w:rPr>
            </w:pPr>
            <w:r w:rsidRPr="00AE6F2B">
              <w:rPr>
                <w:b/>
                <w:bCs/>
              </w:rPr>
              <w:t xml:space="preserve">The UP reporting to DCC (into </w:t>
            </w:r>
            <w:proofErr w:type="spellStart"/>
            <w:r w:rsidRPr="00AE6F2B">
              <w:rPr>
                <w:b/>
                <w:bCs/>
              </w:rPr>
              <w:t>REDcap</w:t>
            </w:r>
            <w:proofErr w:type="spellEnd"/>
            <w:r w:rsidRPr="00AE6F2B">
              <w:rPr>
                <w:b/>
                <w:bCs/>
              </w:rPr>
              <w:t>) will include the following information</w:t>
            </w:r>
          </w:p>
        </w:tc>
      </w:tr>
      <w:tr w:rsidR="0050348B" w14:paraId="49D8F920" w14:textId="77777777" w:rsidTr="00472CB1">
        <w:tc>
          <w:tcPr>
            <w:tcW w:w="512" w:type="dxa"/>
          </w:tcPr>
          <w:p w14:paraId="1D46CF12" w14:textId="77777777" w:rsidR="0050348B" w:rsidRDefault="0050348B" w:rsidP="00472CB1"/>
        </w:tc>
        <w:tc>
          <w:tcPr>
            <w:tcW w:w="8838" w:type="dxa"/>
          </w:tcPr>
          <w:p w14:paraId="4082B171" w14:textId="77777777" w:rsidR="0050348B" w:rsidRPr="00571CE5" w:rsidRDefault="0050348B" w:rsidP="00472CB1">
            <w:pPr>
              <w:pStyle w:val="NoSpacing"/>
              <w:numPr>
                <w:ilvl w:val="0"/>
                <w:numId w:val="2"/>
              </w:numPr>
              <w:rPr>
                <w:sz w:val="22"/>
                <w:szCs w:val="22"/>
              </w:rPr>
            </w:pPr>
            <w:r w:rsidRPr="00571CE5">
              <w:rPr>
                <w:sz w:val="22"/>
                <w:szCs w:val="22"/>
              </w:rPr>
              <w:t>Protocol identifying information: protocol title and number, PI’s name, and the IRB project number;</w:t>
            </w:r>
          </w:p>
          <w:p w14:paraId="70DE15F6" w14:textId="77777777" w:rsidR="0050348B" w:rsidRPr="00571CE5" w:rsidRDefault="0050348B" w:rsidP="00472CB1">
            <w:pPr>
              <w:pStyle w:val="NoSpacing"/>
              <w:numPr>
                <w:ilvl w:val="0"/>
                <w:numId w:val="2"/>
              </w:numPr>
              <w:rPr>
                <w:sz w:val="22"/>
                <w:szCs w:val="22"/>
              </w:rPr>
            </w:pPr>
            <w:r w:rsidRPr="00571CE5">
              <w:rPr>
                <w:sz w:val="22"/>
                <w:szCs w:val="22"/>
              </w:rPr>
              <w:t xml:space="preserve">A detailed description of the event, incident, experience, or outcome; </w:t>
            </w:r>
          </w:p>
          <w:p w14:paraId="12FD7D60" w14:textId="77777777" w:rsidR="0050348B" w:rsidRPr="00571CE5" w:rsidRDefault="0050348B" w:rsidP="00472CB1">
            <w:pPr>
              <w:pStyle w:val="NoSpacing"/>
              <w:numPr>
                <w:ilvl w:val="0"/>
                <w:numId w:val="2"/>
              </w:numPr>
              <w:rPr>
                <w:sz w:val="22"/>
                <w:szCs w:val="22"/>
              </w:rPr>
            </w:pPr>
            <w:r w:rsidRPr="00571CE5">
              <w:rPr>
                <w:sz w:val="22"/>
                <w:szCs w:val="22"/>
              </w:rPr>
              <w:t xml:space="preserve">An explanation of the basis for determining that the event, incident, experience, or outcome represents an UP; </w:t>
            </w:r>
          </w:p>
          <w:p w14:paraId="21BF7ADB" w14:textId="77777777" w:rsidR="0050348B" w:rsidRPr="0030438E" w:rsidRDefault="0050348B" w:rsidP="00472CB1">
            <w:pPr>
              <w:pStyle w:val="NoSpacing"/>
              <w:numPr>
                <w:ilvl w:val="0"/>
                <w:numId w:val="2"/>
              </w:numPr>
              <w:rPr>
                <w:sz w:val="22"/>
                <w:szCs w:val="22"/>
              </w:rPr>
            </w:pPr>
            <w:r w:rsidRPr="00571CE5">
              <w:rPr>
                <w:sz w:val="22"/>
                <w:szCs w:val="22"/>
              </w:rPr>
              <w:t>A description of any changes to the protocol or other corrective actions that have been taken or are proposed in response to the UP.</w:t>
            </w:r>
          </w:p>
        </w:tc>
      </w:tr>
      <w:tr w:rsidR="0050348B" w14:paraId="03B43C32" w14:textId="77777777" w:rsidTr="00472CB1">
        <w:tc>
          <w:tcPr>
            <w:tcW w:w="9350" w:type="dxa"/>
            <w:gridSpan w:val="2"/>
          </w:tcPr>
          <w:p w14:paraId="23DA2B1A" w14:textId="77777777" w:rsidR="0050348B" w:rsidRPr="00AE6F2B" w:rsidRDefault="0050348B" w:rsidP="00472CB1">
            <w:pPr>
              <w:pStyle w:val="NoSpacing"/>
              <w:numPr>
                <w:ilvl w:val="0"/>
                <w:numId w:val="4"/>
              </w:numPr>
              <w:rPr>
                <w:b/>
                <w:bCs/>
                <w:sz w:val="22"/>
                <w:szCs w:val="22"/>
              </w:rPr>
            </w:pPr>
            <w:r w:rsidRPr="00AE6F2B">
              <w:rPr>
                <w:b/>
                <w:bCs/>
                <w:sz w:val="22"/>
                <w:szCs w:val="22"/>
              </w:rPr>
              <w:t xml:space="preserve">The UPs will be reported using the following timeline </w:t>
            </w:r>
          </w:p>
        </w:tc>
      </w:tr>
      <w:tr w:rsidR="0050348B" w14:paraId="3D781862" w14:textId="77777777" w:rsidTr="00472CB1">
        <w:tc>
          <w:tcPr>
            <w:tcW w:w="512" w:type="dxa"/>
          </w:tcPr>
          <w:p w14:paraId="34760309" w14:textId="77777777" w:rsidR="0050348B" w:rsidRDefault="0050348B" w:rsidP="00472CB1"/>
        </w:tc>
        <w:tc>
          <w:tcPr>
            <w:tcW w:w="8838" w:type="dxa"/>
          </w:tcPr>
          <w:p w14:paraId="2E5F44F1" w14:textId="77777777" w:rsidR="0050348B" w:rsidRPr="00571CE5" w:rsidRDefault="0050348B" w:rsidP="00472CB1">
            <w:pPr>
              <w:pStyle w:val="NoSpacing"/>
              <w:numPr>
                <w:ilvl w:val="0"/>
                <w:numId w:val="3"/>
              </w:numPr>
              <w:rPr>
                <w:sz w:val="22"/>
                <w:szCs w:val="22"/>
              </w:rPr>
            </w:pPr>
            <w:r w:rsidRPr="00571CE5">
              <w:rPr>
                <w:sz w:val="22"/>
                <w:szCs w:val="22"/>
              </w:rPr>
              <w:t xml:space="preserve">Investigator will report UPs to the DCC/Sponsor within 24 hours of the Investigator becoming aware of the event. </w:t>
            </w:r>
          </w:p>
          <w:p w14:paraId="17E48EC5" w14:textId="77777777" w:rsidR="0050348B" w:rsidRPr="00571CE5" w:rsidRDefault="0050348B" w:rsidP="00472CB1">
            <w:pPr>
              <w:pStyle w:val="NoSpacing"/>
              <w:numPr>
                <w:ilvl w:val="0"/>
                <w:numId w:val="3"/>
              </w:numPr>
              <w:rPr>
                <w:sz w:val="22"/>
                <w:szCs w:val="22"/>
              </w:rPr>
            </w:pPr>
            <w:r w:rsidRPr="00571CE5">
              <w:rPr>
                <w:sz w:val="22"/>
                <w:szCs w:val="22"/>
              </w:rPr>
              <w:t>Investigator should also report UPs to their local IRB as required by their institution’s written reporting procedures.</w:t>
            </w:r>
          </w:p>
          <w:p w14:paraId="3645DE67" w14:textId="77777777" w:rsidR="0050348B" w:rsidRPr="00571CE5" w:rsidRDefault="0050348B" w:rsidP="00472CB1">
            <w:pPr>
              <w:pStyle w:val="NoSpacing"/>
              <w:numPr>
                <w:ilvl w:val="0"/>
                <w:numId w:val="3"/>
              </w:numPr>
              <w:rPr>
                <w:sz w:val="22"/>
                <w:szCs w:val="22"/>
              </w:rPr>
            </w:pPr>
            <w:r w:rsidRPr="00571CE5">
              <w:rPr>
                <w:sz w:val="22"/>
                <w:szCs w:val="22"/>
              </w:rPr>
              <w:t xml:space="preserve">Lead PI should report all UPs promptly to the IRB of Record, but no later than one week following </w:t>
            </w:r>
          </w:p>
          <w:p w14:paraId="3171F028" w14:textId="77777777" w:rsidR="0050348B" w:rsidRPr="00571CE5" w:rsidRDefault="0050348B" w:rsidP="00472CB1">
            <w:pPr>
              <w:pStyle w:val="NoSpacing"/>
              <w:numPr>
                <w:ilvl w:val="0"/>
                <w:numId w:val="5"/>
              </w:numPr>
              <w:rPr>
                <w:sz w:val="22"/>
                <w:szCs w:val="22"/>
              </w:rPr>
            </w:pPr>
            <w:r w:rsidRPr="00571CE5">
              <w:rPr>
                <w:sz w:val="22"/>
                <w:szCs w:val="22"/>
              </w:rPr>
              <w:t>the occurrence of the UP or the PI’s acquiring knowledge of the UP for the events that occurred at the lead site; and</w:t>
            </w:r>
          </w:p>
          <w:p w14:paraId="7B170718" w14:textId="77777777" w:rsidR="0050348B" w:rsidRDefault="0050348B" w:rsidP="00472CB1">
            <w:pPr>
              <w:pStyle w:val="NoSpacing"/>
              <w:numPr>
                <w:ilvl w:val="0"/>
                <w:numId w:val="5"/>
              </w:numPr>
            </w:pPr>
            <w:r w:rsidRPr="00571CE5">
              <w:rPr>
                <w:sz w:val="22"/>
                <w:szCs w:val="22"/>
              </w:rPr>
              <w:t>the determination that the occurrence meets the UP criteria for the events that occurred at other study sites.</w:t>
            </w:r>
          </w:p>
        </w:tc>
      </w:tr>
    </w:tbl>
    <w:p w14:paraId="434C3A66" w14:textId="77777777" w:rsidR="0050348B" w:rsidRDefault="0050348B" w:rsidP="0050348B"/>
    <w:p w14:paraId="5E6929E1" w14:textId="77777777" w:rsidR="0050348B" w:rsidRDefault="0050348B" w:rsidP="0050348B"/>
    <w:p w14:paraId="037879E1" w14:textId="77777777" w:rsidR="0050348B" w:rsidRDefault="0050348B" w:rsidP="0050348B">
      <w:r>
        <w:br w:type="page"/>
      </w:r>
    </w:p>
    <w:p w14:paraId="3FE857BF" w14:textId="77777777" w:rsidR="0050348B" w:rsidRDefault="0050348B" w:rsidP="0050348B"/>
    <w:p w14:paraId="4F7B1E44" w14:textId="62D645F3" w:rsidR="0050348B" w:rsidRPr="00C456FC" w:rsidRDefault="007B53AC" w:rsidP="0050348B">
      <w:pPr>
        <w:pStyle w:val="Heading2"/>
        <w:rPr>
          <w:rFonts w:ascii="Arial" w:hAnsi="Arial" w:cs="Arial"/>
          <w:b/>
          <w:bCs/>
          <w:color w:val="auto"/>
          <w:sz w:val="22"/>
          <w:szCs w:val="22"/>
        </w:rPr>
      </w:pPr>
      <w:r w:rsidRPr="00E52F9A">
        <w:rPr>
          <w:rFonts w:ascii="Arial" w:hAnsi="Arial" w:cs="Arial"/>
          <w:b/>
          <w:bCs/>
          <w:color w:val="auto"/>
          <w:sz w:val="22"/>
          <w:szCs w:val="22"/>
        </w:rPr>
        <w:t xml:space="preserve">Supplement </w:t>
      </w:r>
      <w:r w:rsidR="0050348B" w:rsidRPr="00E52F9A">
        <w:rPr>
          <w:rFonts w:ascii="Arial" w:hAnsi="Arial" w:cs="Arial"/>
          <w:b/>
          <w:bCs/>
          <w:color w:val="auto"/>
          <w:sz w:val="22"/>
          <w:szCs w:val="22"/>
        </w:rPr>
        <w:t xml:space="preserve">Table </w:t>
      </w:r>
      <w:r w:rsidR="00E52F9A">
        <w:rPr>
          <w:rFonts w:ascii="Arial" w:hAnsi="Arial" w:cs="Arial"/>
          <w:b/>
          <w:bCs/>
          <w:color w:val="auto"/>
          <w:sz w:val="22"/>
          <w:szCs w:val="22"/>
        </w:rPr>
        <w:t>4</w:t>
      </w:r>
      <w:r w:rsidR="0050348B" w:rsidRPr="00E52F9A">
        <w:rPr>
          <w:rFonts w:ascii="Arial" w:hAnsi="Arial" w:cs="Arial"/>
          <w:b/>
          <w:bCs/>
          <w:color w:val="auto"/>
          <w:sz w:val="22"/>
          <w:szCs w:val="22"/>
        </w:rPr>
        <w:t>.</w:t>
      </w:r>
      <w:r w:rsidR="0050348B" w:rsidRPr="00E52F9A">
        <w:rPr>
          <w:color w:val="auto"/>
        </w:rPr>
        <w:t xml:space="preserve"> </w:t>
      </w:r>
      <w:r w:rsidR="0050348B" w:rsidRPr="000C16E7">
        <w:rPr>
          <w:rFonts w:ascii="Arial" w:hAnsi="Arial" w:cs="Arial"/>
          <w:b/>
          <w:bCs/>
          <w:color w:val="auto"/>
          <w:sz w:val="22"/>
          <w:szCs w:val="22"/>
        </w:rPr>
        <w:t>Removal of Patients from Study Participation</w:t>
      </w:r>
    </w:p>
    <w:p w14:paraId="4144F56A" w14:textId="77777777" w:rsidR="0050348B" w:rsidRDefault="0050348B" w:rsidP="0050348B"/>
    <w:tbl>
      <w:tblPr>
        <w:tblStyle w:val="TableGrid"/>
        <w:tblW w:w="0" w:type="auto"/>
        <w:tblLook w:val="04A0" w:firstRow="1" w:lastRow="0" w:firstColumn="1" w:lastColumn="0" w:noHBand="0" w:noVBand="1"/>
      </w:tblPr>
      <w:tblGrid>
        <w:gridCol w:w="9237"/>
      </w:tblGrid>
      <w:tr w:rsidR="0050348B" w14:paraId="2921EBE8" w14:textId="77777777" w:rsidTr="00472CB1">
        <w:tc>
          <w:tcPr>
            <w:tcW w:w="9237" w:type="dxa"/>
          </w:tcPr>
          <w:p w14:paraId="0D87ADC4" w14:textId="77777777" w:rsidR="0050348B" w:rsidRPr="005B16C5" w:rsidRDefault="0050348B" w:rsidP="00472CB1">
            <w:pPr>
              <w:pStyle w:val="Heading2"/>
              <w:rPr>
                <w:rFonts w:ascii="Arial" w:hAnsi="Arial" w:cs="Arial"/>
                <w:b/>
                <w:bCs/>
                <w:color w:val="auto"/>
                <w:sz w:val="22"/>
                <w:szCs w:val="22"/>
              </w:rPr>
            </w:pPr>
            <w:r w:rsidRPr="005B16C5">
              <w:rPr>
                <w:rFonts w:ascii="Arial" w:hAnsi="Arial" w:cs="Arial"/>
                <w:b/>
                <w:bCs/>
                <w:color w:val="auto"/>
                <w:sz w:val="22"/>
                <w:szCs w:val="22"/>
              </w:rPr>
              <w:t>Patients may discontinue the study drug or withdraw from the study due to the following:</w:t>
            </w:r>
            <w:r w:rsidRPr="005B16C5">
              <w:rPr>
                <w:b/>
                <w:bCs/>
                <w:color w:val="auto"/>
              </w:rPr>
              <w:t xml:space="preserve"> </w:t>
            </w:r>
          </w:p>
        </w:tc>
      </w:tr>
      <w:tr w:rsidR="0050348B" w14:paraId="03AF65E2" w14:textId="77777777" w:rsidTr="00472CB1">
        <w:tc>
          <w:tcPr>
            <w:tcW w:w="9237" w:type="dxa"/>
          </w:tcPr>
          <w:p w14:paraId="1563E37F" w14:textId="77777777" w:rsidR="0050348B" w:rsidRPr="00C456FC" w:rsidRDefault="0050348B" w:rsidP="0050348B">
            <w:pPr>
              <w:pStyle w:val="TOC8"/>
              <w:numPr>
                <w:ilvl w:val="0"/>
                <w:numId w:val="6"/>
              </w:numPr>
              <w:spacing w:line="240" w:lineRule="auto"/>
            </w:pPr>
            <w:r w:rsidRPr="00C456FC">
              <w:t xml:space="preserve">A change in compliance with inclusion/exclusion criteria that is clinically relevant and/or affects patient safety, and/or study assessments/objectives, etc. </w:t>
            </w:r>
          </w:p>
          <w:p w14:paraId="341B4C2A" w14:textId="77777777" w:rsidR="0050348B" w:rsidRPr="00C456FC" w:rsidRDefault="0050348B" w:rsidP="0050348B">
            <w:pPr>
              <w:pStyle w:val="TOC8"/>
              <w:numPr>
                <w:ilvl w:val="0"/>
                <w:numId w:val="6"/>
              </w:numPr>
              <w:spacing w:line="240" w:lineRule="auto"/>
            </w:pPr>
            <w:r w:rsidRPr="00C456FC">
              <w:t xml:space="preserve">Occurrence of intolerable AEs </w:t>
            </w:r>
          </w:p>
          <w:p w14:paraId="1645B69C" w14:textId="77777777" w:rsidR="0050348B" w:rsidRPr="00C456FC" w:rsidRDefault="0050348B" w:rsidP="0050348B">
            <w:pPr>
              <w:pStyle w:val="TOC8"/>
              <w:numPr>
                <w:ilvl w:val="0"/>
                <w:numId w:val="6"/>
              </w:numPr>
              <w:spacing w:line="240" w:lineRule="auto"/>
            </w:pPr>
            <w:r w:rsidRPr="00C456FC">
              <w:t xml:space="preserve">Changes in vital signs, ECGs, or clinical laboratory results that, in the opinion of the Investigator, pose a significant health risk </w:t>
            </w:r>
          </w:p>
          <w:p w14:paraId="0B7B3FDD" w14:textId="77777777" w:rsidR="0050348B" w:rsidRPr="00C456FC" w:rsidRDefault="0050348B" w:rsidP="0050348B">
            <w:pPr>
              <w:pStyle w:val="TOC8"/>
              <w:numPr>
                <w:ilvl w:val="0"/>
                <w:numId w:val="6"/>
              </w:numPr>
              <w:spacing w:line="240" w:lineRule="auto"/>
            </w:pPr>
            <w:r w:rsidRPr="00C456FC">
              <w:t xml:space="preserve">Intake of non-permitted concomitant medication that might affect patient safety or study assessments/objectives, etc. </w:t>
            </w:r>
          </w:p>
          <w:p w14:paraId="124DB5D0" w14:textId="77777777" w:rsidR="0050348B" w:rsidRPr="00C456FC" w:rsidRDefault="0050348B" w:rsidP="0050348B">
            <w:pPr>
              <w:pStyle w:val="TOC8"/>
              <w:numPr>
                <w:ilvl w:val="0"/>
                <w:numId w:val="6"/>
              </w:numPr>
              <w:spacing w:line="240" w:lineRule="auto"/>
            </w:pPr>
            <w:r w:rsidRPr="00C456FC">
              <w:t>Severe hypokalemia during a routine laboratory study, requiring in-hospital treatment</w:t>
            </w:r>
          </w:p>
          <w:p w14:paraId="4A44ACB3" w14:textId="77777777" w:rsidR="0050348B" w:rsidRPr="00C456FC" w:rsidRDefault="0050348B" w:rsidP="0050348B">
            <w:pPr>
              <w:pStyle w:val="TOC8"/>
              <w:numPr>
                <w:ilvl w:val="0"/>
                <w:numId w:val="6"/>
              </w:numPr>
              <w:spacing w:line="240" w:lineRule="auto"/>
            </w:pPr>
            <w:r w:rsidRPr="00C456FC">
              <w:t>When impending hypokalemia is detected (potassium level 3.1-3.4 mEq/L or lower, start KCL 20 mEq BID, repeat in 3 days, if remains 3.4 mEq/L or lower, stop the drug</w:t>
            </w:r>
          </w:p>
          <w:p w14:paraId="47A23B73" w14:textId="77777777" w:rsidR="0050348B" w:rsidRPr="00C456FC" w:rsidRDefault="0050348B" w:rsidP="0050348B">
            <w:pPr>
              <w:pStyle w:val="TOC8"/>
              <w:numPr>
                <w:ilvl w:val="0"/>
                <w:numId w:val="6"/>
              </w:numPr>
              <w:spacing w:line="240" w:lineRule="auto"/>
            </w:pPr>
            <w:r w:rsidRPr="00C456FC">
              <w:t xml:space="preserve">Having a potassium level of 3.0 mEq/L or lower is immediate stop of the drug (simultaneously start KCl 20 mEq TID and repeat potassium in 3 days) </w:t>
            </w:r>
          </w:p>
          <w:p w14:paraId="35CF7E40" w14:textId="77777777" w:rsidR="0050348B" w:rsidRPr="00C456FC" w:rsidRDefault="0050348B" w:rsidP="0050348B">
            <w:pPr>
              <w:pStyle w:val="TOC8"/>
              <w:numPr>
                <w:ilvl w:val="0"/>
                <w:numId w:val="6"/>
              </w:numPr>
              <w:spacing w:line="240" w:lineRule="auto"/>
            </w:pPr>
            <w:r w:rsidRPr="00C456FC">
              <w:t>Having DBP higher than 100 mmHg or SBP higher than 160 mmHg</w:t>
            </w:r>
          </w:p>
          <w:p w14:paraId="742B1E0F" w14:textId="77777777" w:rsidR="0050348B" w:rsidRPr="00C456FC" w:rsidRDefault="0050348B" w:rsidP="0050348B">
            <w:pPr>
              <w:pStyle w:val="TOC8"/>
              <w:numPr>
                <w:ilvl w:val="0"/>
                <w:numId w:val="6"/>
              </w:numPr>
              <w:spacing w:line="240" w:lineRule="auto"/>
            </w:pPr>
            <w:r w:rsidRPr="00C456FC">
              <w:t xml:space="preserve">eGFR calculated using the CKD-EPI cystatin equation </w:t>
            </w:r>
            <w:r w:rsidRPr="00C456FC">
              <w:fldChar w:fldCharType="begin"/>
            </w:r>
            <w:r w:rsidRPr="00C456FC">
              <w:instrText>ADDIN RW.CITE{{74 Inker,L.A. 2012}}</w:instrText>
            </w:r>
            <w:r w:rsidRPr="00C456FC">
              <w:fldChar w:fldCharType="separate"/>
            </w:r>
            <w:r w:rsidRPr="00C456FC">
              <w:rPr>
                <w:rFonts w:eastAsia="Batang"/>
                <w:bCs/>
                <w:lang w:eastAsia="ko-KR"/>
              </w:rPr>
              <w:t>(54)</w:t>
            </w:r>
            <w:r w:rsidRPr="00C456FC">
              <w:fldChar w:fldCharType="end"/>
            </w:r>
            <w:r w:rsidRPr="00C456FC">
              <w:t xml:space="preserve"> shows a &gt;25% decline compared to baseline (defined as Day 1 or Screening if Day 1 value is not available) as long as the decline is not related to dehydration or a superimposed reversible process such as infection or nausea </w:t>
            </w:r>
          </w:p>
          <w:p w14:paraId="352D2A39" w14:textId="77777777" w:rsidR="0050348B" w:rsidRPr="00C456FC" w:rsidRDefault="0050348B" w:rsidP="0050348B">
            <w:pPr>
              <w:pStyle w:val="TOC8"/>
              <w:numPr>
                <w:ilvl w:val="0"/>
                <w:numId w:val="6"/>
              </w:numPr>
              <w:spacing w:line="240" w:lineRule="auto"/>
            </w:pPr>
            <w:r w:rsidRPr="00C456FC">
              <w:t xml:space="preserve">Changes in LFTs as outlined in Appendix C   </w:t>
            </w:r>
          </w:p>
          <w:p w14:paraId="20B9A174" w14:textId="77777777" w:rsidR="0050348B" w:rsidRPr="00C456FC" w:rsidRDefault="0050348B" w:rsidP="0050348B">
            <w:pPr>
              <w:pStyle w:val="TOC8"/>
              <w:numPr>
                <w:ilvl w:val="0"/>
                <w:numId w:val="6"/>
              </w:numPr>
              <w:spacing w:line="240" w:lineRule="auto"/>
            </w:pPr>
            <w:r w:rsidRPr="00C456FC">
              <w:t xml:space="preserve">Receiving any form of stem cell therapy for ALS either as part of a clinical trial or outside of a clinical trial </w:t>
            </w:r>
          </w:p>
          <w:p w14:paraId="0C73A354" w14:textId="77777777" w:rsidR="0050348B" w:rsidRPr="00C456FC" w:rsidRDefault="0050348B" w:rsidP="0050348B">
            <w:pPr>
              <w:pStyle w:val="TOC8"/>
              <w:numPr>
                <w:ilvl w:val="0"/>
                <w:numId w:val="6"/>
              </w:numPr>
              <w:spacing w:line="240" w:lineRule="auto"/>
            </w:pPr>
            <w:r w:rsidRPr="00C456FC">
              <w:t xml:space="preserve">Having a diaphragmatic pacing system implanted either as part of a clinical trial or outside of a clinical trial </w:t>
            </w:r>
          </w:p>
          <w:p w14:paraId="4B4D8C3B" w14:textId="77777777" w:rsidR="0050348B" w:rsidRPr="00C456FC" w:rsidRDefault="0050348B" w:rsidP="0050348B">
            <w:pPr>
              <w:pStyle w:val="TOC8"/>
              <w:numPr>
                <w:ilvl w:val="0"/>
                <w:numId w:val="6"/>
              </w:numPr>
              <w:spacing w:line="240" w:lineRule="auto"/>
            </w:pPr>
            <w:r w:rsidRPr="00C456FC">
              <w:t>Initiating edaravone after screening</w:t>
            </w:r>
          </w:p>
          <w:p w14:paraId="79098E8B" w14:textId="77777777" w:rsidR="0050348B" w:rsidRPr="00C456FC" w:rsidRDefault="0050348B" w:rsidP="0050348B">
            <w:pPr>
              <w:pStyle w:val="TOC8"/>
              <w:numPr>
                <w:ilvl w:val="0"/>
                <w:numId w:val="6"/>
              </w:numPr>
              <w:spacing w:line="240" w:lineRule="auto"/>
            </w:pPr>
            <w:r w:rsidRPr="00C456FC">
              <w:t xml:space="preserve">Initiating or increasing riluzole after screening </w:t>
            </w:r>
          </w:p>
          <w:p w14:paraId="7EAE65E6" w14:textId="77777777" w:rsidR="0050348B" w:rsidRPr="00C456FC" w:rsidRDefault="0050348B" w:rsidP="0050348B">
            <w:pPr>
              <w:pStyle w:val="TOC8"/>
              <w:numPr>
                <w:ilvl w:val="0"/>
                <w:numId w:val="6"/>
              </w:numPr>
              <w:spacing w:line="240" w:lineRule="auto"/>
            </w:pPr>
            <w:r w:rsidRPr="00C456FC">
              <w:t>Initiating gene therapy for ALS either as part of a clinical trial or outside of a clinical trial after screening</w:t>
            </w:r>
          </w:p>
          <w:p w14:paraId="03882F0E" w14:textId="77777777" w:rsidR="0050348B" w:rsidRPr="00C456FC" w:rsidRDefault="0050348B" w:rsidP="0050348B">
            <w:pPr>
              <w:pStyle w:val="TOC8"/>
              <w:numPr>
                <w:ilvl w:val="0"/>
                <w:numId w:val="6"/>
              </w:numPr>
              <w:spacing w:line="240" w:lineRule="auto"/>
            </w:pPr>
            <w:r w:rsidRPr="00C456FC">
              <w:t>Unusual worsening of ALS or muscle cramps that, in the opinion of the Investigator, pose a significant health risk</w:t>
            </w:r>
          </w:p>
          <w:p w14:paraId="1A81E15D" w14:textId="77777777" w:rsidR="0050348B" w:rsidRPr="00C456FC" w:rsidRDefault="0050348B" w:rsidP="00472CB1"/>
        </w:tc>
      </w:tr>
    </w:tbl>
    <w:p w14:paraId="7AE4524F" w14:textId="77777777" w:rsidR="0050348B" w:rsidRDefault="0050348B" w:rsidP="0050348B"/>
    <w:p w14:paraId="24369E48" w14:textId="77777777" w:rsidR="0050348B" w:rsidRDefault="0050348B" w:rsidP="0050348B">
      <w:r>
        <w:br/>
      </w:r>
    </w:p>
    <w:p w14:paraId="5E62F41D" w14:textId="77777777" w:rsidR="0050348B" w:rsidRDefault="0050348B" w:rsidP="0050348B">
      <w:r>
        <w:br w:type="page"/>
      </w:r>
    </w:p>
    <w:p w14:paraId="153BF313" w14:textId="77777777" w:rsidR="0050348B" w:rsidRDefault="0050348B" w:rsidP="0050348B"/>
    <w:p w14:paraId="37E8E104" w14:textId="130E0822" w:rsidR="0050348B" w:rsidRDefault="007B53AC" w:rsidP="0050348B">
      <w:r>
        <w:rPr>
          <w:b/>
          <w:bCs/>
        </w:rPr>
        <w:t xml:space="preserve">Supplement </w:t>
      </w:r>
      <w:r w:rsidR="0050348B" w:rsidRPr="00271FA6">
        <w:rPr>
          <w:b/>
          <w:bCs/>
        </w:rPr>
        <w:t xml:space="preserve">Table </w:t>
      </w:r>
      <w:r w:rsidR="00E52F9A">
        <w:rPr>
          <w:b/>
          <w:bCs/>
        </w:rPr>
        <w:t>5</w:t>
      </w:r>
      <w:r w:rsidR="0050348B">
        <w:t xml:space="preserve">. </w:t>
      </w:r>
      <w:r w:rsidR="0050348B" w:rsidRPr="007C0D4B">
        <w:rPr>
          <w:b/>
          <w:bCs/>
        </w:rPr>
        <w:t>Participant’s Withdrawal</w:t>
      </w:r>
    </w:p>
    <w:p w14:paraId="7C0D2A5F" w14:textId="77777777" w:rsidR="0050348B" w:rsidRDefault="0050348B" w:rsidP="0050348B"/>
    <w:tbl>
      <w:tblPr>
        <w:tblStyle w:val="TableGrid"/>
        <w:tblW w:w="0" w:type="auto"/>
        <w:tblLook w:val="04A0" w:firstRow="1" w:lastRow="0" w:firstColumn="1" w:lastColumn="0" w:noHBand="0" w:noVBand="1"/>
      </w:tblPr>
      <w:tblGrid>
        <w:gridCol w:w="445"/>
        <w:gridCol w:w="8905"/>
      </w:tblGrid>
      <w:tr w:rsidR="0050348B" w14:paraId="70112978" w14:textId="77777777" w:rsidTr="00472CB1">
        <w:tc>
          <w:tcPr>
            <w:tcW w:w="9350" w:type="dxa"/>
            <w:gridSpan w:val="2"/>
          </w:tcPr>
          <w:p w14:paraId="201F6923" w14:textId="77777777" w:rsidR="0050348B" w:rsidRPr="00225DCD" w:rsidRDefault="0050348B" w:rsidP="00472CB1">
            <w:pPr>
              <w:rPr>
                <w:b/>
                <w:bCs/>
              </w:rPr>
            </w:pPr>
            <w:r w:rsidRPr="00225DCD">
              <w:rPr>
                <w:b/>
                <w:bCs/>
              </w:rPr>
              <w:t xml:space="preserve">Main Reasons for Participant’s Withdrawal </w:t>
            </w:r>
            <w:proofErr w:type="gramStart"/>
            <w:r>
              <w:rPr>
                <w:b/>
                <w:bCs/>
              </w:rPr>
              <w:t>From</w:t>
            </w:r>
            <w:proofErr w:type="gramEnd"/>
            <w:r>
              <w:rPr>
                <w:b/>
                <w:bCs/>
              </w:rPr>
              <w:t xml:space="preserve"> the Study</w:t>
            </w:r>
          </w:p>
        </w:tc>
      </w:tr>
      <w:tr w:rsidR="0050348B" w14:paraId="4D02F45E" w14:textId="77777777" w:rsidTr="00472CB1">
        <w:tc>
          <w:tcPr>
            <w:tcW w:w="445" w:type="dxa"/>
          </w:tcPr>
          <w:p w14:paraId="5D70E4EA" w14:textId="77777777" w:rsidR="0050348B" w:rsidRDefault="0050348B" w:rsidP="00472CB1"/>
        </w:tc>
        <w:tc>
          <w:tcPr>
            <w:tcW w:w="8905" w:type="dxa"/>
          </w:tcPr>
          <w:p w14:paraId="4F0ADCD1" w14:textId="77777777" w:rsidR="0050348B" w:rsidRPr="00BF2EFB" w:rsidRDefault="0050348B" w:rsidP="0050348B">
            <w:pPr>
              <w:pStyle w:val="TOC8"/>
              <w:numPr>
                <w:ilvl w:val="0"/>
                <w:numId w:val="7"/>
              </w:numPr>
              <w:spacing w:line="240" w:lineRule="auto"/>
            </w:pPr>
            <w:r w:rsidRPr="00BF2EFB">
              <w:t xml:space="preserve">Patient Death </w:t>
            </w:r>
          </w:p>
          <w:p w14:paraId="6EC628C5" w14:textId="77777777" w:rsidR="0050348B" w:rsidRPr="00BF2EFB" w:rsidRDefault="0050348B" w:rsidP="0050348B">
            <w:pPr>
              <w:pStyle w:val="TOC8"/>
              <w:numPr>
                <w:ilvl w:val="0"/>
                <w:numId w:val="7"/>
              </w:numPr>
              <w:spacing w:line="240" w:lineRule="auto"/>
            </w:pPr>
            <w:r w:rsidRPr="00BF2EFB">
              <w:t xml:space="preserve">AE:  One or more clinical or laboratory events which, in the medical judgment of the Investigator, are grounds for discontinuation even if the event does not appear to be related to study medication. The patient may withdraw because of an AE even if the Investigator does not feel that the event is grounds for discontinuation. </w:t>
            </w:r>
          </w:p>
          <w:p w14:paraId="43170E85" w14:textId="77777777" w:rsidR="0050348B" w:rsidRPr="00BF2EFB" w:rsidRDefault="0050348B" w:rsidP="0050348B">
            <w:pPr>
              <w:pStyle w:val="TOC8"/>
              <w:numPr>
                <w:ilvl w:val="0"/>
                <w:numId w:val="7"/>
              </w:numPr>
              <w:spacing w:line="240" w:lineRule="auto"/>
            </w:pPr>
            <w:r w:rsidRPr="00BF2EFB">
              <w:t>Protocol Violation:  The patient’s findings or conduct failed to meet the protocol entry criteria or failed to adhere to the protocol requirements.</w:t>
            </w:r>
          </w:p>
          <w:p w14:paraId="6694CF05" w14:textId="77777777" w:rsidR="0050348B" w:rsidRPr="00BF2EFB" w:rsidRDefault="0050348B" w:rsidP="0050348B">
            <w:pPr>
              <w:pStyle w:val="TOC8"/>
              <w:numPr>
                <w:ilvl w:val="0"/>
                <w:numId w:val="7"/>
              </w:numPr>
              <w:spacing w:line="240" w:lineRule="auto"/>
            </w:pPr>
            <w:r w:rsidRPr="00BF2EFB">
              <w:t xml:space="preserve">Patient Withdrawal of Consent:  Patient desires to withdraw from further participation in the study and provides a reason. </w:t>
            </w:r>
          </w:p>
          <w:p w14:paraId="75D6D053" w14:textId="77777777" w:rsidR="0050348B" w:rsidRDefault="0050348B" w:rsidP="0050348B">
            <w:pPr>
              <w:pStyle w:val="TOC8"/>
              <w:numPr>
                <w:ilvl w:val="0"/>
                <w:numId w:val="7"/>
              </w:numPr>
              <w:spacing w:line="240" w:lineRule="auto"/>
            </w:pPr>
            <w:r w:rsidRPr="00BF2EFB">
              <w:t>Administrative/Other:  Any cause of premature termination from the study other than the above, such as illness of investigator, loss of study drug, or termination of study by the Sponsor.</w:t>
            </w:r>
          </w:p>
        </w:tc>
      </w:tr>
    </w:tbl>
    <w:p w14:paraId="05658980" w14:textId="77777777" w:rsidR="0050348B" w:rsidRDefault="0050348B" w:rsidP="0050348B"/>
    <w:p w14:paraId="2358B4B1" w14:textId="77777777" w:rsidR="0050348B" w:rsidRDefault="0050348B" w:rsidP="0050348B"/>
    <w:p w14:paraId="1D189ED4" w14:textId="77777777" w:rsidR="0050348B" w:rsidRDefault="0050348B" w:rsidP="0050348B"/>
    <w:p w14:paraId="5491EB27" w14:textId="77777777" w:rsidR="0050348B" w:rsidRDefault="0050348B" w:rsidP="0050348B"/>
    <w:p w14:paraId="7CF72396" w14:textId="77777777" w:rsidR="0050348B" w:rsidRDefault="0050348B" w:rsidP="0050348B"/>
    <w:p w14:paraId="301D2B54" w14:textId="77777777" w:rsidR="0050348B" w:rsidRDefault="0050348B" w:rsidP="0050348B"/>
    <w:p w14:paraId="6A13F67A" w14:textId="77777777" w:rsidR="0050348B" w:rsidRDefault="0050348B" w:rsidP="0050348B"/>
    <w:p w14:paraId="1AE392AB" w14:textId="77777777" w:rsidR="0050348B" w:rsidRDefault="0050348B" w:rsidP="0050348B"/>
    <w:p w14:paraId="277E76A0" w14:textId="77777777" w:rsidR="0050348B" w:rsidRDefault="0050348B" w:rsidP="0050348B"/>
    <w:p w14:paraId="39999D0F" w14:textId="77777777" w:rsidR="0050348B" w:rsidRDefault="0050348B" w:rsidP="0050348B"/>
    <w:p w14:paraId="552B267C" w14:textId="77777777" w:rsidR="0050348B" w:rsidRDefault="0050348B" w:rsidP="0050348B"/>
    <w:p w14:paraId="09FDCC0D" w14:textId="77777777" w:rsidR="0050348B" w:rsidRPr="00154CE1" w:rsidRDefault="0050348B">
      <w:pPr>
        <w:rPr>
          <w:b/>
          <w:bCs/>
        </w:rPr>
      </w:pPr>
    </w:p>
    <w:sectPr w:rsidR="0050348B" w:rsidRPr="00154CE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2DD30" w14:textId="77777777" w:rsidR="001B6A13" w:rsidRDefault="001B6A13" w:rsidP="00DF6814">
      <w:r>
        <w:separator/>
      </w:r>
    </w:p>
  </w:endnote>
  <w:endnote w:type="continuationSeparator" w:id="0">
    <w:p w14:paraId="1A678592" w14:textId="77777777" w:rsidR="001B6A13" w:rsidRDefault="001B6A13" w:rsidP="00DF6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37800"/>
      <w:docPartObj>
        <w:docPartGallery w:val="Page Numbers (Bottom of Page)"/>
        <w:docPartUnique/>
      </w:docPartObj>
    </w:sdtPr>
    <w:sdtEndPr>
      <w:rPr>
        <w:noProof/>
      </w:rPr>
    </w:sdtEndPr>
    <w:sdtContent>
      <w:p w14:paraId="4B0A4BC8" w14:textId="6E188FBA" w:rsidR="00DF6814" w:rsidRDefault="00DF68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EE4A73" w14:textId="77777777" w:rsidR="00DF6814" w:rsidRDefault="00DF6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206D7" w14:textId="77777777" w:rsidR="001B6A13" w:rsidRDefault="001B6A13" w:rsidP="00DF6814">
      <w:r>
        <w:separator/>
      </w:r>
    </w:p>
  </w:footnote>
  <w:footnote w:type="continuationSeparator" w:id="0">
    <w:p w14:paraId="09DB02FE" w14:textId="77777777" w:rsidR="001B6A13" w:rsidRDefault="001B6A13" w:rsidP="00DF6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4F6C"/>
    <w:multiLevelType w:val="hybridMultilevel"/>
    <w:tmpl w:val="F0E04E8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F1388B"/>
    <w:multiLevelType w:val="hybridMultilevel"/>
    <w:tmpl w:val="337EB0A4"/>
    <w:lvl w:ilvl="0" w:tplc="AE4E7FCE">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176F5D"/>
    <w:multiLevelType w:val="hybridMultilevel"/>
    <w:tmpl w:val="3000F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3C53FC"/>
    <w:multiLevelType w:val="hybridMultilevel"/>
    <w:tmpl w:val="72E0934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8D2D7F"/>
    <w:multiLevelType w:val="hybridMultilevel"/>
    <w:tmpl w:val="1C5A0920"/>
    <w:lvl w:ilvl="0" w:tplc="AE4E7FC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4F7843"/>
    <w:multiLevelType w:val="hybridMultilevel"/>
    <w:tmpl w:val="F568559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1612CB7"/>
    <w:multiLevelType w:val="hybridMultilevel"/>
    <w:tmpl w:val="38F220D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24766102">
    <w:abstractNumId w:val="0"/>
  </w:num>
  <w:num w:numId="2" w16cid:durableId="1583373595">
    <w:abstractNumId w:val="4"/>
  </w:num>
  <w:num w:numId="3" w16cid:durableId="208030958">
    <w:abstractNumId w:val="1"/>
  </w:num>
  <w:num w:numId="4" w16cid:durableId="237600178">
    <w:abstractNumId w:val="2"/>
  </w:num>
  <w:num w:numId="5" w16cid:durableId="1909923005">
    <w:abstractNumId w:val="3"/>
  </w:num>
  <w:num w:numId="6" w16cid:durableId="974216579">
    <w:abstractNumId w:val="5"/>
  </w:num>
  <w:num w:numId="7" w16cid:durableId="9383703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E1"/>
    <w:rsid w:val="00025D68"/>
    <w:rsid w:val="00026191"/>
    <w:rsid w:val="00125426"/>
    <w:rsid w:val="00154CE1"/>
    <w:rsid w:val="00177295"/>
    <w:rsid w:val="001B6A13"/>
    <w:rsid w:val="00271FA6"/>
    <w:rsid w:val="002E6F94"/>
    <w:rsid w:val="00312667"/>
    <w:rsid w:val="00313FE7"/>
    <w:rsid w:val="003739E7"/>
    <w:rsid w:val="003C5926"/>
    <w:rsid w:val="00431695"/>
    <w:rsid w:val="004C44C6"/>
    <w:rsid w:val="0050348B"/>
    <w:rsid w:val="00511F33"/>
    <w:rsid w:val="005454A2"/>
    <w:rsid w:val="00622CC8"/>
    <w:rsid w:val="006E038D"/>
    <w:rsid w:val="007A6E19"/>
    <w:rsid w:val="007B53AC"/>
    <w:rsid w:val="0087066A"/>
    <w:rsid w:val="0099349A"/>
    <w:rsid w:val="00AF5479"/>
    <w:rsid w:val="00C4431B"/>
    <w:rsid w:val="00C60168"/>
    <w:rsid w:val="00DC7B62"/>
    <w:rsid w:val="00DF6814"/>
    <w:rsid w:val="00E52F9A"/>
    <w:rsid w:val="00F177BA"/>
    <w:rsid w:val="00F41AC7"/>
    <w:rsid w:val="00FE0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93354"/>
  <w15:chartTrackingRefBased/>
  <w15:docId w15:val="{EAA95E59-5AB1-4569-BC6E-AB77805BA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54CE1"/>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54CE1"/>
    <w:pPr>
      <w:keepNext/>
      <w:keepLines/>
      <w:spacing w:before="40" w:line="259"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4CE1"/>
    <w:rPr>
      <w:rFonts w:asciiTheme="majorHAnsi" w:eastAsiaTheme="majorEastAsia" w:hAnsiTheme="majorHAnsi" w:cstheme="majorBidi"/>
      <w:color w:val="2F5496" w:themeColor="accent1" w:themeShade="BF"/>
      <w:sz w:val="26"/>
      <w:szCs w:val="26"/>
    </w:rPr>
  </w:style>
  <w:style w:type="paragraph" w:styleId="TOC8">
    <w:name w:val="toc 8"/>
    <w:basedOn w:val="Normal"/>
    <w:next w:val="Normal"/>
    <w:autoRedefine/>
    <w:uiPriority w:val="39"/>
    <w:unhideWhenUsed/>
    <w:rsid w:val="00154CE1"/>
    <w:pPr>
      <w:spacing w:line="259" w:lineRule="auto"/>
    </w:pPr>
    <w:rPr>
      <w:rFonts w:asciiTheme="minorHAnsi" w:hAnsiTheme="minorHAnsi" w:cstheme="minorHAnsi"/>
    </w:rPr>
  </w:style>
  <w:style w:type="character" w:customStyle="1" w:styleId="Heading3Char">
    <w:name w:val="Heading 3 Char"/>
    <w:basedOn w:val="DefaultParagraphFont"/>
    <w:link w:val="Heading3"/>
    <w:uiPriority w:val="9"/>
    <w:rsid w:val="00154CE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154CE1"/>
    <w:rPr>
      <w:color w:val="0563C1" w:themeColor="hyperlink"/>
      <w:u w:val="single"/>
    </w:rPr>
  </w:style>
  <w:style w:type="paragraph" w:customStyle="1" w:styleId="Default">
    <w:name w:val="Default"/>
    <w:rsid w:val="00154CE1"/>
    <w:pPr>
      <w:autoSpaceDE w:val="0"/>
      <w:autoSpaceDN w:val="0"/>
      <w:adjustRightInd w:val="0"/>
    </w:pPr>
    <w:rPr>
      <w:rFonts w:ascii="Times New Roman" w:hAnsi="Times New Roman" w:cs="Times New Roman"/>
      <w:color w:val="000000"/>
      <w:sz w:val="24"/>
      <w:szCs w:val="24"/>
    </w:rPr>
  </w:style>
  <w:style w:type="character" w:customStyle="1" w:styleId="NoSpacingChar">
    <w:name w:val="No Spacing Char"/>
    <w:basedOn w:val="DefaultParagraphFont"/>
    <w:link w:val="NoSpacing"/>
    <w:uiPriority w:val="1"/>
    <w:locked/>
    <w:rsid w:val="00154CE1"/>
    <w:rPr>
      <w:sz w:val="20"/>
      <w:szCs w:val="20"/>
    </w:rPr>
  </w:style>
  <w:style w:type="paragraph" w:styleId="NoSpacing">
    <w:name w:val="No Spacing"/>
    <w:basedOn w:val="Normal"/>
    <w:link w:val="NoSpacingChar"/>
    <w:uiPriority w:val="1"/>
    <w:qFormat/>
    <w:rsid w:val="00154CE1"/>
    <w:rPr>
      <w:sz w:val="20"/>
      <w:szCs w:val="20"/>
    </w:rPr>
  </w:style>
  <w:style w:type="table" w:styleId="TableGrid">
    <w:name w:val="Table Grid"/>
    <w:basedOn w:val="TableNormal"/>
    <w:uiPriority w:val="39"/>
    <w:rsid w:val="00503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348B"/>
    <w:pPr>
      <w:ind w:left="720"/>
      <w:contextualSpacing/>
    </w:pPr>
  </w:style>
  <w:style w:type="paragraph" w:styleId="NormalWeb">
    <w:name w:val="Normal (Web)"/>
    <w:basedOn w:val="Normal"/>
    <w:uiPriority w:val="99"/>
    <w:unhideWhenUsed/>
    <w:rsid w:val="00271FA6"/>
    <w:pPr>
      <w:spacing w:before="100" w:beforeAutospacing="1" w:after="100" w:afterAutospacing="1"/>
    </w:pPr>
    <w:rPr>
      <w:rFonts w:ascii="MS PGothic" w:eastAsia="MS PGothic" w:hAnsi="MS PGothic" w:cs="MS PGothic"/>
      <w:sz w:val="24"/>
      <w:szCs w:val="24"/>
    </w:rPr>
  </w:style>
  <w:style w:type="paragraph" w:styleId="Header">
    <w:name w:val="header"/>
    <w:basedOn w:val="Normal"/>
    <w:link w:val="HeaderChar"/>
    <w:uiPriority w:val="99"/>
    <w:unhideWhenUsed/>
    <w:rsid w:val="00DF6814"/>
    <w:pPr>
      <w:tabs>
        <w:tab w:val="center" w:pos="4680"/>
        <w:tab w:val="right" w:pos="9360"/>
      </w:tabs>
    </w:pPr>
  </w:style>
  <w:style w:type="character" w:customStyle="1" w:styleId="HeaderChar">
    <w:name w:val="Header Char"/>
    <w:basedOn w:val="DefaultParagraphFont"/>
    <w:link w:val="Header"/>
    <w:uiPriority w:val="99"/>
    <w:rsid w:val="00DF6814"/>
  </w:style>
  <w:style w:type="paragraph" w:styleId="Footer">
    <w:name w:val="footer"/>
    <w:basedOn w:val="Normal"/>
    <w:link w:val="FooterChar"/>
    <w:uiPriority w:val="99"/>
    <w:unhideWhenUsed/>
    <w:rsid w:val="00DF6814"/>
    <w:pPr>
      <w:tabs>
        <w:tab w:val="center" w:pos="4680"/>
        <w:tab w:val="right" w:pos="9360"/>
      </w:tabs>
    </w:pPr>
  </w:style>
  <w:style w:type="character" w:customStyle="1" w:styleId="FooterChar">
    <w:name w:val="Footer Char"/>
    <w:basedOn w:val="DefaultParagraphFont"/>
    <w:link w:val="Footer"/>
    <w:uiPriority w:val="99"/>
    <w:rsid w:val="00DF6814"/>
  </w:style>
  <w:style w:type="paragraph" w:styleId="Revision">
    <w:name w:val="Revision"/>
    <w:hidden/>
    <w:uiPriority w:val="99"/>
    <w:semiHidden/>
    <w:rsid w:val="00025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h.org/page/meddra" TargetMode="External"/><Relationship Id="rId3" Type="http://schemas.openxmlformats.org/officeDocument/2006/relationships/settings" Target="settings.xml"/><Relationship Id="rId7" Type="http://schemas.openxmlformats.org/officeDocument/2006/relationships/hyperlink" Target="https://ctep.cancer.gov/protocoldevelopment/electronic_applications/ctc.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5032</Words>
  <Characters>28684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Mitsumoto, Hiroshi</dc:creator>
  <cp:keywords/>
  <dc:description/>
  <cp:lastModifiedBy>Mitsumoto, Hiroshi</cp:lastModifiedBy>
  <cp:revision>3</cp:revision>
  <cp:lastPrinted>2022-10-02T18:57:00Z</cp:lastPrinted>
  <dcterms:created xsi:type="dcterms:W3CDTF">2022-12-12T23:08:00Z</dcterms:created>
  <dcterms:modified xsi:type="dcterms:W3CDTF">2022-12-12T23:09:00Z</dcterms:modified>
</cp:coreProperties>
</file>