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17C766" w14:textId="77777777" w:rsidR="00A60BB2" w:rsidRDefault="00A60BB2" w:rsidP="00964DCD">
      <w:pPr>
        <w:spacing w:line="480" w:lineRule="auto"/>
        <w:rPr>
          <w:rFonts w:cstheme="minorHAnsi"/>
          <w:b/>
          <w:bCs/>
        </w:rPr>
      </w:pPr>
      <w:bookmarkStart w:id="0" w:name="_GoBack"/>
      <w:bookmarkEnd w:id="0"/>
      <w:r>
        <w:rPr>
          <w:rFonts w:cstheme="minorHAnsi"/>
          <w:b/>
          <w:bCs/>
        </w:rPr>
        <w:t>APPENDICES</w:t>
      </w:r>
    </w:p>
    <w:tbl>
      <w:tblPr>
        <w:tblStyle w:val="TableGrid1"/>
        <w:tblW w:w="15451" w:type="dxa"/>
        <w:tblInd w:w="-714" w:type="dxa"/>
        <w:tblBorders>
          <w:top w:val="single" w:sz="4" w:space="0" w:color="FFC000"/>
          <w:left w:val="single" w:sz="4" w:space="0" w:color="FFC000"/>
          <w:bottom w:val="single" w:sz="4" w:space="0" w:color="FFC000"/>
          <w:right w:val="single" w:sz="4" w:space="0" w:color="FFC000"/>
          <w:insideH w:val="single" w:sz="4" w:space="0" w:color="FFC000"/>
          <w:insideV w:val="single" w:sz="4" w:space="0" w:color="FFC000"/>
        </w:tblBorders>
        <w:tblLayout w:type="fixed"/>
        <w:tblLook w:val="04A0" w:firstRow="1" w:lastRow="0" w:firstColumn="1" w:lastColumn="0" w:noHBand="0" w:noVBand="1"/>
      </w:tblPr>
      <w:tblGrid>
        <w:gridCol w:w="1423"/>
        <w:gridCol w:w="2835"/>
        <w:gridCol w:w="2238"/>
        <w:gridCol w:w="2239"/>
        <w:gridCol w:w="2238"/>
        <w:gridCol w:w="2239"/>
        <w:gridCol w:w="2239"/>
      </w:tblGrid>
      <w:tr w:rsidR="00D33E76" w:rsidRPr="00D33E76" w14:paraId="079461B6" w14:textId="77777777" w:rsidTr="00D33E76">
        <w:tc>
          <w:tcPr>
            <w:tcW w:w="15451" w:type="dxa"/>
            <w:gridSpan w:val="7"/>
            <w:tcBorders>
              <w:top w:val="nil"/>
              <w:left w:val="nil"/>
              <w:bottom w:val="nil"/>
              <w:right w:val="nil"/>
            </w:tcBorders>
            <w:shd w:val="clear" w:color="auto" w:fill="FFFFFF"/>
          </w:tcPr>
          <w:p w14:paraId="5CD9EED8" w14:textId="15025DBA" w:rsidR="00D33E76" w:rsidRPr="00D33E76" w:rsidRDefault="00D33E76" w:rsidP="00D33E76">
            <w:pPr>
              <w:pStyle w:val="ListParagraph"/>
              <w:numPr>
                <w:ilvl w:val="0"/>
                <w:numId w:val="20"/>
              </w:numPr>
              <w:rPr>
                <w:rFonts w:eastAsia="Times New Roman" w:cstheme="minorHAnsi"/>
                <w:b/>
                <w:bCs/>
                <w:sz w:val="22"/>
                <w:szCs w:val="22"/>
                <w:lang w:eastAsia="en-GB"/>
              </w:rPr>
            </w:pPr>
            <w:r w:rsidRPr="00D33E76">
              <w:rPr>
                <w:rFonts w:eastAsia="Times New Roman" w:cstheme="minorHAnsi"/>
                <w:b/>
                <w:bCs/>
                <w:sz w:val="22"/>
                <w:szCs w:val="22"/>
                <w:lang w:eastAsia="en-GB"/>
              </w:rPr>
              <w:t>Literature review summary findings</w:t>
            </w:r>
          </w:p>
          <w:p w14:paraId="2FACC862" w14:textId="77777777" w:rsidR="00D33E76" w:rsidRPr="00D33E76" w:rsidRDefault="00D33E76" w:rsidP="00D33E76">
            <w:pPr>
              <w:rPr>
                <w:rFonts w:eastAsia="Times New Roman" w:cstheme="minorHAnsi"/>
                <w:b/>
                <w:bCs/>
                <w:sz w:val="22"/>
                <w:szCs w:val="22"/>
                <w:lang w:eastAsia="en-GB"/>
              </w:rPr>
            </w:pPr>
          </w:p>
          <w:p w14:paraId="1290315E" w14:textId="422120FC"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The following table provides a summary of the recognised scales used to evaluate the severity of Niemann-Pick</w:t>
            </w:r>
            <w:r w:rsidR="00D30F54">
              <w:rPr>
                <w:rFonts w:eastAsia="Times New Roman" w:cstheme="minorHAnsi"/>
                <w:sz w:val="22"/>
                <w:szCs w:val="22"/>
                <w:lang w:eastAsia="en-GB"/>
              </w:rPr>
              <w:t xml:space="preserve"> disease</w:t>
            </w:r>
            <w:r w:rsidRPr="00D33E76">
              <w:rPr>
                <w:rFonts w:eastAsia="Times New Roman" w:cstheme="minorHAnsi"/>
                <w:sz w:val="22"/>
                <w:szCs w:val="22"/>
                <w:lang w:eastAsia="en-GB"/>
              </w:rPr>
              <w:t xml:space="preserve"> Type C (NPC). A brief overview of the domains measured by each scale is provided, as well as insights from a literature review of how the scales have been used to date, including their use in ongoing clinical trials. The literature review was conducted using the terms &lt;&lt;Niemann Pick Type C disease&gt;&gt; &lt;&lt; severity score&gt;&gt; to search Medline and just &lt;&lt;Niemann Pick Type C disease&gt;&gt; to search ClinicalTrials.gov and Cochrane Library. </w:t>
            </w:r>
          </w:p>
          <w:p w14:paraId="40C2ADDA" w14:textId="77777777" w:rsidR="00D33E76" w:rsidRPr="00D33E76" w:rsidRDefault="00D33E76" w:rsidP="00D33E76">
            <w:pPr>
              <w:rPr>
                <w:rFonts w:eastAsia="Times New Roman" w:cstheme="minorHAnsi"/>
                <w:b/>
                <w:bCs/>
                <w:sz w:val="22"/>
                <w:szCs w:val="22"/>
                <w:lang w:eastAsia="en-GB"/>
              </w:rPr>
            </w:pPr>
          </w:p>
        </w:tc>
      </w:tr>
      <w:tr w:rsidR="00D33E76" w:rsidRPr="00D33E76" w14:paraId="539A7C2D" w14:textId="77777777" w:rsidTr="00D33E76">
        <w:tc>
          <w:tcPr>
            <w:tcW w:w="1423" w:type="dxa"/>
            <w:shd w:val="clear" w:color="auto" w:fill="FFC000"/>
          </w:tcPr>
          <w:p w14:paraId="65766DC0" w14:textId="77777777" w:rsidR="00D33E76" w:rsidRPr="00D33E76" w:rsidRDefault="00D33E76" w:rsidP="00D33E76">
            <w:pPr>
              <w:jc w:val="center"/>
              <w:rPr>
                <w:rFonts w:eastAsia="Times New Roman" w:cstheme="minorHAnsi"/>
                <w:b/>
                <w:bCs/>
                <w:color w:val="FFFFFF"/>
                <w:sz w:val="22"/>
                <w:szCs w:val="22"/>
                <w:lang w:eastAsia="en-GB"/>
              </w:rPr>
            </w:pPr>
            <w:r w:rsidRPr="00D33E76">
              <w:rPr>
                <w:rFonts w:eastAsia="Times New Roman" w:cstheme="minorHAnsi"/>
                <w:b/>
                <w:bCs/>
                <w:color w:val="FFFFFF"/>
                <w:sz w:val="22"/>
                <w:szCs w:val="22"/>
                <w:lang w:eastAsia="en-GB"/>
              </w:rPr>
              <w:t>Scale name</w:t>
            </w:r>
          </w:p>
        </w:tc>
        <w:tc>
          <w:tcPr>
            <w:tcW w:w="2835" w:type="dxa"/>
            <w:shd w:val="clear" w:color="auto" w:fill="FFC000"/>
          </w:tcPr>
          <w:p w14:paraId="0B5D4EB2" w14:textId="77777777" w:rsidR="00D33E76" w:rsidRPr="00D33E76" w:rsidRDefault="00D33E76" w:rsidP="00D33E76">
            <w:pPr>
              <w:jc w:val="center"/>
              <w:rPr>
                <w:rFonts w:eastAsia="Times New Roman" w:cstheme="minorHAnsi"/>
                <w:b/>
                <w:bCs/>
                <w:color w:val="FFFFFF"/>
                <w:sz w:val="22"/>
                <w:szCs w:val="22"/>
                <w:lang w:eastAsia="en-GB"/>
              </w:rPr>
            </w:pPr>
            <w:r w:rsidRPr="00D33E76">
              <w:rPr>
                <w:rFonts w:eastAsia="Times New Roman" w:cstheme="minorHAnsi"/>
                <w:b/>
                <w:bCs/>
                <w:color w:val="FFFFFF"/>
                <w:sz w:val="22"/>
                <w:szCs w:val="22"/>
                <w:lang w:eastAsia="en-GB"/>
              </w:rPr>
              <w:t>List of domains measured</w:t>
            </w:r>
          </w:p>
        </w:tc>
        <w:tc>
          <w:tcPr>
            <w:tcW w:w="11193" w:type="dxa"/>
            <w:gridSpan w:val="5"/>
            <w:shd w:val="clear" w:color="auto" w:fill="FFC000"/>
          </w:tcPr>
          <w:p w14:paraId="15A0C461" w14:textId="77777777" w:rsidR="00D33E76" w:rsidRPr="00D33E76" w:rsidRDefault="00D33E76" w:rsidP="00D33E76">
            <w:pPr>
              <w:jc w:val="center"/>
              <w:rPr>
                <w:rFonts w:eastAsia="Times New Roman" w:cstheme="minorHAnsi"/>
                <w:b/>
                <w:bCs/>
                <w:color w:val="FFFFFF"/>
                <w:sz w:val="22"/>
                <w:szCs w:val="22"/>
                <w:lang w:eastAsia="en-GB"/>
              </w:rPr>
            </w:pPr>
            <w:r w:rsidRPr="00D33E76">
              <w:rPr>
                <w:rFonts w:eastAsia="Times New Roman" w:cstheme="minorHAnsi"/>
                <w:b/>
                <w:bCs/>
                <w:color w:val="FFFFFF"/>
                <w:sz w:val="22"/>
                <w:szCs w:val="22"/>
                <w:lang w:eastAsia="en-GB"/>
              </w:rPr>
              <w:t>How the scales have been used to date</w:t>
            </w:r>
          </w:p>
        </w:tc>
      </w:tr>
      <w:tr w:rsidR="00D33E76" w:rsidRPr="00D33E76" w14:paraId="2DC91C58" w14:textId="77777777" w:rsidTr="00D33E76">
        <w:tc>
          <w:tcPr>
            <w:tcW w:w="1423" w:type="dxa"/>
            <w:shd w:val="clear" w:color="auto" w:fill="808080"/>
          </w:tcPr>
          <w:p w14:paraId="689ABA5D" w14:textId="77777777" w:rsidR="00D33E76" w:rsidRPr="00D33E76" w:rsidRDefault="00D33E76" w:rsidP="00D33E76">
            <w:pPr>
              <w:rPr>
                <w:rFonts w:eastAsia="Times New Roman" w:cstheme="minorHAnsi"/>
                <w:b/>
                <w:bCs/>
                <w:color w:val="FFFFFF"/>
                <w:sz w:val="22"/>
                <w:szCs w:val="22"/>
                <w:lang w:eastAsia="en-GB"/>
              </w:rPr>
            </w:pPr>
          </w:p>
        </w:tc>
        <w:tc>
          <w:tcPr>
            <w:tcW w:w="2835" w:type="dxa"/>
            <w:shd w:val="clear" w:color="auto" w:fill="808080"/>
          </w:tcPr>
          <w:p w14:paraId="12EC70D5" w14:textId="77777777" w:rsidR="00D33E76" w:rsidRPr="00D33E76" w:rsidRDefault="00D33E76" w:rsidP="00D33E76">
            <w:pPr>
              <w:rPr>
                <w:rFonts w:eastAsia="Times New Roman" w:cstheme="minorHAnsi"/>
                <w:b/>
                <w:bCs/>
                <w:color w:val="FFFFFF"/>
                <w:sz w:val="22"/>
                <w:szCs w:val="22"/>
                <w:lang w:eastAsia="en-GB"/>
              </w:rPr>
            </w:pPr>
          </w:p>
        </w:tc>
        <w:tc>
          <w:tcPr>
            <w:tcW w:w="2238" w:type="dxa"/>
            <w:shd w:val="clear" w:color="auto" w:fill="808080"/>
          </w:tcPr>
          <w:p w14:paraId="13B15633" w14:textId="77777777" w:rsidR="00D33E76" w:rsidRPr="00D33E76" w:rsidRDefault="00D33E76" w:rsidP="00D33E76">
            <w:pPr>
              <w:jc w:val="center"/>
              <w:rPr>
                <w:rFonts w:eastAsia="Times New Roman" w:cstheme="minorHAnsi"/>
                <w:b/>
                <w:bCs/>
                <w:color w:val="FFFFFF"/>
                <w:sz w:val="22"/>
                <w:szCs w:val="22"/>
                <w:lang w:eastAsia="en-GB"/>
              </w:rPr>
            </w:pPr>
            <w:r w:rsidRPr="00D33E76">
              <w:rPr>
                <w:rFonts w:eastAsia="Times New Roman" w:cstheme="minorHAnsi"/>
                <w:b/>
                <w:bCs/>
                <w:color w:val="FFFFFF"/>
                <w:sz w:val="22"/>
                <w:szCs w:val="22"/>
                <w:lang w:eastAsia="en-GB"/>
              </w:rPr>
              <w:t>Use in clinical practice</w:t>
            </w:r>
          </w:p>
          <w:p w14:paraId="1544AC8F" w14:textId="77777777" w:rsidR="00D33E76" w:rsidRPr="00D33E76" w:rsidRDefault="00D33E76" w:rsidP="00D33E76">
            <w:pPr>
              <w:jc w:val="center"/>
              <w:rPr>
                <w:rFonts w:eastAsia="Times New Roman" w:cstheme="minorHAnsi"/>
                <w:b/>
                <w:bCs/>
                <w:color w:val="FFFFFF"/>
                <w:sz w:val="22"/>
                <w:szCs w:val="22"/>
                <w:lang w:eastAsia="en-GB"/>
              </w:rPr>
            </w:pPr>
          </w:p>
        </w:tc>
        <w:tc>
          <w:tcPr>
            <w:tcW w:w="2239" w:type="dxa"/>
            <w:shd w:val="clear" w:color="auto" w:fill="808080"/>
          </w:tcPr>
          <w:p w14:paraId="069CAF1D" w14:textId="77777777" w:rsidR="00D33E76" w:rsidRPr="00D33E76" w:rsidRDefault="00D33E76" w:rsidP="00D33E76">
            <w:pPr>
              <w:jc w:val="center"/>
              <w:rPr>
                <w:rFonts w:eastAsia="Times New Roman" w:cstheme="minorHAnsi"/>
                <w:b/>
                <w:bCs/>
                <w:color w:val="FFFFFF"/>
                <w:sz w:val="22"/>
                <w:szCs w:val="22"/>
                <w:lang w:eastAsia="en-GB"/>
              </w:rPr>
            </w:pPr>
            <w:r w:rsidRPr="00D33E76">
              <w:rPr>
                <w:rFonts w:eastAsia="Times New Roman" w:cstheme="minorHAnsi"/>
                <w:b/>
                <w:bCs/>
                <w:color w:val="FFFFFF"/>
                <w:sz w:val="22"/>
                <w:szCs w:val="22"/>
                <w:lang w:eastAsia="en-GB"/>
              </w:rPr>
              <w:t>Patient registries</w:t>
            </w:r>
          </w:p>
          <w:p w14:paraId="43F691C0" w14:textId="77777777" w:rsidR="00D33E76" w:rsidRPr="00D33E76" w:rsidRDefault="00D33E76" w:rsidP="00D33E76">
            <w:pPr>
              <w:jc w:val="center"/>
              <w:rPr>
                <w:rFonts w:eastAsia="Times New Roman" w:cstheme="minorHAnsi"/>
                <w:b/>
                <w:bCs/>
                <w:color w:val="FFFFFF"/>
                <w:sz w:val="22"/>
                <w:szCs w:val="22"/>
                <w:lang w:eastAsia="en-GB"/>
              </w:rPr>
            </w:pPr>
          </w:p>
        </w:tc>
        <w:tc>
          <w:tcPr>
            <w:tcW w:w="2238" w:type="dxa"/>
            <w:shd w:val="clear" w:color="auto" w:fill="808080"/>
          </w:tcPr>
          <w:p w14:paraId="65423EA7" w14:textId="77777777" w:rsidR="00D33E76" w:rsidRPr="00D33E76" w:rsidRDefault="00D33E76" w:rsidP="00D33E76">
            <w:pPr>
              <w:jc w:val="center"/>
              <w:rPr>
                <w:rFonts w:eastAsia="Times New Roman" w:cstheme="minorHAnsi"/>
                <w:b/>
                <w:bCs/>
                <w:color w:val="FFFFFF"/>
                <w:sz w:val="22"/>
                <w:szCs w:val="22"/>
                <w:lang w:eastAsia="en-GB"/>
              </w:rPr>
            </w:pPr>
            <w:r w:rsidRPr="00D33E76">
              <w:rPr>
                <w:rFonts w:eastAsia="Times New Roman" w:cstheme="minorHAnsi"/>
                <w:b/>
                <w:bCs/>
                <w:color w:val="FFFFFF"/>
                <w:sz w:val="22"/>
                <w:szCs w:val="22"/>
                <w:lang w:eastAsia="en-GB"/>
              </w:rPr>
              <w:t>Recruitment of patients into clinical trials</w:t>
            </w:r>
          </w:p>
          <w:p w14:paraId="396A6695" w14:textId="77777777" w:rsidR="00D33E76" w:rsidRPr="00D33E76" w:rsidRDefault="00D33E76" w:rsidP="00D33E76">
            <w:pPr>
              <w:jc w:val="center"/>
              <w:rPr>
                <w:rFonts w:eastAsia="Times New Roman" w:cstheme="minorHAnsi"/>
                <w:b/>
                <w:bCs/>
                <w:color w:val="FFFFFF"/>
                <w:sz w:val="22"/>
                <w:szCs w:val="22"/>
                <w:lang w:eastAsia="en-GB"/>
              </w:rPr>
            </w:pPr>
          </w:p>
        </w:tc>
        <w:tc>
          <w:tcPr>
            <w:tcW w:w="2239" w:type="dxa"/>
            <w:shd w:val="clear" w:color="auto" w:fill="808080"/>
          </w:tcPr>
          <w:p w14:paraId="41EE3AC5" w14:textId="77777777" w:rsidR="00D33E76" w:rsidRPr="00D33E76" w:rsidRDefault="00D33E76" w:rsidP="00D33E76">
            <w:pPr>
              <w:jc w:val="center"/>
              <w:rPr>
                <w:rFonts w:eastAsia="Times New Roman" w:cstheme="minorHAnsi"/>
                <w:b/>
                <w:bCs/>
                <w:color w:val="FFFFFF"/>
                <w:sz w:val="22"/>
                <w:szCs w:val="22"/>
                <w:lang w:eastAsia="en-GB"/>
              </w:rPr>
            </w:pPr>
            <w:r w:rsidRPr="00D33E76">
              <w:rPr>
                <w:rFonts w:eastAsia="Times New Roman" w:cstheme="minorHAnsi"/>
                <w:b/>
                <w:bCs/>
                <w:color w:val="FFFFFF"/>
                <w:sz w:val="22"/>
                <w:szCs w:val="22"/>
                <w:lang w:eastAsia="en-GB"/>
              </w:rPr>
              <w:t>Outcomes measures in clinical trials</w:t>
            </w:r>
          </w:p>
        </w:tc>
        <w:tc>
          <w:tcPr>
            <w:tcW w:w="2239" w:type="dxa"/>
            <w:shd w:val="clear" w:color="auto" w:fill="808080"/>
          </w:tcPr>
          <w:p w14:paraId="6B516CD5" w14:textId="77777777" w:rsidR="00D33E76" w:rsidRPr="00D33E76" w:rsidRDefault="00D33E76" w:rsidP="00D33E76">
            <w:pPr>
              <w:jc w:val="center"/>
              <w:rPr>
                <w:rFonts w:eastAsia="Times New Roman" w:cstheme="minorHAnsi"/>
                <w:b/>
                <w:bCs/>
                <w:color w:val="FFFFFF"/>
                <w:sz w:val="22"/>
                <w:szCs w:val="22"/>
                <w:lang w:eastAsia="en-GB"/>
              </w:rPr>
            </w:pPr>
            <w:r w:rsidRPr="00D33E76">
              <w:rPr>
                <w:rFonts w:eastAsia="Times New Roman" w:cstheme="minorHAnsi"/>
                <w:b/>
                <w:bCs/>
                <w:color w:val="FFFFFF"/>
                <w:sz w:val="22"/>
                <w:szCs w:val="22"/>
                <w:lang w:eastAsia="en-GB"/>
              </w:rPr>
              <w:t xml:space="preserve">Additional notes </w:t>
            </w:r>
          </w:p>
        </w:tc>
      </w:tr>
      <w:tr w:rsidR="00D33E76" w:rsidRPr="00D33E76" w14:paraId="1027FE9D" w14:textId="77777777" w:rsidTr="00D33E76">
        <w:tc>
          <w:tcPr>
            <w:tcW w:w="1423" w:type="dxa"/>
            <w:shd w:val="clear" w:color="auto" w:fill="FFFFFF"/>
          </w:tcPr>
          <w:p w14:paraId="17512447" w14:textId="5DAD62D3" w:rsidR="00D33E76" w:rsidRPr="00D33E76" w:rsidRDefault="00D33E76" w:rsidP="00D33E76">
            <w:pPr>
              <w:jc w:val="center"/>
              <w:rPr>
                <w:rFonts w:eastAsia="Times New Roman" w:cstheme="minorHAnsi"/>
                <w:b/>
                <w:bCs/>
                <w:sz w:val="22"/>
                <w:szCs w:val="22"/>
                <w:lang w:eastAsia="en-GB"/>
              </w:rPr>
            </w:pPr>
            <w:r w:rsidRPr="00D33E76">
              <w:rPr>
                <w:rFonts w:eastAsia="Times New Roman" w:cstheme="minorHAnsi"/>
                <w:b/>
                <w:bCs/>
                <w:sz w:val="22"/>
                <w:szCs w:val="22"/>
                <w:lang w:eastAsia="en-GB"/>
              </w:rPr>
              <w:t>Disability Scale (NPC-specific</w:t>
            </w:r>
            <w:r w:rsidRPr="00F063AD">
              <w:rPr>
                <w:rFonts w:eastAsia="Times New Roman" w:cstheme="minorHAnsi"/>
                <w:b/>
                <w:bCs/>
                <w:sz w:val="22"/>
                <w:szCs w:val="22"/>
                <w:lang w:eastAsia="en-GB"/>
              </w:rPr>
              <w:t xml:space="preserve">) </w:t>
            </w:r>
            <w:r w:rsidR="00F063AD" w:rsidRPr="00F063AD">
              <w:rPr>
                <w:rFonts w:eastAsia="Times New Roman" w:cstheme="minorHAnsi"/>
                <w:sz w:val="22"/>
                <w:szCs w:val="22"/>
                <w:lang w:eastAsia="en-GB"/>
              </w:rPr>
              <w:t>[4]</w:t>
            </w:r>
          </w:p>
        </w:tc>
        <w:tc>
          <w:tcPr>
            <w:tcW w:w="2835" w:type="dxa"/>
            <w:shd w:val="clear" w:color="auto" w:fill="FFFFFF"/>
          </w:tcPr>
          <w:p w14:paraId="1EE97623" w14:textId="4733E428"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The Disability Scale was developed via a cohort of 30 </w:t>
            </w:r>
            <w:r w:rsidR="00690B26">
              <w:rPr>
                <w:rFonts w:eastAsia="Times New Roman" w:cstheme="minorHAnsi"/>
                <w:sz w:val="22"/>
                <w:szCs w:val="22"/>
                <w:lang w:eastAsia="en-GB"/>
              </w:rPr>
              <w:t>NPC</w:t>
            </w:r>
            <w:r w:rsidRPr="00D33E76">
              <w:rPr>
                <w:rFonts w:eastAsia="Times New Roman" w:cstheme="minorHAnsi"/>
                <w:sz w:val="22"/>
                <w:szCs w:val="22"/>
                <w:lang w:eastAsia="en-GB"/>
              </w:rPr>
              <w:t xml:space="preserve"> patients.</w:t>
            </w:r>
          </w:p>
          <w:p w14:paraId="7D65D4FC" w14:textId="77777777" w:rsidR="00D33E76" w:rsidRPr="00D33E76" w:rsidRDefault="00D33E76" w:rsidP="00D33E76">
            <w:pPr>
              <w:rPr>
                <w:rFonts w:eastAsia="Times New Roman" w:cstheme="minorHAnsi"/>
                <w:sz w:val="22"/>
                <w:szCs w:val="22"/>
                <w:lang w:eastAsia="en-GB"/>
              </w:rPr>
            </w:pPr>
          </w:p>
          <w:p w14:paraId="46A8B132"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It measures four domains: ambulation, manipulation, language and swallowing, with scores 1-4 or 5.</w:t>
            </w:r>
          </w:p>
          <w:p w14:paraId="50A2A980" w14:textId="77777777" w:rsidR="00D33E76" w:rsidRPr="00D33E76" w:rsidRDefault="00D33E76" w:rsidP="00D33E76">
            <w:pPr>
              <w:rPr>
                <w:rFonts w:eastAsia="Times New Roman" w:cstheme="minorHAnsi"/>
                <w:sz w:val="22"/>
                <w:szCs w:val="22"/>
                <w:lang w:eastAsia="en-GB"/>
              </w:rPr>
            </w:pPr>
          </w:p>
        </w:tc>
        <w:tc>
          <w:tcPr>
            <w:tcW w:w="2238" w:type="dxa"/>
            <w:shd w:val="clear" w:color="auto" w:fill="FFFFFF"/>
          </w:tcPr>
          <w:p w14:paraId="0B4D6147"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No information available.</w:t>
            </w:r>
          </w:p>
        </w:tc>
        <w:tc>
          <w:tcPr>
            <w:tcW w:w="2239" w:type="dxa"/>
            <w:shd w:val="clear" w:color="auto" w:fill="FFFFFF"/>
          </w:tcPr>
          <w:p w14:paraId="3299A91A"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No information available.</w:t>
            </w:r>
          </w:p>
        </w:tc>
        <w:tc>
          <w:tcPr>
            <w:tcW w:w="2238" w:type="dxa"/>
            <w:shd w:val="clear" w:color="auto" w:fill="FFFFFF"/>
          </w:tcPr>
          <w:p w14:paraId="4BF908C9"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No information available.</w:t>
            </w:r>
          </w:p>
        </w:tc>
        <w:tc>
          <w:tcPr>
            <w:tcW w:w="2239" w:type="dxa"/>
            <w:shd w:val="clear" w:color="auto" w:fill="FFFFFF"/>
          </w:tcPr>
          <w:p w14:paraId="2BD2E5A8"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No information available regarding use in clinical trials to date.</w:t>
            </w:r>
          </w:p>
        </w:tc>
        <w:tc>
          <w:tcPr>
            <w:tcW w:w="2239" w:type="dxa"/>
            <w:shd w:val="clear" w:color="auto" w:fill="FFFFFF"/>
          </w:tcPr>
          <w:p w14:paraId="54C12151" w14:textId="68341C55" w:rsidR="00D33E76" w:rsidRPr="005D1EED"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Used in a study that examined the structure of the callosum in a group of adult patients with NPC and compared callosal structure with a group of matched controls, and to relate callosal structure with state and trait illness variables </w:t>
            </w:r>
            <w:r w:rsidR="005D1EED">
              <w:rPr>
                <w:rFonts w:eastAsia="Times New Roman" w:cstheme="minorHAnsi"/>
                <w:sz w:val="22"/>
                <w:szCs w:val="22"/>
                <w:lang w:eastAsia="en-GB"/>
              </w:rPr>
              <w:t>[21].</w:t>
            </w:r>
          </w:p>
        </w:tc>
      </w:tr>
      <w:tr w:rsidR="00D33E76" w:rsidRPr="00D33E76" w14:paraId="00372044" w14:textId="77777777" w:rsidTr="00D33E76">
        <w:tc>
          <w:tcPr>
            <w:tcW w:w="1423" w:type="dxa"/>
            <w:shd w:val="clear" w:color="auto" w:fill="FFF2CC"/>
          </w:tcPr>
          <w:p w14:paraId="695F8CDF" w14:textId="1F4091E3" w:rsidR="00D33E76" w:rsidRPr="00D33E76" w:rsidRDefault="00D33E76" w:rsidP="00D33E76">
            <w:pPr>
              <w:jc w:val="center"/>
              <w:rPr>
                <w:rFonts w:eastAsia="Times New Roman" w:cstheme="minorHAnsi"/>
                <w:b/>
                <w:bCs/>
                <w:sz w:val="22"/>
                <w:szCs w:val="22"/>
                <w:vertAlign w:val="superscript"/>
                <w:lang w:eastAsia="en-GB"/>
              </w:rPr>
            </w:pPr>
            <w:r w:rsidRPr="00D33E76">
              <w:rPr>
                <w:rFonts w:eastAsia="Times New Roman" w:cstheme="minorHAnsi"/>
                <w:b/>
                <w:bCs/>
                <w:sz w:val="22"/>
                <w:szCs w:val="22"/>
                <w:lang w:eastAsia="en-GB"/>
              </w:rPr>
              <w:t xml:space="preserve">Disease-specific Disability Scale </w:t>
            </w:r>
            <w:r w:rsidR="00F063AD">
              <w:rPr>
                <w:rFonts w:eastAsia="Times New Roman" w:cstheme="minorHAnsi"/>
                <w:sz w:val="22"/>
                <w:szCs w:val="22"/>
                <w:lang w:eastAsia="en-GB"/>
              </w:rPr>
              <w:t>[19]</w:t>
            </w:r>
          </w:p>
        </w:tc>
        <w:tc>
          <w:tcPr>
            <w:tcW w:w="2835" w:type="dxa"/>
            <w:shd w:val="clear" w:color="auto" w:fill="FFF2CC"/>
          </w:tcPr>
          <w:p w14:paraId="11AC3DED" w14:textId="3D7C389F"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In an adaption of the scale </w:t>
            </w:r>
            <w:r w:rsidRPr="005D1EED">
              <w:rPr>
                <w:rFonts w:eastAsia="Times New Roman" w:cstheme="minorHAnsi"/>
                <w:sz w:val="22"/>
                <w:szCs w:val="22"/>
                <w:lang w:eastAsia="en-GB"/>
              </w:rPr>
              <w:t xml:space="preserve">developed by </w:t>
            </w:r>
            <w:proofErr w:type="spellStart"/>
            <w:r w:rsidRPr="005D1EED">
              <w:rPr>
                <w:rFonts w:eastAsia="Times New Roman" w:cstheme="minorHAnsi"/>
                <w:sz w:val="22"/>
                <w:szCs w:val="22"/>
                <w:lang w:eastAsia="en-GB"/>
              </w:rPr>
              <w:t>Iturriaga</w:t>
            </w:r>
            <w:proofErr w:type="spellEnd"/>
            <w:r w:rsidRPr="005D1EED">
              <w:rPr>
                <w:rFonts w:eastAsia="Times New Roman" w:cstheme="minorHAnsi"/>
                <w:sz w:val="22"/>
                <w:szCs w:val="22"/>
                <w:lang w:eastAsia="en-GB"/>
              </w:rPr>
              <w:t xml:space="preserve"> et al (2006)</w:t>
            </w:r>
            <w:r w:rsidR="005D1EED" w:rsidRPr="005D1EED">
              <w:rPr>
                <w:rFonts w:eastAsia="Times New Roman" w:cstheme="minorHAnsi"/>
                <w:sz w:val="22"/>
                <w:szCs w:val="22"/>
                <w:lang w:eastAsia="en-GB"/>
              </w:rPr>
              <w:t xml:space="preserve"> [3]</w:t>
            </w:r>
            <w:r w:rsidRPr="005D1EED">
              <w:rPr>
                <w:rFonts w:eastAsia="Times New Roman" w:cstheme="minorHAnsi"/>
                <w:sz w:val="22"/>
                <w:szCs w:val="22"/>
                <w:lang w:eastAsia="en-GB"/>
              </w:rPr>
              <w:t xml:space="preserve">, the </w:t>
            </w:r>
            <w:r w:rsidRPr="00D33E76">
              <w:rPr>
                <w:rFonts w:eastAsia="Times New Roman" w:cstheme="minorHAnsi"/>
                <w:sz w:val="22"/>
                <w:szCs w:val="22"/>
                <w:lang w:eastAsia="en-GB"/>
              </w:rPr>
              <w:t>Disease-specific Disability Scale assigns weighted scores for each parameter on a scale from 0-1.</w:t>
            </w:r>
          </w:p>
          <w:p w14:paraId="17D06AB1" w14:textId="77777777" w:rsidR="00D33E76" w:rsidRPr="00D33E76" w:rsidRDefault="00D33E76" w:rsidP="00D33E76">
            <w:pPr>
              <w:rPr>
                <w:rFonts w:eastAsia="Times New Roman" w:cstheme="minorHAnsi"/>
                <w:sz w:val="22"/>
                <w:szCs w:val="22"/>
                <w:lang w:eastAsia="en-GB"/>
              </w:rPr>
            </w:pPr>
          </w:p>
          <w:p w14:paraId="3199C79E"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It measures four domains: ambulation, manipulation, language and swallowing. </w:t>
            </w:r>
          </w:p>
          <w:p w14:paraId="738BBE87" w14:textId="77777777" w:rsidR="00D33E76" w:rsidRPr="00D33E76" w:rsidRDefault="00D33E76" w:rsidP="00D33E76">
            <w:pPr>
              <w:rPr>
                <w:rFonts w:eastAsia="Times New Roman" w:cstheme="minorHAnsi"/>
                <w:sz w:val="22"/>
                <w:szCs w:val="22"/>
                <w:lang w:eastAsia="en-GB"/>
              </w:rPr>
            </w:pPr>
          </w:p>
        </w:tc>
        <w:tc>
          <w:tcPr>
            <w:tcW w:w="2238" w:type="dxa"/>
            <w:shd w:val="clear" w:color="auto" w:fill="FFF2CC"/>
          </w:tcPr>
          <w:p w14:paraId="531941D8" w14:textId="1215332B"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lastRenderedPageBreak/>
              <w:t xml:space="preserve">This study incorporates findings from an observational retrospective cohort study conducted to further assess the effects of </w:t>
            </w:r>
            <w:proofErr w:type="spellStart"/>
            <w:r w:rsidRPr="00D33E76">
              <w:rPr>
                <w:rFonts w:eastAsia="Times New Roman" w:cstheme="minorHAnsi"/>
                <w:sz w:val="22"/>
                <w:szCs w:val="22"/>
                <w:lang w:eastAsia="en-GB"/>
              </w:rPr>
              <w:t>miglustat</w:t>
            </w:r>
            <w:proofErr w:type="spellEnd"/>
            <w:r w:rsidRPr="00D33E76">
              <w:rPr>
                <w:rFonts w:eastAsia="Times New Roman" w:cstheme="minorHAnsi"/>
                <w:sz w:val="22"/>
                <w:szCs w:val="22"/>
                <w:lang w:eastAsia="en-GB"/>
              </w:rPr>
              <w:t xml:space="preserve"> on </w:t>
            </w:r>
            <w:r w:rsidRPr="00D33E76">
              <w:rPr>
                <w:rFonts w:eastAsia="Times New Roman" w:cstheme="minorHAnsi"/>
                <w:sz w:val="22"/>
                <w:szCs w:val="22"/>
                <w:lang w:eastAsia="en-GB"/>
              </w:rPr>
              <w:lastRenderedPageBreak/>
              <w:t xml:space="preserve">neurological disease progression in </w:t>
            </w:r>
            <w:r w:rsidR="00690B26">
              <w:rPr>
                <w:rFonts w:eastAsia="Times New Roman" w:cstheme="minorHAnsi"/>
                <w:sz w:val="22"/>
                <w:szCs w:val="22"/>
                <w:lang w:eastAsia="en-GB"/>
              </w:rPr>
              <w:t>NPC</w:t>
            </w:r>
            <w:r w:rsidRPr="00D33E76">
              <w:rPr>
                <w:rFonts w:eastAsia="Times New Roman" w:cstheme="minorHAnsi"/>
                <w:sz w:val="22"/>
                <w:szCs w:val="22"/>
                <w:lang w:eastAsia="en-GB"/>
              </w:rPr>
              <w:t xml:space="preserve"> patients treated with </w:t>
            </w:r>
            <w:proofErr w:type="spellStart"/>
            <w:r w:rsidRPr="00D33E76">
              <w:rPr>
                <w:rFonts w:eastAsia="Times New Roman" w:cstheme="minorHAnsi"/>
                <w:sz w:val="22"/>
                <w:szCs w:val="22"/>
                <w:lang w:eastAsia="en-GB"/>
              </w:rPr>
              <w:t>miglustat</w:t>
            </w:r>
            <w:proofErr w:type="spellEnd"/>
            <w:r w:rsidRPr="00D33E76">
              <w:rPr>
                <w:rFonts w:eastAsia="Times New Roman" w:cstheme="minorHAnsi"/>
                <w:sz w:val="22"/>
                <w:szCs w:val="22"/>
                <w:lang w:eastAsia="en-GB"/>
              </w:rPr>
              <w:t xml:space="preserve"> in the clinical practice setting, outside the context of clinical trials.</w:t>
            </w:r>
          </w:p>
        </w:tc>
        <w:tc>
          <w:tcPr>
            <w:tcW w:w="2239" w:type="dxa"/>
            <w:shd w:val="clear" w:color="auto" w:fill="FFF2CC"/>
          </w:tcPr>
          <w:p w14:paraId="0AFFDE9A" w14:textId="2E0B958D"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lastRenderedPageBreak/>
              <w:t xml:space="preserve">The authors anticipated that this scale would be included as one of the standard monitoring assessments in the planned international </w:t>
            </w:r>
            <w:r w:rsidRPr="00D33E76">
              <w:rPr>
                <w:rFonts w:eastAsia="Times New Roman" w:cstheme="minorHAnsi"/>
                <w:sz w:val="22"/>
                <w:szCs w:val="22"/>
                <w:lang w:eastAsia="en-GB"/>
              </w:rPr>
              <w:lastRenderedPageBreak/>
              <w:t xml:space="preserve">disease registry for </w:t>
            </w:r>
            <w:r w:rsidR="00690B26">
              <w:rPr>
                <w:rFonts w:eastAsia="Times New Roman" w:cstheme="minorHAnsi"/>
                <w:sz w:val="22"/>
                <w:szCs w:val="22"/>
                <w:lang w:eastAsia="en-GB"/>
              </w:rPr>
              <w:t>NPC</w:t>
            </w:r>
            <w:r w:rsidRPr="00D33E76">
              <w:rPr>
                <w:rFonts w:eastAsia="Times New Roman" w:cstheme="minorHAnsi"/>
                <w:sz w:val="22"/>
                <w:szCs w:val="22"/>
                <w:lang w:eastAsia="en-GB"/>
              </w:rPr>
              <w:t xml:space="preserve"> patients and yield further, valuable long-term information on the utility of the scale in monitoring disease progression and treatment response.</w:t>
            </w:r>
          </w:p>
        </w:tc>
        <w:tc>
          <w:tcPr>
            <w:tcW w:w="2238" w:type="dxa"/>
            <w:shd w:val="clear" w:color="auto" w:fill="FFF2CC"/>
          </w:tcPr>
          <w:p w14:paraId="150B7956"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lastRenderedPageBreak/>
              <w:t>No information available.</w:t>
            </w:r>
          </w:p>
        </w:tc>
        <w:tc>
          <w:tcPr>
            <w:tcW w:w="2239" w:type="dxa"/>
            <w:shd w:val="clear" w:color="auto" w:fill="FFF2CC"/>
          </w:tcPr>
          <w:p w14:paraId="743AA557" w14:textId="3A34D3A1" w:rsidR="00D33E76" w:rsidRPr="00D33E76" w:rsidRDefault="00D33E76" w:rsidP="00D33E76">
            <w:pPr>
              <w:rPr>
                <w:rFonts w:eastAsia="Times New Roman" w:cstheme="minorHAnsi"/>
                <w:color w:val="A6A6A6"/>
                <w:sz w:val="22"/>
                <w:szCs w:val="22"/>
                <w:lang w:eastAsia="en-GB"/>
              </w:rPr>
            </w:pPr>
            <w:r w:rsidRPr="00D33E76">
              <w:rPr>
                <w:rFonts w:eastAsia="Times New Roman" w:cstheme="minorHAnsi"/>
                <w:sz w:val="22"/>
                <w:szCs w:val="22"/>
                <w:lang w:eastAsia="en-GB"/>
              </w:rPr>
              <w:t xml:space="preserve">Primary outcomes in the study: </w:t>
            </w:r>
            <w:r w:rsidRPr="00D33E76">
              <w:rPr>
                <w:rFonts w:eastAsia="Times New Roman" w:cstheme="minorHAnsi"/>
                <w:i/>
                <w:iCs/>
                <w:sz w:val="22"/>
                <w:szCs w:val="22"/>
                <w:lang w:eastAsia="en-GB"/>
              </w:rPr>
              <w:t xml:space="preserve">Clinical experience with </w:t>
            </w:r>
            <w:proofErr w:type="spellStart"/>
            <w:r w:rsidRPr="00D33E76">
              <w:rPr>
                <w:rFonts w:eastAsia="Times New Roman" w:cstheme="minorHAnsi"/>
                <w:i/>
                <w:iCs/>
                <w:sz w:val="22"/>
                <w:szCs w:val="22"/>
                <w:lang w:eastAsia="en-GB"/>
              </w:rPr>
              <w:t>miglustat</w:t>
            </w:r>
            <w:proofErr w:type="spellEnd"/>
            <w:r w:rsidRPr="00D33E76">
              <w:rPr>
                <w:rFonts w:eastAsia="Times New Roman" w:cstheme="minorHAnsi"/>
                <w:i/>
                <w:iCs/>
                <w:sz w:val="22"/>
                <w:szCs w:val="22"/>
                <w:lang w:eastAsia="en-GB"/>
              </w:rPr>
              <w:t xml:space="preserve"> therapy in </w:t>
            </w:r>
            <w:proofErr w:type="spellStart"/>
            <w:r w:rsidRPr="00D33E76">
              <w:rPr>
                <w:rFonts w:eastAsia="Times New Roman" w:cstheme="minorHAnsi"/>
                <w:i/>
                <w:iCs/>
                <w:sz w:val="22"/>
                <w:szCs w:val="22"/>
                <w:lang w:eastAsia="en-GB"/>
              </w:rPr>
              <w:t>pediatric</w:t>
            </w:r>
            <w:proofErr w:type="spellEnd"/>
            <w:r w:rsidRPr="00D33E76">
              <w:rPr>
                <w:rFonts w:eastAsia="Times New Roman" w:cstheme="minorHAnsi"/>
                <w:i/>
                <w:iCs/>
                <w:sz w:val="22"/>
                <w:szCs w:val="22"/>
                <w:lang w:eastAsia="en-GB"/>
              </w:rPr>
              <w:t xml:space="preserve"> patients with Niemann-Pick disease type C: a case series</w:t>
            </w:r>
            <w:r w:rsidRPr="00D33E76">
              <w:rPr>
                <w:rFonts w:eastAsia="Times New Roman" w:cstheme="minorHAnsi"/>
                <w:sz w:val="22"/>
                <w:szCs w:val="22"/>
                <w:lang w:eastAsia="en-GB"/>
              </w:rPr>
              <w:t xml:space="preserve"> </w:t>
            </w:r>
            <w:r w:rsidR="005D1EED" w:rsidRPr="005D1EED">
              <w:rPr>
                <w:rFonts w:eastAsia="Times New Roman" w:cstheme="minorHAnsi"/>
                <w:sz w:val="22"/>
                <w:szCs w:val="22"/>
                <w:lang w:eastAsia="en-GB"/>
              </w:rPr>
              <w:lastRenderedPageBreak/>
              <w:t xml:space="preserve">[22] </w:t>
            </w:r>
            <w:r w:rsidRPr="005D1EED">
              <w:rPr>
                <w:rFonts w:eastAsia="Times New Roman" w:cstheme="minorHAnsi"/>
                <w:sz w:val="22"/>
                <w:szCs w:val="22"/>
                <w:lang w:eastAsia="en-GB"/>
              </w:rPr>
              <w:t xml:space="preserve">modified with scores </w:t>
            </w:r>
            <w:r w:rsidRPr="00D33E76">
              <w:rPr>
                <w:rFonts w:eastAsia="Times New Roman" w:cstheme="minorHAnsi"/>
                <w:sz w:val="22"/>
                <w:szCs w:val="22"/>
                <w:lang w:eastAsia="en-GB"/>
              </w:rPr>
              <w:t xml:space="preserve">to calculate an overall (composite) disability score. </w:t>
            </w:r>
          </w:p>
        </w:tc>
        <w:tc>
          <w:tcPr>
            <w:tcW w:w="2239" w:type="dxa"/>
            <w:shd w:val="clear" w:color="auto" w:fill="FFF2CC"/>
          </w:tcPr>
          <w:p w14:paraId="08E5F74A" w14:textId="375572EF"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lastRenderedPageBreak/>
              <w:t xml:space="preserve">Used to evaluate the efficacy and course of disease in patients treated with </w:t>
            </w:r>
            <w:proofErr w:type="spellStart"/>
            <w:r w:rsidRPr="00D33E76">
              <w:rPr>
                <w:rFonts w:eastAsia="Times New Roman" w:cstheme="minorHAnsi"/>
                <w:sz w:val="22"/>
                <w:szCs w:val="22"/>
                <w:lang w:eastAsia="en-GB"/>
              </w:rPr>
              <w:t>miglustat</w:t>
            </w:r>
            <w:proofErr w:type="spellEnd"/>
            <w:r w:rsidRPr="00D33E76">
              <w:rPr>
                <w:rFonts w:eastAsia="Times New Roman" w:cstheme="minorHAnsi"/>
                <w:sz w:val="22"/>
                <w:szCs w:val="22"/>
                <w:lang w:eastAsia="en-GB"/>
              </w:rPr>
              <w:t xml:space="preserve"> using two neuroimaging modalities</w:t>
            </w:r>
            <w:r w:rsidR="005D1EED">
              <w:rPr>
                <w:rFonts w:eastAsia="Times New Roman" w:cstheme="minorHAnsi"/>
                <w:sz w:val="22"/>
                <w:szCs w:val="22"/>
                <w:lang w:eastAsia="en-GB"/>
              </w:rPr>
              <w:t xml:space="preserve"> [23]. </w:t>
            </w:r>
            <w:r w:rsidRPr="00D33E76">
              <w:rPr>
                <w:rFonts w:eastAsia="Times New Roman" w:cstheme="minorHAnsi"/>
                <w:color w:val="000000"/>
                <w:sz w:val="22"/>
                <w:szCs w:val="22"/>
                <w:lang w:eastAsia="en-GB"/>
              </w:rPr>
              <w:t xml:space="preserve"> </w:t>
            </w:r>
          </w:p>
          <w:p w14:paraId="794C8EF2" w14:textId="77777777" w:rsidR="00D33E76" w:rsidRPr="00D33E76" w:rsidRDefault="00D33E76" w:rsidP="00D33E76">
            <w:pPr>
              <w:rPr>
                <w:rFonts w:eastAsia="Times New Roman" w:cstheme="minorHAnsi"/>
                <w:sz w:val="22"/>
                <w:szCs w:val="22"/>
                <w:lang w:eastAsia="en-GB"/>
              </w:rPr>
            </w:pPr>
          </w:p>
          <w:p w14:paraId="0914DB8B" w14:textId="250BD901"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Used in a study to identify retinal degeneration in NPC1-disease and to investigate possible subclinical retinal degeneration in NPC1-</w:t>
            </w:r>
            <w:r w:rsidRPr="005D1EED">
              <w:rPr>
                <w:rFonts w:eastAsia="Times New Roman" w:cstheme="minorHAnsi"/>
                <w:sz w:val="22"/>
                <w:szCs w:val="22"/>
                <w:lang w:eastAsia="en-GB"/>
              </w:rPr>
              <w:t xml:space="preserve">MC </w:t>
            </w:r>
            <w:r w:rsidR="005D1EED" w:rsidRPr="005D1EED">
              <w:rPr>
                <w:rFonts w:eastAsia="Times New Roman" w:cstheme="minorHAnsi"/>
                <w:sz w:val="22"/>
                <w:szCs w:val="22"/>
                <w:lang w:eastAsia="en-GB"/>
              </w:rPr>
              <w:t>[24].</w:t>
            </w:r>
          </w:p>
        </w:tc>
      </w:tr>
      <w:tr w:rsidR="00D33E76" w:rsidRPr="00D33E76" w14:paraId="49C87F9B" w14:textId="77777777" w:rsidTr="00D33E76">
        <w:tc>
          <w:tcPr>
            <w:tcW w:w="1423" w:type="dxa"/>
            <w:shd w:val="clear" w:color="auto" w:fill="FFFFFF"/>
          </w:tcPr>
          <w:p w14:paraId="5DDD9017" w14:textId="32761867" w:rsidR="00D33E76" w:rsidRPr="00D33E76" w:rsidRDefault="00690B26" w:rsidP="00D33E76">
            <w:pPr>
              <w:jc w:val="center"/>
              <w:rPr>
                <w:rFonts w:eastAsia="Times New Roman" w:cstheme="minorHAnsi"/>
                <w:b/>
                <w:bCs/>
                <w:sz w:val="22"/>
                <w:szCs w:val="22"/>
                <w:lang w:eastAsia="en-GB"/>
              </w:rPr>
            </w:pPr>
            <w:r>
              <w:rPr>
                <w:rFonts w:eastAsia="Times New Roman" w:cstheme="minorHAnsi"/>
                <w:b/>
                <w:bCs/>
                <w:sz w:val="22"/>
                <w:szCs w:val="22"/>
                <w:lang w:eastAsia="en-GB"/>
              </w:rPr>
              <w:lastRenderedPageBreak/>
              <w:t>NPC</w:t>
            </w:r>
            <w:r w:rsidR="00D33E76" w:rsidRPr="00D33E76">
              <w:rPr>
                <w:rFonts w:eastAsia="Times New Roman" w:cstheme="minorHAnsi"/>
                <w:b/>
                <w:bCs/>
                <w:sz w:val="22"/>
                <w:szCs w:val="22"/>
                <w:lang w:eastAsia="en-GB"/>
              </w:rPr>
              <w:t xml:space="preserve"> Clinical Severity Score (</w:t>
            </w:r>
            <w:r w:rsidR="00784E7F">
              <w:rPr>
                <w:rFonts w:eastAsia="Times New Roman" w:cstheme="minorHAnsi"/>
                <w:b/>
                <w:bCs/>
                <w:sz w:val="22"/>
                <w:szCs w:val="22"/>
                <w:lang w:eastAsia="en-GB"/>
              </w:rPr>
              <w:t>NPCCSS</w:t>
            </w:r>
            <w:r w:rsidR="00D33E76" w:rsidRPr="00D33E76">
              <w:rPr>
                <w:rFonts w:eastAsia="Times New Roman" w:cstheme="minorHAnsi"/>
                <w:b/>
                <w:bCs/>
                <w:sz w:val="22"/>
                <w:szCs w:val="22"/>
                <w:lang w:eastAsia="en-GB"/>
              </w:rPr>
              <w:t>)</w:t>
            </w:r>
            <w:r w:rsidR="00D33E76" w:rsidRPr="00D33E76">
              <w:rPr>
                <w:rFonts w:eastAsia="Times New Roman" w:cstheme="minorHAnsi"/>
                <w:b/>
                <w:bCs/>
                <w:sz w:val="22"/>
                <w:szCs w:val="22"/>
                <w:vertAlign w:val="superscript"/>
                <w:lang w:eastAsia="en-GB"/>
              </w:rPr>
              <w:t xml:space="preserve"> </w:t>
            </w:r>
            <w:r w:rsidR="005D1EED" w:rsidRPr="005D1EED">
              <w:rPr>
                <w:rFonts w:eastAsia="Times New Roman" w:cstheme="minorHAnsi"/>
                <w:sz w:val="22"/>
                <w:szCs w:val="22"/>
                <w:lang w:eastAsia="en-GB"/>
              </w:rPr>
              <w:t>[18]</w:t>
            </w:r>
          </w:p>
        </w:tc>
        <w:tc>
          <w:tcPr>
            <w:tcW w:w="2835" w:type="dxa"/>
            <w:shd w:val="clear" w:color="auto" w:fill="FFFFFF"/>
          </w:tcPr>
          <w:p w14:paraId="17EDB5D3" w14:textId="3A6DAB2A"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Comprises </w:t>
            </w:r>
            <w:r w:rsidR="00105399">
              <w:rPr>
                <w:rFonts w:eastAsia="Times New Roman" w:cstheme="minorHAnsi"/>
                <w:sz w:val="22"/>
                <w:szCs w:val="22"/>
                <w:lang w:eastAsia="en-GB"/>
              </w:rPr>
              <w:t>17-domain</w:t>
            </w:r>
            <w:r w:rsidRPr="00D33E76">
              <w:rPr>
                <w:rFonts w:eastAsia="Times New Roman" w:cstheme="minorHAnsi"/>
                <w:sz w:val="22"/>
                <w:szCs w:val="22"/>
                <w:lang w:eastAsia="en-GB"/>
              </w:rPr>
              <w:t xml:space="preserve">s based on a cohort of 18 then-current </w:t>
            </w:r>
            <w:r w:rsidR="00690B26">
              <w:rPr>
                <w:rFonts w:eastAsia="Times New Roman" w:cstheme="minorHAnsi"/>
                <w:sz w:val="22"/>
                <w:szCs w:val="22"/>
                <w:lang w:eastAsia="en-GB"/>
              </w:rPr>
              <w:t>NPC</w:t>
            </w:r>
            <w:r w:rsidRPr="00D33E76">
              <w:rPr>
                <w:rFonts w:eastAsia="Times New Roman" w:cstheme="minorHAnsi"/>
                <w:sz w:val="22"/>
                <w:szCs w:val="22"/>
                <w:lang w:eastAsia="en-GB"/>
              </w:rPr>
              <w:t xml:space="preserve"> patients and 19 historical cases from the National Institutes of Health.</w:t>
            </w:r>
          </w:p>
          <w:p w14:paraId="15651DFF"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w:t>
            </w:r>
          </w:p>
          <w:p w14:paraId="633C77E8" w14:textId="59966155"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The </w:t>
            </w:r>
            <w:r w:rsidR="00784E7F">
              <w:rPr>
                <w:rFonts w:eastAsia="Times New Roman" w:cstheme="minorHAnsi"/>
                <w:sz w:val="22"/>
                <w:szCs w:val="22"/>
                <w:lang w:eastAsia="en-GB"/>
              </w:rPr>
              <w:t>NPCCSS</w:t>
            </w:r>
            <w:r w:rsidRPr="00D33E76">
              <w:rPr>
                <w:rFonts w:eastAsia="Times New Roman" w:cstheme="minorHAnsi"/>
                <w:sz w:val="22"/>
                <w:szCs w:val="22"/>
                <w:lang w:eastAsia="en-GB"/>
              </w:rPr>
              <w:t xml:space="preserve"> measures: </w:t>
            </w:r>
          </w:p>
          <w:p w14:paraId="21D0E8EF" w14:textId="77777777" w:rsidR="00D33E76" w:rsidRPr="00D33E76" w:rsidRDefault="00D33E76" w:rsidP="00D33E76">
            <w:pPr>
              <w:numPr>
                <w:ilvl w:val="0"/>
                <w:numId w:val="19"/>
              </w:numPr>
              <w:contextualSpacing/>
              <w:rPr>
                <w:rFonts w:eastAsia="Times New Roman" w:cstheme="minorHAnsi"/>
                <w:sz w:val="22"/>
                <w:szCs w:val="22"/>
                <w:lang w:eastAsia="en-GB"/>
              </w:rPr>
            </w:pPr>
            <w:r w:rsidRPr="00D33E76">
              <w:rPr>
                <w:rFonts w:eastAsia="Times New Roman" w:cstheme="minorHAnsi"/>
                <w:sz w:val="22"/>
                <w:szCs w:val="22"/>
                <w:lang w:eastAsia="en-GB"/>
              </w:rPr>
              <w:t xml:space="preserve">nine major domains: ambulation, cognition, eye movement, fine motor, hearing, memory, seizures, speech, swallowing </w:t>
            </w:r>
          </w:p>
          <w:p w14:paraId="6684D0A5" w14:textId="77777777" w:rsidR="00D33E76" w:rsidRPr="00D33E76" w:rsidRDefault="00D33E76" w:rsidP="00D33E76">
            <w:pPr>
              <w:numPr>
                <w:ilvl w:val="0"/>
                <w:numId w:val="19"/>
              </w:numPr>
              <w:contextualSpacing/>
              <w:rPr>
                <w:rFonts w:eastAsia="Calibri" w:cstheme="minorHAnsi"/>
                <w:sz w:val="22"/>
                <w:szCs w:val="22"/>
              </w:rPr>
            </w:pPr>
            <w:r w:rsidRPr="00D33E76">
              <w:rPr>
                <w:rFonts w:eastAsia="Times New Roman" w:cstheme="minorHAnsi"/>
                <w:sz w:val="22"/>
                <w:szCs w:val="22"/>
                <w:lang w:eastAsia="en-GB"/>
              </w:rPr>
              <w:t xml:space="preserve">eight minor domains: auditory brainstem response, behaviour, </w:t>
            </w:r>
            <w:proofErr w:type="spellStart"/>
            <w:r w:rsidRPr="00D33E76">
              <w:rPr>
                <w:rFonts w:eastAsia="Times New Roman" w:cstheme="minorHAnsi"/>
                <w:sz w:val="22"/>
                <w:szCs w:val="22"/>
                <w:lang w:eastAsia="en-GB"/>
              </w:rPr>
              <w:t>gelastic</w:t>
            </w:r>
            <w:proofErr w:type="spellEnd"/>
            <w:r w:rsidRPr="00D33E76">
              <w:rPr>
                <w:rFonts w:eastAsia="Times New Roman" w:cstheme="minorHAnsi"/>
                <w:sz w:val="22"/>
                <w:szCs w:val="22"/>
                <w:lang w:eastAsia="en-GB"/>
              </w:rPr>
              <w:t xml:space="preserve"> cataplexy, hyperreflexia, incontinence, narcolepsy, psychiatric, respiratory problems.</w:t>
            </w:r>
          </w:p>
          <w:p w14:paraId="10453026" w14:textId="77777777" w:rsidR="00D33E76" w:rsidRPr="00D33E76" w:rsidRDefault="00D33E76" w:rsidP="00D33E76">
            <w:pPr>
              <w:rPr>
                <w:rFonts w:eastAsia="Times New Roman" w:cstheme="minorHAnsi"/>
                <w:sz w:val="22"/>
                <w:szCs w:val="22"/>
                <w:lang w:eastAsia="en-GB"/>
              </w:rPr>
            </w:pPr>
          </w:p>
        </w:tc>
        <w:tc>
          <w:tcPr>
            <w:tcW w:w="2238" w:type="dxa"/>
            <w:shd w:val="clear" w:color="auto" w:fill="FFFFFF"/>
          </w:tcPr>
          <w:p w14:paraId="4954CBFD"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No information available.</w:t>
            </w:r>
          </w:p>
        </w:tc>
        <w:tc>
          <w:tcPr>
            <w:tcW w:w="2239" w:type="dxa"/>
            <w:shd w:val="clear" w:color="auto" w:fill="FFFFFF"/>
          </w:tcPr>
          <w:p w14:paraId="55228CDD"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No information available.</w:t>
            </w:r>
          </w:p>
        </w:tc>
        <w:tc>
          <w:tcPr>
            <w:tcW w:w="2238" w:type="dxa"/>
            <w:shd w:val="clear" w:color="auto" w:fill="FFFFFF"/>
          </w:tcPr>
          <w:p w14:paraId="2982DFF7"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According to the authors, the ability to combine data from patients of variable age of onset will facilitate recruitment for clinical trials.</w:t>
            </w:r>
          </w:p>
        </w:tc>
        <w:tc>
          <w:tcPr>
            <w:tcW w:w="2239" w:type="dxa"/>
            <w:shd w:val="clear" w:color="auto" w:fill="FFFFFF"/>
          </w:tcPr>
          <w:p w14:paraId="1CD6CCDE" w14:textId="4A80BBDB"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Primary outcomes in the study: </w:t>
            </w:r>
            <w:r w:rsidRPr="00D33E76">
              <w:rPr>
                <w:rFonts w:eastAsia="Times New Roman" w:cstheme="minorHAnsi"/>
                <w:i/>
                <w:iCs/>
                <w:sz w:val="22"/>
                <w:szCs w:val="22"/>
                <w:lang w:eastAsia="en-GB"/>
              </w:rPr>
              <w:t>Long-Term Treatment of Niemann-Pick Type C1 Disease With Intrathecal 2-Hydroxypropyl-β-Cyclodextrin</w:t>
            </w:r>
            <w:r w:rsidRPr="00D33E76">
              <w:rPr>
                <w:rFonts w:eastAsia="Times New Roman" w:cstheme="minorHAnsi"/>
                <w:sz w:val="22"/>
                <w:szCs w:val="22"/>
                <w:lang w:eastAsia="en-GB"/>
              </w:rPr>
              <w:t xml:space="preserve"> </w:t>
            </w:r>
            <w:r w:rsidR="00AA2864">
              <w:rPr>
                <w:rFonts w:eastAsia="Times New Roman" w:cstheme="minorHAnsi"/>
                <w:sz w:val="22"/>
                <w:szCs w:val="22"/>
                <w:lang w:eastAsia="en-GB"/>
              </w:rPr>
              <w:t>[25]</w:t>
            </w:r>
            <w:r w:rsidRPr="00D33E76">
              <w:rPr>
                <w:rFonts w:eastAsia="Times New Roman" w:cstheme="minorHAnsi"/>
                <w:color w:val="000000"/>
                <w:sz w:val="22"/>
                <w:szCs w:val="22"/>
                <w:lang w:eastAsia="en-GB"/>
              </w:rPr>
              <w:t xml:space="preserve">. </w:t>
            </w:r>
          </w:p>
          <w:p w14:paraId="777E14B8" w14:textId="77777777" w:rsidR="00D33E76" w:rsidRPr="00D33E76" w:rsidRDefault="00D33E76" w:rsidP="00D33E76">
            <w:pPr>
              <w:rPr>
                <w:rFonts w:eastAsia="Times New Roman" w:cstheme="minorHAnsi"/>
                <w:sz w:val="22"/>
                <w:szCs w:val="22"/>
                <w:lang w:eastAsia="en-GB"/>
              </w:rPr>
            </w:pPr>
          </w:p>
          <w:p w14:paraId="3AEDE043" w14:textId="7F7A6DEB"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Secondary outcomes in the study: </w:t>
            </w:r>
            <w:r w:rsidRPr="00D33E76">
              <w:rPr>
                <w:rFonts w:eastAsia="Times New Roman" w:cstheme="minorHAnsi"/>
                <w:i/>
                <w:iCs/>
                <w:sz w:val="22"/>
                <w:szCs w:val="22"/>
                <w:lang w:eastAsia="en-GB"/>
              </w:rPr>
              <w:t>Intrathecal 2-hydroxypropyl-β-cyclodextrin decreases neurological disease progression in Niemann-Pick disease, type C1: a non-randomised, open-label, phase 1-2 trial</w:t>
            </w:r>
            <w:r w:rsidRPr="00D33E76">
              <w:rPr>
                <w:rFonts w:eastAsia="Times New Roman" w:cstheme="minorHAnsi"/>
                <w:sz w:val="22"/>
                <w:szCs w:val="22"/>
                <w:lang w:eastAsia="en-GB"/>
              </w:rPr>
              <w:t xml:space="preserve"> </w:t>
            </w:r>
            <w:r w:rsidR="00AA2864">
              <w:rPr>
                <w:rFonts w:eastAsia="Times New Roman" w:cstheme="minorHAnsi"/>
                <w:sz w:val="22"/>
                <w:szCs w:val="22"/>
                <w:lang w:eastAsia="en-GB"/>
              </w:rPr>
              <w:t>[26]</w:t>
            </w:r>
            <w:r w:rsidRPr="00D33E76">
              <w:rPr>
                <w:rFonts w:eastAsia="Times New Roman" w:cstheme="minorHAnsi"/>
                <w:color w:val="000000"/>
                <w:sz w:val="22"/>
                <w:szCs w:val="22"/>
                <w:lang w:eastAsia="en-GB"/>
              </w:rPr>
              <w:t>.</w:t>
            </w:r>
          </w:p>
          <w:p w14:paraId="52C14946" w14:textId="77777777" w:rsidR="00D33E76" w:rsidRPr="00D33E76" w:rsidRDefault="00D33E76" w:rsidP="00D33E76">
            <w:pPr>
              <w:rPr>
                <w:rFonts w:eastAsia="Times New Roman" w:cstheme="minorHAnsi"/>
                <w:sz w:val="22"/>
                <w:szCs w:val="22"/>
                <w:lang w:eastAsia="en-GB"/>
              </w:rPr>
            </w:pPr>
          </w:p>
          <w:p w14:paraId="427F56DD" w14:textId="77777777" w:rsidR="00D33E76" w:rsidRDefault="00D33E76" w:rsidP="00D33E76">
            <w:pPr>
              <w:rPr>
                <w:rFonts w:eastAsia="Times New Roman" w:cstheme="minorHAnsi"/>
                <w:color w:val="000000"/>
                <w:sz w:val="22"/>
                <w:szCs w:val="22"/>
                <w:lang w:eastAsia="en-GB"/>
              </w:rPr>
            </w:pPr>
            <w:r w:rsidRPr="00D33E76">
              <w:rPr>
                <w:rFonts w:eastAsia="Times New Roman" w:cstheme="minorHAnsi"/>
                <w:sz w:val="22"/>
                <w:szCs w:val="22"/>
                <w:lang w:eastAsia="en-GB"/>
              </w:rPr>
              <w:t xml:space="preserve">Primary outcomes in the study: </w:t>
            </w:r>
            <w:r w:rsidRPr="00D33E76">
              <w:rPr>
                <w:rFonts w:eastAsia="Times New Roman" w:cstheme="minorHAnsi"/>
                <w:i/>
                <w:iCs/>
                <w:sz w:val="22"/>
                <w:szCs w:val="22"/>
                <w:lang w:eastAsia="en-GB"/>
              </w:rPr>
              <w:t xml:space="preserve">VTS-270 for </w:t>
            </w:r>
            <w:r w:rsidRPr="00D33E76">
              <w:rPr>
                <w:rFonts w:eastAsia="Times New Roman" w:cstheme="minorHAnsi"/>
                <w:i/>
                <w:iCs/>
                <w:sz w:val="22"/>
                <w:szCs w:val="22"/>
                <w:lang w:eastAsia="en-GB"/>
              </w:rPr>
              <w:lastRenderedPageBreak/>
              <w:t xml:space="preserve">the treatment of Niemann-Pick disease type C. Molecular Genetics and Metabolism </w:t>
            </w:r>
            <w:r w:rsidR="00AA2864">
              <w:rPr>
                <w:rFonts w:eastAsia="Times New Roman" w:cstheme="minorHAnsi"/>
                <w:sz w:val="22"/>
                <w:szCs w:val="22"/>
                <w:lang w:eastAsia="en-GB"/>
              </w:rPr>
              <w:t>[27]</w:t>
            </w:r>
            <w:r w:rsidRPr="00D33E76">
              <w:rPr>
                <w:rFonts w:eastAsia="Times New Roman" w:cstheme="minorHAnsi"/>
                <w:color w:val="000000"/>
                <w:sz w:val="22"/>
                <w:szCs w:val="22"/>
                <w:lang w:eastAsia="en-GB"/>
              </w:rPr>
              <w:t>.</w:t>
            </w:r>
          </w:p>
          <w:p w14:paraId="310A2FEB" w14:textId="77777777" w:rsidR="006C2FB0" w:rsidRDefault="006C2FB0" w:rsidP="00D33E76">
            <w:pPr>
              <w:rPr>
                <w:rFonts w:eastAsia="Times New Roman" w:cstheme="minorHAnsi"/>
                <w:color w:val="000000"/>
                <w:sz w:val="22"/>
                <w:szCs w:val="22"/>
                <w:lang w:eastAsia="en-GB"/>
              </w:rPr>
            </w:pPr>
          </w:p>
          <w:p w14:paraId="1CB42672" w14:textId="6A263B8A" w:rsidR="006C7554" w:rsidRPr="0033711F" w:rsidRDefault="006C7554" w:rsidP="006C7554">
            <w:pPr>
              <w:rPr>
                <w:rFonts w:eastAsia="Times New Roman" w:cstheme="minorHAnsi"/>
                <w:i/>
                <w:iCs/>
                <w:sz w:val="22"/>
                <w:szCs w:val="22"/>
                <w:lang w:eastAsia="en-GB"/>
              </w:rPr>
            </w:pPr>
            <w:r>
              <w:rPr>
                <w:rFonts w:eastAsia="Times New Roman" w:cstheme="minorHAnsi"/>
                <w:sz w:val="22"/>
                <w:szCs w:val="22"/>
                <w:lang w:eastAsia="en-GB"/>
              </w:rPr>
              <w:t xml:space="preserve">Primary outcomes in the study: </w:t>
            </w:r>
            <w:proofErr w:type="spellStart"/>
            <w:r w:rsidRPr="0033711F">
              <w:rPr>
                <w:rFonts w:eastAsia="Times New Roman" w:cstheme="minorHAnsi"/>
                <w:i/>
                <w:iCs/>
                <w:sz w:val="22"/>
                <w:szCs w:val="22"/>
                <w:lang w:eastAsia="en-GB"/>
              </w:rPr>
              <w:t>Arimoclomol</w:t>
            </w:r>
            <w:proofErr w:type="spellEnd"/>
            <w:r w:rsidRPr="0033711F">
              <w:rPr>
                <w:rFonts w:eastAsia="Times New Roman" w:cstheme="minorHAnsi"/>
                <w:i/>
                <w:iCs/>
                <w:sz w:val="22"/>
                <w:szCs w:val="22"/>
                <w:lang w:eastAsia="en-GB"/>
              </w:rPr>
              <w:t xml:space="preserve"> Prospective Study in Patients Diagnosed With Niemann Pick Disease Type C</w:t>
            </w:r>
            <w:r w:rsidR="00A6417B">
              <w:rPr>
                <w:rFonts w:eastAsia="Times New Roman" w:cstheme="minorHAnsi"/>
                <w:sz w:val="22"/>
                <w:szCs w:val="22"/>
                <w:lang w:eastAsia="en-GB"/>
              </w:rPr>
              <w:t xml:space="preserve"> [28].</w:t>
            </w:r>
          </w:p>
          <w:p w14:paraId="010E4D32" w14:textId="77777777" w:rsidR="006C7554" w:rsidRDefault="006C7554" w:rsidP="00D33E76">
            <w:pPr>
              <w:rPr>
                <w:rFonts w:eastAsia="Times New Roman" w:cstheme="minorHAnsi"/>
                <w:sz w:val="22"/>
                <w:szCs w:val="22"/>
                <w:lang w:eastAsia="en-GB"/>
              </w:rPr>
            </w:pPr>
          </w:p>
          <w:p w14:paraId="0DEF2B8F" w14:textId="14D796E7" w:rsidR="006C2FB0" w:rsidRPr="005F007B" w:rsidRDefault="0033711F" w:rsidP="00D33E76">
            <w:pPr>
              <w:rPr>
                <w:rFonts w:eastAsia="Times New Roman" w:cstheme="minorHAnsi"/>
                <w:color w:val="A6A6A6"/>
                <w:sz w:val="22"/>
                <w:szCs w:val="22"/>
                <w:lang w:eastAsia="en-GB"/>
              </w:rPr>
            </w:pPr>
            <w:r>
              <w:rPr>
                <w:rFonts w:eastAsia="Times New Roman" w:cstheme="minorHAnsi"/>
                <w:sz w:val="22"/>
                <w:szCs w:val="22"/>
                <w:lang w:eastAsia="en-GB"/>
              </w:rPr>
              <w:t>P</w:t>
            </w:r>
            <w:r w:rsidR="006C2FB0">
              <w:rPr>
                <w:rFonts w:eastAsia="Times New Roman" w:cstheme="minorHAnsi"/>
                <w:sz w:val="22"/>
                <w:szCs w:val="22"/>
                <w:lang w:eastAsia="en-GB"/>
              </w:rPr>
              <w:t xml:space="preserve">rimary objectives in the study: </w:t>
            </w:r>
            <w:r w:rsidR="006C2FB0" w:rsidRPr="006C2FB0">
              <w:rPr>
                <w:rFonts w:eastAsia="Times New Roman" w:cstheme="minorHAnsi"/>
                <w:i/>
                <w:iCs/>
                <w:sz w:val="22"/>
                <w:szCs w:val="22"/>
                <w:lang w:eastAsia="en-GB"/>
              </w:rPr>
              <w:t>Clinical disease progression and biomarkers in Niemann–Pick disease type C: a prospective cohort study</w:t>
            </w:r>
            <w:r w:rsidR="006C2FB0">
              <w:rPr>
                <w:rFonts w:eastAsia="Times New Roman" w:cstheme="minorHAnsi"/>
                <w:sz w:val="22"/>
                <w:szCs w:val="22"/>
                <w:lang w:eastAsia="en-GB"/>
              </w:rPr>
              <w:t xml:space="preserve"> </w:t>
            </w:r>
            <w:r w:rsidR="006407D7">
              <w:rPr>
                <w:rFonts w:eastAsia="Times New Roman" w:cstheme="minorHAnsi"/>
                <w:sz w:val="22"/>
                <w:szCs w:val="22"/>
                <w:lang w:eastAsia="en-GB"/>
              </w:rPr>
              <w:t>[2</w:t>
            </w:r>
            <w:r w:rsidR="00A6417B">
              <w:rPr>
                <w:rFonts w:eastAsia="Times New Roman" w:cstheme="minorHAnsi"/>
                <w:sz w:val="22"/>
                <w:szCs w:val="22"/>
                <w:lang w:eastAsia="en-GB"/>
              </w:rPr>
              <w:t>9</w:t>
            </w:r>
            <w:r w:rsidR="006C2FB0">
              <w:rPr>
                <w:rFonts w:eastAsia="Times New Roman" w:cstheme="minorHAnsi"/>
                <w:sz w:val="22"/>
                <w:szCs w:val="22"/>
                <w:lang w:eastAsia="en-GB"/>
              </w:rPr>
              <w:t>].</w:t>
            </w:r>
          </w:p>
        </w:tc>
        <w:tc>
          <w:tcPr>
            <w:tcW w:w="2239" w:type="dxa"/>
            <w:shd w:val="clear" w:color="auto" w:fill="FFFFFF"/>
          </w:tcPr>
          <w:p w14:paraId="2B66CE4A" w14:textId="378F772D" w:rsidR="00D33E76" w:rsidRPr="00D33E76" w:rsidRDefault="00D33E76" w:rsidP="00D33E76">
            <w:pPr>
              <w:rPr>
                <w:rFonts w:eastAsia="Times New Roman" w:cstheme="minorHAnsi"/>
                <w:color w:val="000000"/>
                <w:sz w:val="22"/>
                <w:szCs w:val="22"/>
                <w:lang w:eastAsia="en-GB"/>
              </w:rPr>
            </w:pPr>
            <w:r w:rsidRPr="00D33E76">
              <w:rPr>
                <w:rFonts w:eastAsia="Times New Roman" w:cstheme="minorHAnsi"/>
                <w:sz w:val="22"/>
                <w:szCs w:val="22"/>
                <w:lang w:eastAsia="en-GB"/>
              </w:rPr>
              <w:lastRenderedPageBreak/>
              <w:t xml:space="preserve">Evaluated whether the lower corpus callosum fractional anisotropy, volume, and cross-sectional area significantly correlate with higher severity score in patients with </w:t>
            </w:r>
            <w:r w:rsidR="00690B26">
              <w:rPr>
                <w:rFonts w:eastAsia="Times New Roman" w:cstheme="minorHAnsi"/>
                <w:sz w:val="22"/>
                <w:szCs w:val="22"/>
                <w:lang w:eastAsia="en-GB"/>
              </w:rPr>
              <w:t>NPC</w:t>
            </w:r>
            <w:r w:rsidRPr="00D33E76">
              <w:rPr>
                <w:rFonts w:eastAsia="Times New Roman" w:cstheme="minorHAnsi"/>
                <w:sz w:val="22"/>
                <w:szCs w:val="22"/>
                <w:lang w:eastAsia="en-GB"/>
              </w:rPr>
              <w:t xml:space="preserve"> </w:t>
            </w:r>
            <w:r w:rsidR="00AA2864">
              <w:rPr>
                <w:rFonts w:eastAsia="Times New Roman" w:cstheme="minorHAnsi"/>
                <w:sz w:val="22"/>
                <w:szCs w:val="22"/>
                <w:lang w:eastAsia="en-GB"/>
              </w:rPr>
              <w:t>[</w:t>
            </w:r>
            <w:r w:rsidR="005F67F7">
              <w:rPr>
                <w:rFonts w:eastAsia="Times New Roman" w:cstheme="minorHAnsi"/>
                <w:sz w:val="22"/>
                <w:szCs w:val="22"/>
                <w:lang w:eastAsia="en-GB"/>
              </w:rPr>
              <w:t>30</w:t>
            </w:r>
            <w:r w:rsidR="00AA2864">
              <w:rPr>
                <w:rFonts w:eastAsia="Times New Roman" w:cstheme="minorHAnsi"/>
                <w:sz w:val="22"/>
                <w:szCs w:val="22"/>
                <w:lang w:eastAsia="en-GB"/>
              </w:rPr>
              <w:t>]</w:t>
            </w:r>
            <w:r w:rsidRPr="00D33E76">
              <w:rPr>
                <w:rFonts w:eastAsia="Times New Roman" w:cstheme="minorHAnsi"/>
                <w:color w:val="000000"/>
                <w:sz w:val="22"/>
                <w:szCs w:val="22"/>
                <w:lang w:eastAsia="en-GB"/>
              </w:rPr>
              <w:t>.</w:t>
            </w:r>
          </w:p>
          <w:p w14:paraId="2204AF59" w14:textId="77777777" w:rsidR="00D33E76" w:rsidRPr="00D33E76" w:rsidRDefault="00D33E76" w:rsidP="00D33E76">
            <w:pPr>
              <w:rPr>
                <w:rFonts w:eastAsia="Times New Roman" w:cstheme="minorHAnsi"/>
                <w:sz w:val="22"/>
                <w:szCs w:val="22"/>
                <w:lang w:eastAsia="en-GB"/>
              </w:rPr>
            </w:pPr>
          </w:p>
          <w:p w14:paraId="28C7A13B" w14:textId="15DBCEFE"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Used to systematically describe the neurocognitive phenotype of children and adolescents with </w:t>
            </w:r>
            <w:r w:rsidR="00690B26">
              <w:rPr>
                <w:rFonts w:eastAsia="Times New Roman" w:cstheme="minorHAnsi"/>
                <w:sz w:val="22"/>
                <w:szCs w:val="22"/>
                <w:lang w:eastAsia="en-GB"/>
              </w:rPr>
              <w:t>NPC</w:t>
            </w:r>
            <w:r w:rsidRPr="00D33E76">
              <w:rPr>
                <w:rFonts w:eastAsia="Times New Roman" w:cstheme="minorHAnsi"/>
                <w:sz w:val="22"/>
                <w:szCs w:val="22"/>
                <w:lang w:eastAsia="en-GB"/>
              </w:rPr>
              <w:t xml:space="preserve">1, identifying heterogeneity and decline, aiding in understanding the natural history of the disease to plan treatment studies </w:t>
            </w:r>
            <w:r w:rsidR="00AA2864">
              <w:rPr>
                <w:rFonts w:eastAsia="Times New Roman" w:cstheme="minorHAnsi"/>
                <w:sz w:val="22"/>
                <w:szCs w:val="22"/>
                <w:lang w:eastAsia="en-GB"/>
              </w:rPr>
              <w:t>[</w:t>
            </w:r>
            <w:r w:rsidR="006407D7">
              <w:rPr>
                <w:rFonts w:eastAsia="Times New Roman" w:cstheme="minorHAnsi"/>
                <w:sz w:val="22"/>
                <w:szCs w:val="22"/>
                <w:lang w:eastAsia="en-GB"/>
              </w:rPr>
              <w:t>3</w:t>
            </w:r>
            <w:r w:rsidR="005F67F7">
              <w:rPr>
                <w:rFonts w:eastAsia="Times New Roman" w:cstheme="minorHAnsi"/>
                <w:sz w:val="22"/>
                <w:szCs w:val="22"/>
                <w:lang w:eastAsia="en-GB"/>
              </w:rPr>
              <w:t>1</w:t>
            </w:r>
            <w:r w:rsidR="00AA2864">
              <w:rPr>
                <w:rFonts w:eastAsia="Times New Roman" w:cstheme="minorHAnsi"/>
                <w:sz w:val="22"/>
                <w:szCs w:val="22"/>
                <w:lang w:eastAsia="en-GB"/>
              </w:rPr>
              <w:t>]</w:t>
            </w:r>
            <w:r w:rsidRPr="00D33E76">
              <w:rPr>
                <w:rFonts w:eastAsia="Times New Roman" w:cstheme="minorHAnsi"/>
                <w:color w:val="000000"/>
                <w:sz w:val="22"/>
                <w:szCs w:val="22"/>
                <w:lang w:eastAsia="en-GB"/>
              </w:rPr>
              <w:t>.</w:t>
            </w:r>
          </w:p>
          <w:p w14:paraId="0D811B3F" w14:textId="77777777" w:rsidR="00D33E76" w:rsidRPr="00D33E76" w:rsidRDefault="00D33E76" w:rsidP="00D33E76">
            <w:pPr>
              <w:rPr>
                <w:rFonts w:eastAsia="Times New Roman" w:cstheme="minorHAnsi"/>
                <w:sz w:val="22"/>
                <w:szCs w:val="22"/>
                <w:lang w:eastAsia="en-GB"/>
              </w:rPr>
            </w:pPr>
          </w:p>
          <w:p w14:paraId="2CFEE5F4" w14:textId="77777777" w:rsidR="00D33E76" w:rsidRPr="00D33E76" w:rsidRDefault="00D33E76" w:rsidP="00D33E76">
            <w:pPr>
              <w:rPr>
                <w:rFonts w:eastAsia="Times New Roman" w:cstheme="minorHAnsi"/>
                <w:sz w:val="22"/>
                <w:szCs w:val="22"/>
                <w:lang w:eastAsia="en-GB"/>
              </w:rPr>
            </w:pPr>
          </w:p>
        </w:tc>
      </w:tr>
      <w:tr w:rsidR="00D33E76" w:rsidRPr="00D33E76" w14:paraId="2EDA931B" w14:textId="77777777" w:rsidTr="007B7FFD">
        <w:trPr>
          <w:trHeight w:val="841"/>
        </w:trPr>
        <w:tc>
          <w:tcPr>
            <w:tcW w:w="1423" w:type="dxa"/>
            <w:shd w:val="clear" w:color="auto" w:fill="FFF2CC"/>
          </w:tcPr>
          <w:p w14:paraId="2BD43F77" w14:textId="63F2F676" w:rsidR="00D33E76" w:rsidRPr="00D33E76" w:rsidRDefault="00690B26" w:rsidP="00D33E76">
            <w:pPr>
              <w:jc w:val="center"/>
              <w:rPr>
                <w:rFonts w:eastAsia="Times New Roman" w:cstheme="minorHAnsi"/>
                <w:b/>
                <w:bCs/>
                <w:sz w:val="22"/>
                <w:szCs w:val="22"/>
                <w:lang w:val="da-DK" w:eastAsia="en-GB"/>
              </w:rPr>
            </w:pPr>
            <w:r>
              <w:rPr>
                <w:rFonts w:eastAsia="Times New Roman" w:cstheme="minorHAnsi"/>
                <w:b/>
                <w:bCs/>
                <w:sz w:val="22"/>
                <w:szCs w:val="22"/>
                <w:lang w:val="da-DK" w:eastAsia="en-GB"/>
              </w:rPr>
              <w:t>NPC</w:t>
            </w:r>
            <w:r w:rsidR="00D33E76" w:rsidRPr="00D33E76">
              <w:rPr>
                <w:rFonts w:eastAsia="Times New Roman" w:cstheme="minorHAnsi"/>
                <w:b/>
                <w:bCs/>
                <w:sz w:val="22"/>
                <w:szCs w:val="22"/>
                <w:lang w:val="da-DK" w:eastAsia="en-GB"/>
              </w:rPr>
              <w:t>-cdb Scale</w:t>
            </w:r>
            <w:r w:rsidR="00D33E76" w:rsidRPr="00D33E76">
              <w:rPr>
                <w:rFonts w:eastAsia="Times New Roman" w:cstheme="minorHAnsi"/>
                <w:b/>
                <w:bCs/>
                <w:sz w:val="22"/>
                <w:szCs w:val="22"/>
                <w:vertAlign w:val="superscript"/>
                <w:lang w:val="da-DK" w:eastAsia="en-GB"/>
              </w:rPr>
              <w:t xml:space="preserve"> </w:t>
            </w:r>
            <w:r w:rsidR="005D1EED" w:rsidRPr="005D1EED">
              <w:rPr>
                <w:rFonts w:eastAsia="Times New Roman" w:cstheme="minorHAnsi"/>
                <w:sz w:val="22"/>
                <w:szCs w:val="22"/>
                <w:lang w:val="da-DK" w:eastAsia="en-GB"/>
              </w:rPr>
              <w:t>[20]</w:t>
            </w:r>
          </w:p>
        </w:tc>
        <w:tc>
          <w:tcPr>
            <w:tcW w:w="2835" w:type="dxa"/>
            <w:shd w:val="clear" w:color="auto" w:fill="FFF2CC"/>
          </w:tcPr>
          <w:p w14:paraId="08939020" w14:textId="2A954FD1"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Unlike previous scales, the </w:t>
            </w:r>
            <w:r w:rsidR="00690B26">
              <w:rPr>
                <w:rFonts w:eastAsia="Times New Roman" w:cstheme="minorHAnsi"/>
                <w:sz w:val="22"/>
                <w:szCs w:val="22"/>
                <w:lang w:eastAsia="en-GB"/>
              </w:rPr>
              <w:t>NPC</w:t>
            </w:r>
            <w:r w:rsidRPr="00D33E76">
              <w:rPr>
                <w:rFonts w:eastAsia="Times New Roman" w:cstheme="minorHAnsi"/>
                <w:sz w:val="22"/>
                <w:szCs w:val="22"/>
                <w:lang w:eastAsia="en-GB"/>
              </w:rPr>
              <w:t>-</w:t>
            </w:r>
            <w:proofErr w:type="spellStart"/>
            <w:r w:rsidRPr="00D33E76">
              <w:rPr>
                <w:rFonts w:eastAsia="Times New Roman" w:cstheme="minorHAnsi"/>
                <w:sz w:val="22"/>
                <w:szCs w:val="22"/>
                <w:lang w:eastAsia="en-GB"/>
              </w:rPr>
              <w:t>cdb</w:t>
            </w:r>
            <w:proofErr w:type="spellEnd"/>
            <w:r w:rsidRPr="00D33E76">
              <w:rPr>
                <w:rFonts w:eastAsia="Times New Roman" w:cstheme="minorHAnsi"/>
                <w:sz w:val="22"/>
                <w:szCs w:val="22"/>
                <w:lang w:eastAsia="en-GB"/>
              </w:rPr>
              <w:t xml:space="preserve"> scale represents the sum of all past and current symptoms present in a patient at any given time, with each symptom contributing a severity-weighted summand. </w:t>
            </w:r>
          </w:p>
          <w:p w14:paraId="200CD193"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 </w:t>
            </w:r>
          </w:p>
        </w:tc>
        <w:tc>
          <w:tcPr>
            <w:tcW w:w="2238" w:type="dxa"/>
            <w:shd w:val="clear" w:color="auto" w:fill="FFF2CC"/>
          </w:tcPr>
          <w:p w14:paraId="26D0C5DA" w14:textId="2154575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The authors note that the scale’s ease of use should prove useful in clinical settings. It could also complement the widely used, but less comprehensive, scales that only poorly reflect the heterogeneous clinical picture of </w:t>
            </w:r>
            <w:r w:rsidR="00690B26">
              <w:rPr>
                <w:rFonts w:eastAsia="Times New Roman" w:cstheme="minorHAnsi"/>
                <w:sz w:val="22"/>
                <w:szCs w:val="22"/>
                <w:lang w:eastAsia="en-GB"/>
              </w:rPr>
              <w:t>NPC</w:t>
            </w:r>
            <w:r w:rsidRPr="00D33E76">
              <w:rPr>
                <w:rFonts w:eastAsia="Times New Roman" w:cstheme="minorHAnsi"/>
                <w:sz w:val="22"/>
                <w:szCs w:val="22"/>
                <w:lang w:eastAsia="en-GB"/>
              </w:rPr>
              <w:t>.</w:t>
            </w:r>
          </w:p>
        </w:tc>
        <w:tc>
          <w:tcPr>
            <w:tcW w:w="2239" w:type="dxa"/>
            <w:shd w:val="clear" w:color="auto" w:fill="FFF2CC"/>
          </w:tcPr>
          <w:p w14:paraId="324300AE"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This is used in the INPDR registry for registering NPC symptoms at baseline and how they evolve over time.</w:t>
            </w:r>
          </w:p>
          <w:p w14:paraId="4F7DEDCC" w14:textId="77777777" w:rsidR="00D33E76" w:rsidRPr="00D33E76" w:rsidRDefault="00D33E76" w:rsidP="00D33E76">
            <w:pPr>
              <w:rPr>
                <w:rFonts w:eastAsia="Times New Roman" w:cstheme="minorHAnsi"/>
                <w:sz w:val="22"/>
                <w:szCs w:val="22"/>
                <w:lang w:eastAsia="en-GB"/>
              </w:rPr>
            </w:pPr>
          </w:p>
          <w:p w14:paraId="2D189C1A" w14:textId="77777777" w:rsidR="00D33E76" w:rsidRPr="00D33E76" w:rsidRDefault="00D33E76" w:rsidP="00D33E76">
            <w:pPr>
              <w:jc w:val="center"/>
              <w:rPr>
                <w:rFonts w:eastAsia="Times New Roman" w:cstheme="minorHAnsi"/>
                <w:sz w:val="22"/>
                <w:szCs w:val="22"/>
                <w:lang w:eastAsia="en-GB"/>
              </w:rPr>
            </w:pPr>
          </w:p>
        </w:tc>
        <w:tc>
          <w:tcPr>
            <w:tcW w:w="2238" w:type="dxa"/>
            <w:shd w:val="clear" w:color="auto" w:fill="FFF2CC"/>
          </w:tcPr>
          <w:p w14:paraId="242967FD"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No information available.</w:t>
            </w:r>
          </w:p>
        </w:tc>
        <w:tc>
          <w:tcPr>
            <w:tcW w:w="2239" w:type="dxa"/>
            <w:shd w:val="clear" w:color="auto" w:fill="FFF2CC"/>
          </w:tcPr>
          <w:p w14:paraId="035AEA14" w14:textId="2DC4E14E" w:rsidR="006C7554" w:rsidRPr="0033711F" w:rsidRDefault="006C7554" w:rsidP="006C7554">
            <w:pPr>
              <w:rPr>
                <w:rFonts w:eastAsia="Times New Roman" w:cstheme="minorHAnsi"/>
                <w:i/>
                <w:iCs/>
                <w:sz w:val="22"/>
                <w:szCs w:val="22"/>
                <w:lang w:eastAsia="en-GB"/>
              </w:rPr>
            </w:pPr>
            <w:r>
              <w:rPr>
                <w:rFonts w:eastAsia="Times New Roman" w:cstheme="minorHAnsi"/>
                <w:sz w:val="22"/>
                <w:szCs w:val="22"/>
                <w:lang w:eastAsia="en-GB"/>
              </w:rPr>
              <w:t xml:space="preserve">Primary outcomes in the study: </w:t>
            </w:r>
            <w:proofErr w:type="spellStart"/>
            <w:r w:rsidRPr="0033711F">
              <w:rPr>
                <w:rFonts w:eastAsia="Times New Roman" w:cstheme="minorHAnsi"/>
                <w:i/>
                <w:iCs/>
                <w:sz w:val="22"/>
                <w:szCs w:val="22"/>
                <w:lang w:eastAsia="en-GB"/>
              </w:rPr>
              <w:t>Arimoclomol</w:t>
            </w:r>
            <w:proofErr w:type="spellEnd"/>
            <w:r w:rsidRPr="0033711F">
              <w:rPr>
                <w:rFonts w:eastAsia="Times New Roman" w:cstheme="minorHAnsi"/>
                <w:i/>
                <w:iCs/>
                <w:sz w:val="22"/>
                <w:szCs w:val="22"/>
                <w:lang w:eastAsia="en-GB"/>
              </w:rPr>
              <w:t xml:space="preserve"> Prospective Study in Patients Diagnosed With Niemann Pick Disease Type C</w:t>
            </w:r>
            <w:r w:rsidR="00A6417B">
              <w:rPr>
                <w:rFonts w:eastAsia="Times New Roman" w:cstheme="minorHAnsi"/>
                <w:sz w:val="22"/>
                <w:szCs w:val="22"/>
                <w:lang w:eastAsia="en-GB"/>
              </w:rPr>
              <w:t xml:space="preserve"> [28].</w:t>
            </w:r>
          </w:p>
          <w:p w14:paraId="725A0ABD" w14:textId="77777777" w:rsidR="006C7554" w:rsidRDefault="006C7554" w:rsidP="00D33E76">
            <w:pPr>
              <w:rPr>
                <w:rFonts w:eastAsia="Times New Roman" w:cstheme="minorHAnsi"/>
                <w:sz w:val="22"/>
                <w:szCs w:val="22"/>
                <w:lang w:eastAsia="en-GB"/>
              </w:rPr>
            </w:pPr>
          </w:p>
          <w:p w14:paraId="638726E1" w14:textId="4990427C" w:rsidR="00D33E76" w:rsidRPr="00D33E76" w:rsidRDefault="0033711F" w:rsidP="00D33E76">
            <w:pPr>
              <w:rPr>
                <w:rFonts w:eastAsia="Times New Roman" w:cstheme="minorHAnsi"/>
                <w:sz w:val="22"/>
                <w:szCs w:val="22"/>
                <w:lang w:eastAsia="en-GB"/>
              </w:rPr>
            </w:pPr>
            <w:r>
              <w:rPr>
                <w:rFonts w:eastAsia="Times New Roman" w:cstheme="minorHAnsi"/>
                <w:sz w:val="22"/>
                <w:szCs w:val="22"/>
                <w:lang w:eastAsia="en-GB"/>
              </w:rPr>
              <w:t>P</w:t>
            </w:r>
            <w:r w:rsidR="006C2FB0">
              <w:rPr>
                <w:rFonts w:eastAsia="Times New Roman" w:cstheme="minorHAnsi"/>
                <w:sz w:val="22"/>
                <w:szCs w:val="22"/>
                <w:lang w:eastAsia="en-GB"/>
              </w:rPr>
              <w:t xml:space="preserve">rimary objectives in the study: </w:t>
            </w:r>
            <w:r w:rsidR="006C2FB0" w:rsidRPr="006C2FB0">
              <w:rPr>
                <w:rFonts w:eastAsia="Times New Roman" w:cstheme="minorHAnsi"/>
                <w:i/>
                <w:iCs/>
                <w:sz w:val="22"/>
                <w:szCs w:val="22"/>
                <w:lang w:eastAsia="en-GB"/>
              </w:rPr>
              <w:t xml:space="preserve">Clinical disease progression and biomarkers in </w:t>
            </w:r>
            <w:r w:rsidR="006C2FB0" w:rsidRPr="006C2FB0">
              <w:rPr>
                <w:rFonts w:eastAsia="Times New Roman" w:cstheme="minorHAnsi"/>
                <w:i/>
                <w:iCs/>
                <w:sz w:val="22"/>
                <w:szCs w:val="22"/>
                <w:lang w:eastAsia="en-GB"/>
              </w:rPr>
              <w:lastRenderedPageBreak/>
              <w:t>Niemann–Pick disease type C: a prospective cohort study</w:t>
            </w:r>
            <w:r w:rsidR="006C2FB0">
              <w:rPr>
                <w:rFonts w:eastAsia="Times New Roman" w:cstheme="minorHAnsi"/>
                <w:sz w:val="22"/>
                <w:szCs w:val="22"/>
                <w:lang w:eastAsia="en-GB"/>
              </w:rPr>
              <w:t xml:space="preserve"> </w:t>
            </w:r>
            <w:r w:rsidR="006407D7">
              <w:rPr>
                <w:rFonts w:eastAsia="Times New Roman" w:cstheme="minorHAnsi"/>
                <w:sz w:val="22"/>
                <w:szCs w:val="22"/>
                <w:lang w:eastAsia="en-GB"/>
              </w:rPr>
              <w:t>[2</w:t>
            </w:r>
            <w:r w:rsidR="00A6417B">
              <w:rPr>
                <w:rFonts w:eastAsia="Times New Roman" w:cstheme="minorHAnsi"/>
                <w:sz w:val="22"/>
                <w:szCs w:val="22"/>
                <w:lang w:eastAsia="en-GB"/>
              </w:rPr>
              <w:t>9</w:t>
            </w:r>
            <w:r w:rsidR="006C2FB0">
              <w:rPr>
                <w:rFonts w:eastAsia="Times New Roman" w:cstheme="minorHAnsi"/>
                <w:sz w:val="22"/>
                <w:szCs w:val="22"/>
                <w:lang w:eastAsia="en-GB"/>
              </w:rPr>
              <w:t>].</w:t>
            </w:r>
          </w:p>
        </w:tc>
        <w:tc>
          <w:tcPr>
            <w:tcW w:w="2239" w:type="dxa"/>
            <w:shd w:val="clear" w:color="auto" w:fill="FFF2CC"/>
          </w:tcPr>
          <w:p w14:paraId="52EB7B00" w14:textId="77777777" w:rsidR="00D33E76" w:rsidRPr="00D33E76" w:rsidRDefault="00D33E76" w:rsidP="00D33E76">
            <w:pPr>
              <w:rPr>
                <w:rFonts w:eastAsia="Times New Roman" w:cstheme="minorHAnsi"/>
                <w:sz w:val="22"/>
                <w:szCs w:val="22"/>
                <w:lang w:eastAsia="en-GB"/>
              </w:rPr>
            </w:pPr>
          </w:p>
        </w:tc>
      </w:tr>
      <w:tr w:rsidR="00D33E76" w:rsidRPr="00D33E76" w14:paraId="264F9018" w14:textId="77777777" w:rsidTr="00D33E76">
        <w:trPr>
          <w:trHeight w:val="2598"/>
        </w:trPr>
        <w:tc>
          <w:tcPr>
            <w:tcW w:w="1423" w:type="dxa"/>
            <w:shd w:val="clear" w:color="auto" w:fill="FFFFFF"/>
          </w:tcPr>
          <w:p w14:paraId="124A4010" w14:textId="77777777" w:rsidR="00D33E76" w:rsidRPr="00D33E76" w:rsidRDefault="00D33E76" w:rsidP="00D33E76">
            <w:pPr>
              <w:jc w:val="center"/>
              <w:rPr>
                <w:rFonts w:eastAsia="Times New Roman" w:cstheme="minorHAnsi"/>
                <w:b/>
                <w:bCs/>
                <w:sz w:val="22"/>
                <w:szCs w:val="22"/>
                <w:lang w:eastAsia="en-GB"/>
              </w:rPr>
            </w:pPr>
            <w:r w:rsidRPr="00D33E76">
              <w:rPr>
                <w:rFonts w:eastAsia="Times New Roman" w:cstheme="minorHAnsi"/>
                <w:b/>
                <w:bCs/>
                <w:sz w:val="22"/>
                <w:szCs w:val="22"/>
                <w:lang w:eastAsia="en-GB"/>
              </w:rPr>
              <w:t xml:space="preserve">ASIS </w:t>
            </w:r>
          </w:p>
          <w:p w14:paraId="458863B4" w14:textId="7F4A9DD8" w:rsidR="00D33E76" w:rsidRPr="00D33E76" w:rsidRDefault="005D1EED" w:rsidP="00D33E76">
            <w:pPr>
              <w:jc w:val="center"/>
              <w:rPr>
                <w:rFonts w:eastAsia="Times New Roman" w:cstheme="minorHAnsi"/>
                <w:b/>
                <w:bCs/>
                <w:sz w:val="22"/>
                <w:szCs w:val="22"/>
                <w:lang w:val="da-DK" w:eastAsia="en-GB"/>
              </w:rPr>
            </w:pPr>
            <w:r w:rsidRPr="005D1EED">
              <w:rPr>
                <w:rFonts w:eastAsia="Times New Roman" w:cstheme="minorHAnsi"/>
                <w:sz w:val="22"/>
                <w:szCs w:val="22"/>
                <w:lang w:eastAsia="en-GB"/>
              </w:rPr>
              <w:t>[16]</w:t>
            </w:r>
          </w:p>
        </w:tc>
        <w:tc>
          <w:tcPr>
            <w:tcW w:w="2835" w:type="dxa"/>
            <w:shd w:val="clear" w:color="auto" w:fill="FFFFFF"/>
          </w:tcPr>
          <w:p w14:paraId="1C65CB95" w14:textId="09356FD2" w:rsidR="00D33E76" w:rsidRPr="00AA2864"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The Annual Severity Increment Score (ASIS) measures rate of disease progression </w:t>
            </w:r>
            <w:r w:rsidRPr="00AA2864">
              <w:rPr>
                <w:rFonts w:eastAsia="Times New Roman" w:cstheme="minorHAnsi"/>
                <w:sz w:val="22"/>
                <w:szCs w:val="22"/>
                <w:lang w:eastAsia="en-GB"/>
              </w:rPr>
              <w:t xml:space="preserve">using </w:t>
            </w:r>
            <w:proofErr w:type="spellStart"/>
            <w:r w:rsidRPr="00AA2864">
              <w:rPr>
                <w:rFonts w:eastAsia="Times New Roman" w:cstheme="minorHAnsi"/>
                <w:sz w:val="22"/>
                <w:szCs w:val="22"/>
                <w:lang w:eastAsia="en-GB"/>
              </w:rPr>
              <w:t>Yanjanin</w:t>
            </w:r>
            <w:proofErr w:type="spellEnd"/>
            <w:r w:rsidRPr="00AA2864">
              <w:rPr>
                <w:rFonts w:eastAsia="Times New Roman" w:cstheme="minorHAnsi"/>
                <w:sz w:val="22"/>
                <w:szCs w:val="22"/>
                <w:lang w:eastAsia="en-GB"/>
              </w:rPr>
              <w:t xml:space="preserve"> et al.’s</w:t>
            </w:r>
            <w:r w:rsidRPr="00AA2864">
              <w:rPr>
                <w:rFonts w:eastAsia="Times New Roman" w:cstheme="minorHAnsi"/>
                <w:b/>
                <w:bCs/>
                <w:sz w:val="22"/>
                <w:szCs w:val="22"/>
                <w:lang w:eastAsia="en-GB"/>
              </w:rPr>
              <w:t xml:space="preserve"> </w:t>
            </w:r>
            <w:r w:rsidRPr="00AA2864">
              <w:rPr>
                <w:rFonts w:eastAsia="Times New Roman" w:cstheme="minorHAnsi"/>
                <w:sz w:val="22"/>
                <w:szCs w:val="22"/>
                <w:lang w:eastAsia="en-GB"/>
              </w:rPr>
              <w:t>(2</w:t>
            </w:r>
            <w:r w:rsidR="00AA2864" w:rsidRPr="00AA2864">
              <w:rPr>
                <w:rFonts w:eastAsia="Times New Roman" w:cstheme="minorHAnsi"/>
                <w:sz w:val="22"/>
                <w:szCs w:val="22"/>
                <w:lang w:eastAsia="en-GB"/>
              </w:rPr>
              <w:t>009</w:t>
            </w:r>
            <w:r w:rsidRPr="00AA2864">
              <w:rPr>
                <w:rFonts w:eastAsia="Times New Roman" w:cstheme="minorHAnsi"/>
                <w:sz w:val="22"/>
                <w:szCs w:val="22"/>
                <w:lang w:eastAsia="en-GB"/>
              </w:rPr>
              <w:t>) scale</w:t>
            </w:r>
            <w:r w:rsidR="00AA2864" w:rsidRPr="00AA2864">
              <w:rPr>
                <w:rFonts w:eastAsia="Times New Roman" w:cstheme="minorHAnsi"/>
                <w:sz w:val="22"/>
                <w:szCs w:val="22"/>
                <w:lang w:eastAsia="en-GB"/>
              </w:rPr>
              <w:t xml:space="preserve"> [18].</w:t>
            </w:r>
          </w:p>
          <w:p w14:paraId="083FC8C8" w14:textId="77777777" w:rsidR="00D33E76" w:rsidRPr="00D33E76" w:rsidRDefault="00D33E76" w:rsidP="00D33E76">
            <w:pPr>
              <w:rPr>
                <w:rFonts w:eastAsia="Times New Roman" w:cstheme="minorHAnsi"/>
                <w:color w:val="A6A6A6"/>
                <w:sz w:val="22"/>
                <w:szCs w:val="22"/>
                <w:lang w:eastAsia="en-GB"/>
              </w:rPr>
            </w:pPr>
          </w:p>
          <w:p w14:paraId="1826EA68" w14:textId="52285AB6" w:rsidR="00D33E76" w:rsidRPr="00D33E76" w:rsidRDefault="00D33E76" w:rsidP="007B7FFD">
            <w:pPr>
              <w:rPr>
                <w:rFonts w:eastAsia="Times New Roman" w:cstheme="minorHAnsi"/>
                <w:sz w:val="22"/>
                <w:szCs w:val="22"/>
                <w:lang w:eastAsia="en-GB"/>
              </w:rPr>
            </w:pPr>
            <w:r w:rsidRPr="00D33E76">
              <w:rPr>
                <w:rFonts w:eastAsia="Times New Roman" w:cstheme="minorHAnsi"/>
                <w:sz w:val="22"/>
                <w:szCs w:val="22"/>
                <w:lang w:eastAsia="en-GB"/>
              </w:rPr>
              <w:t>The only data required to calculate ASIS is the total severity score and the precise age of the patient when the score was ascertained</w:t>
            </w:r>
          </w:p>
        </w:tc>
        <w:tc>
          <w:tcPr>
            <w:tcW w:w="2238" w:type="dxa"/>
            <w:shd w:val="clear" w:color="auto" w:fill="FFFFFF"/>
          </w:tcPr>
          <w:p w14:paraId="27FB4A82"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Authors denoted that their annual severity increment score (ASIS), that measures rate of disease progression, could easily be used in clinical practice.</w:t>
            </w:r>
          </w:p>
        </w:tc>
        <w:tc>
          <w:tcPr>
            <w:tcW w:w="2239" w:type="dxa"/>
            <w:shd w:val="clear" w:color="auto" w:fill="FFFFFF"/>
          </w:tcPr>
          <w:p w14:paraId="6E6635F0"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Anticipated contribution to pre-trial longitudinal data for individual patients held by patient registries (International Niemann-Pick Disease Alliance).</w:t>
            </w:r>
          </w:p>
        </w:tc>
        <w:tc>
          <w:tcPr>
            <w:tcW w:w="2238" w:type="dxa"/>
            <w:shd w:val="clear" w:color="auto" w:fill="FFFFFF"/>
          </w:tcPr>
          <w:p w14:paraId="62303AC9"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Authors note that ASIS provides an evidence-based stratification/ recruitment tool that is easy to calculate and apply in any clinical setting</w:t>
            </w:r>
          </w:p>
          <w:p w14:paraId="6F4C21EF" w14:textId="77777777" w:rsidR="00D33E76" w:rsidRPr="00D33E76" w:rsidRDefault="00D33E76" w:rsidP="00D33E76">
            <w:pPr>
              <w:rPr>
                <w:rFonts w:eastAsia="Times New Roman" w:cstheme="minorHAnsi"/>
                <w:sz w:val="22"/>
                <w:szCs w:val="22"/>
                <w:lang w:eastAsia="en-GB"/>
              </w:rPr>
            </w:pPr>
          </w:p>
        </w:tc>
        <w:tc>
          <w:tcPr>
            <w:tcW w:w="2239" w:type="dxa"/>
            <w:shd w:val="clear" w:color="auto" w:fill="FFFFFF"/>
          </w:tcPr>
          <w:p w14:paraId="56BEC3C3" w14:textId="3E5358DA"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Secondary outcomes in the study: </w:t>
            </w:r>
            <w:r w:rsidRPr="00D33E76">
              <w:rPr>
                <w:rFonts w:eastAsia="Times New Roman" w:cstheme="minorHAnsi"/>
                <w:i/>
                <w:iCs/>
                <w:sz w:val="22"/>
                <w:szCs w:val="22"/>
                <w:lang w:eastAsia="en-GB"/>
              </w:rPr>
              <w:t>Application of N-</w:t>
            </w:r>
            <w:proofErr w:type="spellStart"/>
            <w:r w:rsidRPr="00D33E76">
              <w:rPr>
                <w:rFonts w:eastAsia="Times New Roman" w:cstheme="minorHAnsi"/>
                <w:i/>
                <w:iCs/>
                <w:sz w:val="22"/>
                <w:szCs w:val="22"/>
                <w:lang w:eastAsia="en-GB"/>
              </w:rPr>
              <w:t>palmitoyl</w:t>
            </w:r>
            <w:proofErr w:type="spellEnd"/>
            <w:r w:rsidRPr="00D33E76">
              <w:rPr>
                <w:rFonts w:eastAsia="Times New Roman" w:cstheme="minorHAnsi"/>
                <w:i/>
                <w:iCs/>
                <w:sz w:val="22"/>
                <w:szCs w:val="22"/>
                <w:lang w:eastAsia="en-GB"/>
              </w:rPr>
              <w:t>-O-</w:t>
            </w:r>
            <w:proofErr w:type="spellStart"/>
            <w:r w:rsidRPr="00D33E76">
              <w:rPr>
                <w:rFonts w:eastAsia="Times New Roman" w:cstheme="minorHAnsi"/>
                <w:i/>
                <w:iCs/>
                <w:sz w:val="22"/>
                <w:szCs w:val="22"/>
                <w:lang w:eastAsia="en-GB"/>
              </w:rPr>
              <w:t>phosphocholineserine</w:t>
            </w:r>
            <w:proofErr w:type="spellEnd"/>
            <w:r w:rsidRPr="00D33E76">
              <w:rPr>
                <w:rFonts w:eastAsia="Times New Roman" w:cstheme="minorHAnsi"/>
                <w:i/>
                <w:iCs/>
                <w:sz w:val="22"/>
                <w:szCs w:val="22"/>
                <w:lang w:eastAsia="en-GB"/>
              </w:rPr>
              <w:t xml:space="preserve"> for diagnosis and assessment of response to treatment in Niemann-Pick type C </w:t>
            </w:r>
            <w:r w:rsidRPr="000C1366">
              <w:rPr>
                <w:rFonts w:eastAsia="Times New Roman" w:cstheme="minorHAnsi"/>
                <w:i/>
                <w:iCs/>
                <w:sz w:val="22"/>
                <w:szCs w:val="22"/>
                <w:lang w:eastAsia="en-GB"/>
              </w:rPr>
              <w:t>disease</w:t>
            </w:r>
            <w:r w:rsidRPr="000C1366">
              <w:rPr>
                <w:rFonts w:eastAsia="Times New Roman" w:cstheme="minorHAnsi"/>
                <w:sz w:val="22"/>
                <w:szCs w:val="22"/>
                <w:lang w:eastAsia="en-GB"/>
              </w:rPr>
              <w:t xml:space="preserve"> </w:t>
            </w:r>
            <w:r w:rsidR="000C1366" w:rsidRPr="000C1366">
              <w:rPr>
                <w:rFonts w:eastAsia="Times New Roman" w:cstheme="minorHAnsi"/>
                <w:sz w:val="22"/>
                <w:szCs w:val="22"/>
                <w:lang w:eastAsia="en-GB"/>
              </w:rPr>
              <w:t>[3</w:t>
            </w:r>
            <w:r w:rsidR="005F67F7">
              <w:rPr>
                <w:rFonts w:eastAsia="Times New Roman" w:cstheme="minorHAnsi"/>
                <w:sz w:val="22"/>
                <w:szCs w:val="22"/>
                <w:lang w:eastAsia="en-GB"/>
              </w:rPr>
              <w:t>2</w:t>
            </w:r>
            <w:r w:rsidR="000C1366" w:rsidRPr="000C1366">
              <w:rPr>
                <w:rFonts w:eastAsia="Times New Roman" w:cstheme="minorHAnsi"/>
                <w:sz w:val="22"/>
                <w:szCs w:val="22"/>
                <w:lang w:eastAsia="en-GB"/>
              </w:rPr>
              <w:t>].</w:t>
            </w:r>
          </w:p>
        </w:tc>
        <w:tc>
          <w:tcPr>
            <w:tcW w:w="2239" w:type="dxa"/>
            <w:shd w:val="clear" w:color="auto" w:fill="FFFFFF"/>
          </w:tcPr>
          <w:p w14:paraId="6F68E614"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Validated in an observational clinical study in NPC patients treated with the drug </w:t>
            </w:r>
            <w:proofErr w:type="spellStart"/>
            <w:r w:rsidRPr="00D33E76">
              <w:rPr>
                <w:rFonts w:eastAsia="Times New Roman" w:cstheme="minorHAnsi"/>
                <w:sz w:val="22"/>
                <w:szCs w:val="22"/>
                <w:lang w:eastAsia="en-GB"/>
              </w:rPr>
              <w:t>Tanganil</w:t>
            </w:r>
            <w:proofErr w:type="spellEnd"/>
            <w:r w:rsidRPr="00D33E76">
              <w:rPr>
                <w:rFonts w:eastAsia="Times New Roman" w:cstheme="minorHAnsi"/>
                <w:sz w:val="22"/>
                <w:szCs w:val="22"/>
                <w:lang w:eastAsia="en-GB"/>
              </w:rPr>
              <w:t xml:space="preserve"> (acetyl-DL-leucine).</w:t>
            </w:r>
          </w:p>
        </w:tc>
      </w:tr>
      <w:tr w:rsidR="00D33E76" w:rsidRPr="00D33E76" w14:paraId="392EB426" w14:textId="77777777" w:rsidTr="00D33E76">
        <w:tc>
          <w:tcPr>
            <w:tcW w:w="1423" w:type="dxa"/>
            <w:shd w:val="clear" w:color="auto" w:fill="FFF2CC"/>
          </w:tcPr>
          <w:p w14:paraId="5557A1E3" w14:textId="1E848547" w:rsidR="00D33E76" w:rsidRPr="00D33E76" w:rsidRDefault="00D33E76" w:rsidP="00D33E76">
            <w:pPr>
              <w:jc w:val="center"/>
              <w:rPr>
                <w:rFonts w:eastAsia="Times New Roman" w:cstheme="minorHAnsi"/>
                <w:color w:val="A6A6A6"/>
                <w:sz w:val="22"/>
                <w:szCs w:val="22"/>
                <w:lang w:eastAsia="en-GB"/>
              </w:rPr>
            </w:pPr>
            <w:r w:rsidRPr="00D33E76">
              <w:rPr>
                <w:rFonts w:eastAsia="Times New Roman" w:cstheme="minorHAnsi"/>
                <w:b/>
                <w:bCs/>
                <w:sz w:val="22"/>
                <w:szCs w:val="22"/>
                <w:lang w:eastAsia="en-GB"/>
              </w:rPr>
              <w:t xml:space="preserve">Severity rating scale of neurological manifestations and dysphagia </w:t>
            </w:r>
            <w:r w:rsidR="00034067">
              <w:rPr>
                <w:rFonts w:eastAsia="Times New Roman" w:cstheme="minorHAnsi"/>
                <w:sz w:val="22"/>
                <w:szCs w:val="22"/>
                <w:lang w:eastAsia="en-GB"/>
              </w:rPr>
              <w:t>[3</w:t>
            </w:r>
            <w:r w:rsidR="005F67F7">
              <w:rPr>
                <w:rFonts w:eastAsia="Times New Roman" w:cstheme="minorHAnsi"/>
                <w:sz w:val="22"/>
                <w:szCs w:val="22"/>
                <w:lang w:eastAsia="en-GB"/>
              </w:rPr>
              <w:t>3</w:t>
            </w:r>
            <w:r w:rsidR="00034067">
              <w:rPr>
                <w:rFonts w:eastAsia="Times New Roman" w:cstheme="minorHAnsi"/>
                <w:sz w:val="22"/>
                <w:szCs w:val="22"/>
                <w:lang w:eastAsia="en-GB"/>
              </w:rPr>
              <w:t>]</w:t>
            </w:r>
          </w:p>
          <w:p w14:paraId="1DEA7202" w14:textId="77777777" w:rsidR="00D33E76" w:rsidRPr="00D33E76" w:rsidRDefault="00D33E76" w:rsidP="00D33E76">
            <w:pPr>
              <w:jc w:val="center"/>
              <w:rPr>
                <w:rFonts w:eastAsia="Times New Roman" w:cstheme="minorHAnsi"/>
                <w:color w:val="A6A6A6"/>
                <w:sz w:val="22"/>
                <w:szCs w:val="22"/>
                <w:lang w:eastAsia="en-GB"/>
              </w:rPr>
            </w:pPr>
          </w:p>
          <w:p w14:paraId="462489D2" w14:textId="77777777" w:rsidR="00D33E76" w:rsidRPr="00D33E76" w:rsidRDefault="00D33E76" w:rsidP="00D33E76">
            <w:pPr>
              <w:rPr>
                <w:rFonts w:eastAsia="Times New Roman" w:cstheme="minorHAnsi"/>
                <w:color w:val="FF0000"/>
                <w:sz w:val="22"/>
                <w:szCs w:val="22"/>
                <w:lang w:eastAsia="en-GB"/>
              </w:rPr>
            </w:pPr>
          </w:p>
          <w:p w14:paraId="02C827FE" w14:textId="77777777" w:rsidR="00D33E76" w:rsidRPr="00D33E76" w:rsidRDefault="00D33E76" w:rsidP="00D33E76">
            <w:pPr>
              <w:rPr>
                <w:rFonts w:eastAsia="Times New Roman" w:cstheme="minorHAnsi"/>
                <w:color w:val="FF0000"/>
                <w:sz w:val="22"/>
                <w:szCs w:val="22"/>
                <w:lang w:eastAsia="en-GB"/>
              </w:rPr>
            </w:pPr>
          </w:p>
          <w:p w14:paraId="53B2E190" w14:textId="77777777" w:rsidR="00D33E76" w:rsidRPr="00D33E76" w:rsidRDefault="00D33E76" w:rsidP="00D33E76">
            <w:pPr>
              <w:rPr>
                <w:rFonts w:eastAsia="Times New Roman" w:cstheme="minorHAnsi"/>
                <w:b/>
                <w:bCs/>
                <w:sz w:val="22"/>
                <w:szCs w:val="22"/>
                <w:vertAlign w:val="superscript"/>
                <w:lang w:eastAsia="en-GB"/>
              </w:rPr>
            </w:pPr>
            <w:r w:rsidRPr="00D33E76">
              <w:rPr>
                <w:rFonts w:eastAsia="Times New Roman" w:cstheme="minorHAnsi"/>
                <w:b/>
                <w:bCs/>
                <w:color w:val="A6A6A6"/>
                <w:sz w:val="22"/>
                <w:szCs w:val="22"/>
                <w:lang w:eastAsia="en-GB"/>
              </w:rPr>
              <w:t xml:space="preserve"> </w:t>
            </w:r>
          </w:p>
        </w:tc>
        <w:tc>
          <w:tcPr>
            <w:tcW w:w="2835" w:type="dxa"/>
            <w:shd w:val="clear" w:color="auto" w:fill="FFF2CC"/>
          </w:tcPr>
          <w:p w14:paraId="10842430"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A clinical scoring scale for a series of neurological parameters. Developed to measure the treatment efficacy of </w:t>
            </w:r>
            <w:proofErr w:type="spellStart"/>
            <w:r w:rsidRPr="00D33E76">
              <w:rPr>
                <w:rFonts w:eastAsia="Times New Roman" w:cstheme="minorHAnsi"/>
                <w:sz w:val="22"/>
                <w:szCs w:val="22"/>
                <w:lang w:eastAsia="en-GB"/>
              </w:rPr>
              <w:t>miglustat</w:t>
            </w:r>
            <w:proofErr w:type="spellEnd"/>
            <w:r w:rsidRPr="00D33E76">
              <w:rPr>
                <w:rFonts w:eastAsia="Times New Roman" w:cstheme="minorHAnsi"/>
                <w:sz w:val="22"/>
                <w:szCs w:val="22"/>
                <w:lang w:eastAsia="en-GB"/>
              </w:rPr>
              <w:t>.</w:t>
            </w:r>
          </w:p>
          <w:p w14:paraId="386D0BDF" w14:textId="77777777" w:rsidR="00D33E76" w:rsidRPr="00D33E76" w:rsidRDefault="00D33E76" w:rsidP="00D33E76">
            <w:pPr>
              <w:rPr>
                <w:rFonts w:eastAsia="Times New Roman" w:cstheme="minorHAnsi"/>
                <w:sz w:val="22"/>
                <w:szCs w:val="22"/>
                <w:lang w:eastAsia="en-GB"/>
              </w:rPr>
            </w:pPr>
          </w:p>
          <w:p w14:paraId="4A6D39F6"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It measures six domains: gait abnormalities, dysmetria, dystonia, dysarthria developmental delay/cognitive impairment and dysphagia.</w:t>
            </w:r>
          </w:p>
        </w:tc>
        <w:tc>
          <w:tcPr>
            <w:tcW w:w="2238" w:type="dxa"/>
            <w:shd w:val="clear" w:color="auto" w:fill="FFF2CC"/>
          </w:tcPr>
          <w:p w14:paraId="5B5564F0"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No information available</w:t>
            </w:r>
          </w:p>
        </w:tc>
        <w:tc>
          <w:tcPr>
            <w:tcW w:w="2239" w:type="dxa"/>
            <w:shd w:val="clear" w:color="auto" w:fill="FFF2CC"/>
          </w:tcPr>
          <w:p w14:paraId="760E2B78"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No information available</w:t>
            </w:r>
          </w:p>
        </w:tc>
        <w:tc>
          <w:tcPr>
            <w:tcW w:w="2238" w:type="dxa"/>
            <w:shd w:val="clear" w:color="auto" w:fill="FFF2CC"/>
          </w:tcPr>
          <w:p w14:paraId="18A68418"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No information available</w:t>
            </w:r>
          </w:p>
        </w:tc>
        <w:tc>
          <w:tcPr>
            <w:tcW w:w="2239" w:type="dxa"/>
            <w:shd w:val="clear" w:color="auto" w:fill="FFF2CC"/>
          </w:tcPr>
          <w:p w14:paraId="47265CF8" w14:textId="5CF9C5B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Primary outcomes in the study: </w:t>
            </w:r>
            <w:r w:rsidRPr="00D33E76">
              <w:rPr>
                <w:rFonts w:eastAsia="Times New Roman" w:cstheme="minorHAnsi"/>
                <w:i/>
                <w:iCs/>
                <w:sz w:val="22"/>
                <w:szCs w:val="22"/>
                <w:lang w:eastAsia="en-GB"/>
              </w:rPr>
              <w:t xml:space="preserve">Long term follow-up to evaluate the efficacy of </w:t>
            </w:r>
            <w:proofErr w:type="spellStart"/>
            <w:r w:rsidRPr="00D33E76">
              <w:rPr>
                <w:rFonts w:eastAsia="Times New Roman" w:cstheme="minorHAnsi"/>
                <w:i/>
                <w:iCs/>
                <w:sz w:val="22"/>
                <w:szCs w:val="22"/>
                <w:lang w:eastAsia="en-GB"/>
              </w:rPr>
              <w:t>miglustat</w:t>
            </w:r>
            <w:proofErr w:type="spellEnd"/>
            <w:r w:rsidRPr="00D33E76">
              <w:rPr>
                <w:rFonts w:eastAsia="Times New Roman" w:cstheme="minorHAnsi"/>
                <w:i/>
                <w:iCs/>
                <w:sz w:val="22"/>
                <w:szCs w:val="22"/>
                <w:lang w:eastAsia="en-GB"/>
              </w:rPr>
              <w:t xml:space="preserve"> treatment in Italian patients with Niemann-Pick disease type C</w:t>
            </w:r>
            <w:r w:rsidRPr="00D33E76">
              <w:rPr>
                <w:rFonts w:eastAsia="Times New Roman" w:cstheme="minorHAnsi"/>
                <w:sz w:val="22"/>
                <w:szCs w:val="22"/>
                <w:lang w:eastAsia="en-GB"/>
              </w:rPr>
              <w:t xml:space="preserve"> </w:t>
            </w:r>
            <w:r w:rsidR="00034067">
              <w:rPr>
                <w:rFonts w:eastAsia="Times New Roman" w:cstheme="minorHAnsi"/>
                <w:sz w:val="22"/>
                <w:szCs w:val="22"/>
                <w:lang w:eastAsia="en-GB"/>
              </w:rPr>
              <w:t>[3</w:t>
            </w:r>
            <w:r w:rsidR="005F67F7">
              <w:rPr>
                <w:rFonts w:eastAsia="Times New Roman" w:cstheme="minorHAnsi"/>
                <w:sz w:val="22"/>
                <w:szCs w:val="22"/>
                <w:lang w:eastAsia="en-GB"/>
              </w:rPr>
              <w:t>3</w:t>
            </w:r>
            <w:r w:rsidR="00034067">
              <w:rPr>
                <w:rFonts w:eastAsia="Times New Roman" w:cstheme="minorHAnsi"/>
                <w:sz w:val="22"/>
                <w:szCs w:val="22"/>
                <w:lang w:eastAsia="en-GB"/>
              </w:rPr>
              <w:t>]</w:t>
            </w:r>
            <w:r w:rsidRPr="00D33E76">
              <w:rPr>
                <w:rFonts w:eastAsia="Times New Roman" w:cstheme="minorHAnsi"/>
                <w:sz w:val="22"/>
                <w:szCs w:val="22"/>
                <w:lang w:eastAsia="en-GB"/>
              </w:rPr>
              <w:t xml:space="preserve">. </w:t>
            </w:r>
          </w:p>
        </w:tc>
        <w:tc>
          <w:tcPr>
            <w:tcW w:w="2239" w:type="dxa"/>
            <w:shd w:val="clear" w:color="auto" w:fill="FFF2CC"/>
          </w:tcPr>
          <w:p w14:paraId="25C95E2D" w14:textId="77777777" w:rsidR="00D33E76" w:rsidRPr="00D33E76" w:rsidRDefault="00D33E76" w:rsidP="00D33E76">
            <w:pPr>
              <w:rPr>
                <w:rFonts w:eastAsia="Times New Roman" w:cstheme="minorHAnsi"/>
                <w:sz w:val="22"/>
                <w:szCs w:val="22"/>
                <w:lang w:eastAsia="en-GB"/>
              </w:rPr>
            </w:pPr>
          </w:p>
        </w:tc>
      </w:tr>
      <w:tr w:rsidR="00D33E76" w:rsidRPr="00D33E76" w14:paraId="55F8926C" w14:textId="77777777" w:rsidTr="00D33E76">
        <w:trPr>
          <w:trHeight w:val="65"/>
        </w:trPr>
        <w:tc>
          <w:tcPr>
            <w:tcW w:w="1423" w:type="dxa"/>
            <w:shd w:val="clear" w:color="auto" w:fill="FFFFFF"/>
          </w:tcPr>
          <w:p w14:paraId="4FC1DA70" w14:textId="7FD3988F" w:rsidR="00D33E76" w:rsidRPr="00D33E76" w:rsidRDefault="00D33E76" w:rsidP="00D33E76">
            <w:pPr>
              <w:jc w:val="center"/>
              <w:rPr>
                <w:rFonts w:eastAsia="Times New Roman" w:cstheme="minorHAnsi"/>
                <w:b/>
                <w:bCs/>
                <w:sz w:val="22"/>
                <w:szCs w:val="22"/>
                <w:lang w:eastAsia="en-GB"/>
              </w:rPr>
            </w:pPr>
            <w:r w:rsidRPr="00D33E76">
              <w:rPr>
                <w:rFonts w:eastAsia="Times New Roman" w:cstheme="minorHAnsi"/>
                <w:b/>
                <w:bCs/>
                <w:sz w:val="22"/>
                <w:szCs w:val="22"/>
                <w:lang w:eastAsia="en-GB"/>
              </w:rPr>
              <w:t xml:space="preserve">5-Domain </w:t>
            </w:r>
            <w:r w:rsidR="00784E7F">
              <w:rPr>
                <w:rFonts w:eastAsia="Times New Roman" w:cstheme="minorHAnsi"/>
                <w:b/>
                <w:bCs/>
                <w:sz w:val="22"/>
                <w:szCs w:val="22"/>
                <w:lang w:eastAsia="en-GB"/>
              </w:rPr>
              <w:t>NPCCSS</w:t>
            </w:r>
            <w:r w:rsidRPr="005D1EED">
              <w:rPr>
                <w:rFonts w:eastAsia="Times New Roman" w:cstheme="minorHAnsi"/>
                <w:b/>
                <w:bCs/>
                <w:sz w:val="22"/>
                <w:szCs w:val="22"/>
                <w:lang w:eastAsia="en-GB"/>
              </w:rPr>
              <w:t xml:space="preserve"> </w:t>
            </w:r>
            <w:r w:rsidR="005D1EED" w:rsidRPr="005D1EED">
              <w:rPr>
                <w:rFonts w:eastAsia="Times New Roman" w:cstheme="minorHAnsi"/>
                <w:sz w:val="22"/>
                <w:szCs w:val="22"/>
                <w:lang w:eastAsia="en-GB"/>
              </w:rPr>
              <w:t>[16]</w:t>
            </w:r>
          </w:p>
        </w:tc>
        <w:tc>
          <w:tcPr>
            <w:tcW w:w="2835" w:type="dxa"/>
            <w:shd w:val="clear" w:color="auto" w:fill="FFFFFF"/>
          </w:tcPr>
          <w:p w14:paraId="5AE5E336" w14:textId="16F75940"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Based on the 17-domain </w:t>
            </w:r>
            <w:r w:rsidR="00784E7F">
              <w:rPr>
                <w:rFonts w:eastAsia="Times New Roman" w:cstheme="minorHAnsi"/>
                <w:sz w:val="22"/>
                <w:szCs w:val="22"/>
                <w:lang w:eastAsia="en-GB"/>
              </w:rPr>
              <w:t>NPCCSS</w:t>
            </w:r>
            <w:r w:rsidRPr="00D33E76">
              <w:rPr>
                <w:rFonts w:eastAsia="Times New Roman" w:cstheme="minorHAnsi"/>
                <w:sz w:val="22"/>
                <w:szCs w:val="22"/>
                <w:lang w:eastAsia="en-GB"/>
              </w:rPr>
              <w:t xml:space="preserve">, the 5-domain </w:t>
            </w:r>
            <w:r w:rsidR="00784E7F">
              <w:rPr>
                <w:rFonts w:eastAsia="Times New Roman" w:cstheme="minorHAnsi"/>
                <w:sz w:val="22"/>
                <w:szCs w:val="22"/>
                <w:lang w:eastAsia="en-GB"/>
              </w:rPr>
              <w:t>NPCCSS</w:t>
            </w:r>
            <w:r w:rsidRPr="00D33E76">
              <w:rPr>
                <w:rFonts w:eastAsia="Times New Roman" w:cstheme="minorHAnsi"/>
                <w:sz w:val="22"/>
                <w:szCs w:val="22"/>
                <w:lang w:eastAsia="en-GB"/>
              </w:rPr>
              <w:t xml:space="preserve"> measures ambulation, cognition, fine motor, speech and swallowing. </w:t>
            </w:r>
          </w:p>
          <w:p w14:paraId="404A775E" w14:textId="77777777" w:rsidR="00D33E76" w:rsidRPr="00D33E76" w:rsidRDefault="00D33E76" w:rsidP="00D33E76">
            <w:pPr>
              <w:rPr>
                <w:rFonts w:eastAsia="Times New Roman" w:cstheme="minorHAnsi"/>
                <w:sz w:val="22"/>
                <w:szCs w:val="22"/>
                <w:lang w:eastAsia="en-GB"/>
              </w:rPr>
            </w:pPr>
          </w:p>
          <w:p w14:paraId="03D22872" w14:textId="66EDB132"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Five domains, selected by </w:t>
            </w:r>
            <w:r w:rsidR="00690B26">
              <w:rPr>
                <w:rFonts w:eastAsia="Times New Roman" w:cstheme="minorHAnsi"/>
                <w:sz w:val="22"/>
                <w:szCs w:val="22"/>
                <w:lang w:eastAsia="en-GB"/>
              </w:rPr>
              <w:t>NPC</w:t>
            </w:r>
            <w:r w:rsidRPr="00D33E76">
              <w:rPr>
                <w:rFonts w:eastAsia="Times New Roman" w:cstheme="minorHAnsi"/>
                <w:sz w:val="22"/>
                <w:szCs w:val="22"/>
                <w:lang w:eastAsia="en-GB"/>
              </w:rPr>
              <w:t xml:space="preserve"> individuals, their caregivers and </w:t>
            </w:r>
            <w:r w:rsidR="00690B26">
              <w:rPr>
                <w:rFonts w:eastAsia="Times New Roman" w:cstheme="minorHAnsi"/>
                <w:sz w:val="22"/>
                <w:szCs w:val="22"/>
                <w:lang w:eastAsia="en-GB"/>
              </w:rPr>
              <w:t>NPC</w:t>
            </w:r>
            <w:r w:rsidRPr="00D33E76">
              <w:rPr>
                <w:rFonts w:eastAsia="Times New Roman" w:cstheme="minorHAnsi"/>
                <w:sz w:val="22"/>
                <w:szCs w:val="22"/>
                <w:lang w:eastAsia="en-GB"/>
              </w:rPr>
              <w:t xml:space="preserve"> experts as the most clinically relevant, reduce variability and increase the suitability for use in clinical trials.</w:t>
            </w:r>
          </w:p>
          <w:p w14:paraId="306641FB" w14:textId="77777777" w:rsidR="00D33E76" w:rsidRPr="00D33E76" w:rsidRDefault="00D33E76" w:rsidP="00D33E76">
            <w:pPr>
              <w:rPr>
                <w:rFonts w:eastAsia="Times New Roman" w:cstheme="minorHAnsi"/>
                <w:sz w:val="22"/>
                <w:szCs w:val="22"/>
                <w:lang w:eastAsia="en-GB"/>
              </w:rPr>
            </w:pPr>
          </w:p>
        </w:tc>
        <w:tc>
          <w:tcPr>
            <w:tcW w:w="2238" w:type="dxa"/>
            <w:shd w:val="clear" w:color="auto" w:fill="FFFFFF"/>
          </w:tcPr>
          <w:p w14:paraId="5DFE063C"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lastRenderedPageBreak/>
              <w:t xml:space="preserve">The authors note that when combined, these five domains correlated well with total severity, suggesting they may </w:t>
            </w:r>
            <w:r w:rsidRPr="00D33E76">
              <w:rPr>
                <w:rFonts w:eastAsia="Times New Roman" w:cstheme="minorHAnsi"/>
                <w:sz w:val="22"/>
                <w:szCs w:val="22"/>
                <w:lang w:eastAsia="en-GB"/>
              </w:rPr>
              <w:lastRenderedPageBreak/>
              <w:t>be the most relevant domains to analyse in clinical trials with direct QoL relevance.</w:t>
            </w:r>
          </w:p>
          <w:p w14:paraId="754213A5" w14:textId="77777777" w:rsidR="00D33E76" w:rsidRPr="00D33E76" w:rsidRDefault="00D33E76" w:rsidP="00D33E76">
            <w:pPr>
              <w:rPr>
                <w:rFonts w:eastAsia="Times New Roman" w:cstheme="minorHAnsi"/>
                <w:sz w:val="22"/>
                <w:szCs w:val="22"/>
                <w:lang w:eastAsia="en-GB"/>
              </w:rPr>
            </w:pPr>
          </w:p>
        </w:tc>
        <w:tc>
          <w:tcPr>
            <w:tcW w:w="2239" w:type="dxa"/>
            <w:shd w:val="clear" w:color="auto" w:fill="FFFFFF"/>
          </w:tcPr>
          <w:p w14:paraId="02F897B5"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lastRenderedPageBreak/>
              <w:t>No information available.</w:t>
            </w:r>
          </w:p>
          <w:p w14:paraId="15E0AA7C" w14:textId="77777777" w:rsidR="00D33E76" w:rsidRPr="00D33E76" w:rsidRDefault="00D33E76" w:rsidP="00D33E76">
            <w:pPr>
              <w:rPr>
                <w:rFonts w:eastAsia="Times New Roman" w:cstheme="minorHAnsi"/>
                <w:sz w:val="22"/>
                <w:szCs w:val="22"/>
                <w:lang w:eastAsia="en-GB"/>
              </w:rPr>
            </w:pPr>
          </w:p>
        </w:tc>
        <w:tc>
          <w:tcPr>
            <w:tcW w:w="2238" w:type="dxa"/>
            <w:shd w:val="clear" w:color="auto" w:fill="FFFFFF"/>
          </w:tcPr>
          <w:p w14:paraId="66F92592"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No information available.</w:t>
            </w:r>
          </w:p>
          <w:p w14:paraId="7F2350AA" w14:textId="77777777" w:rsidR="00D33E76" w:rsidRPr="00D33E76" w:rsidRDefault="00D33E76" w:rsidP="00D33E76">
            <w:pPr>
              <w:rPr>
                <w:rFonts w:eastAsia="Times New Roman" w:cstheme="minorHAnsi"/>
                <w:sz w:val="22"/>
                <w:szCs w:val="22"/>
                <w:lang w:eastAsia="en-GB"/>
              </w:rPr>
            </w:pPr>
          </w:p>
        </w:tc>
        <w:tc>
          <w:tcPr>
            <w:tcW w:w="2239" w:type="dxa"/>
            <w:shd w:val="clear" w:color="auto" w:fill="FFFFFF"/>
          </w:tcPr>
          <w:p w14:paraId="301EBC83" w14:textId="6C67E402" w:rsidR="00C8792B" w:rsidRPr="0033711F" w:rsidRDefault="0033711F" w:rsidP="00D33E76">
            <w:pPr>
              <w:rPr>
                <w:rFonts w:eastAsia="Times New Roman" w:cstheme="minorHAnsi"/>
                <w:i/>
                <w:iCs/>
                <w:sz w:val="22"/>
                <w:szCs w:val="22"/>
                <w:lang w:eastAsia="en-GB"/>
              </w:rPr>
            </w:pPr>
            <w:r>
              <w:rPr>
                <w:rFonts w:eastAsia="Times New Roman" w:cstheme="minorHAnsi"/>
                <w:sz w:val="22"/>
                <w:szCs w:val="22"/>
                <w:lang w:eastAsia="en-GB"/>
              </w:rPr>
              <w:t xml:space="preserve">Primary outcomes in the study: </w:t>
            </w:r>
            <w:proofErr w:type="spellStart"/>
            <w:r w:rsidRPr="0033711F">
              <w:rPr>
                <w:rFonts w:eastAsia="Times New Roman" w:cstheme="minorHAnsi"/>
                <w:i/>
                <w:iCs/>
                <w:sz w:val="22"/>
                <w:szCs w:val="22"/>
                <w:lang w:eastAsia="en-GB"/>
              </w:rPr>
              <w:t>Arimoclomol</w:t>
            </w:r>
            <w:proofErr w:type="spellEnd"/>
            <w:r w:rsidRPr="0033711F">
              <w:rPr>
                <w:rFonts w:eastAsia="Times New Roman" w:cstheme="minorHAnsi"/>
                <w:i/>
                <w:iCs/>
                <w:sz w:val="22"/>
                <w:szCs w:val="22"/>
                <w:lang w:eastAsia="en-GB"/>
              </w:rPr>
              <w:t xml:space="preserve"> Prospective Study in Patients Diagnosed </w:t>
            </w:r>
            <w:r w:rsidRPr="0033711F">
              <w:rPr>
                <w:rFonts w:eastAsia="Times New Roman" w:cstheme="minorHAnsi"/>
                <w:i/>
                <w:iCs/>
                <w:sz w:val="22"/>
                <w:szCs w:val="22"/>
                <w:lang w:eastAsia="en-GB"/>
              </w:rPr>
              <w:lastRenderedPageBreak/>
              <w:t>With Niemann Pick Disease Type C</w:t>
            </w:r>
            <w:r w:rsidR="005F67F7">
              <w:rPr>
                <w:rFonts w:eastAsia="Times New Roman" w:cstheme="minorHAnsi"/>
                <w:sz w:val="22"/>
                <w:szCs w:val="22"/>
                <w:lang w:eastAsia="en-GB"/>
              </w:rPr>
              <w:t xml:space="preserve"> [28].</w:t>
            </w:r>
          </w:p>
          <w:p w14:paraId="03EBC637" w14:textId="77777777" w:rsidR="00C8792B" w:rsidRDefault="00C8792B" w:rsidP="00D33E76">
            <w:pPr>
              <w:rPr>
                <w:rFonts w:eastAsia="Times New Roman" w:cstheme="minorHAnsi"/>
                <w:sz w:val="22"/>
                <w:szCs w:val="22"/>
                <w:lang w:eastAsia="en-GB"/>
              </w:rPr>
            </w:pPr>
          </w:p>
          <w:p w14:paraId="08DA88EA" w14:textId="51000C93" w:rsidR="00C50CF1" w:rsidRPr="00D33E76" w:rsidRDefault="0033711F" w:rsidP="00D33E76">
            <w:pPr>
              <w:rPr>
                <w:rFonts w:eastAsia="Times New Roman" w:cstheme="minorHAnsi"/>
                <w:sz w:val="22"/>
                <w:szCs w:val="22"/>
                <w:lang w:eastAsia="en-GB"/>
              </w:rPr>
            </w:pPr>
            <w:r>
              <w:rPr>
                <w:rFonts w:eastAsia="Times New Roman" w:cstheme="minorHAnsi"/>
                <w:sz w:val="22"/>
                <w:szCs w:val="22"/>
                <w:lang w:eastAsia="en-GB"/>
              </w:rPr>
              <w:t>P</w:t>
            </w:r>
            <w:r w:rsidR="00C50CF1">
              <w:rPr>
                <w:rFonts w:eastAsia="Times New Roman" w:cstheme="minorHAnsi"/>
                <w:sz w:val="22"/>
                <w:szCs w:val="22"/>
                <w:lang w:eastAsia="en-GB"/>
              </w:rPr>
              <w:t xml:space="preserve">rimary objectives in the study: </w:t>
            </w:r>
            <w:r w:rsidR="006C2FB0" w:rsidRPr="006C2FB0">
              <w:rPr>
                <w:rFonts w:eastAsia="Times New Roman" w:cstheme="minorHAnsi"/>
                <w:i/>
                <w:iCs/>
                <w:sz w:val="22"/>
                <w:szCs w:val="22"/>
                <w:lang w:eastAsia="en-GB"/>
              </w:rPr>
              <w:t>Clinical disease progression and biomarkers in Niemann–Pick disease type C: a prospective cohort study</w:t>
            </w:r>
            <w:r w:rsidR="006C2FB0">
              <w:rPr>
                <w:rFonts w:eastAsia="Times New Roman" w:cstheme="minorHAnsi"/>
                <w:sz w:val="22"/>
                <w:szCs w:val="22"/>
                <w:lang w:eastAsia="en-GB"/>
              </w:rPr>
              <w:t xml:space="preserve"> </w:t>
            </w:r>
            <w:r w:rsidR="00DE2C1D">
              <w:rPr>
                <w:rFonts w:eastAsia="Times New Roman" w:cstheme="minorHAnsi"/>
                <w:sz w:val="22"/>
                <w:szCs w:val="22"/>
                <w:lang w:eastAsia="en-GB"/>
              </w:rPr>
              <w:t>[2</w:t>
            </w:r>
            <w:r w:rsidR="005F67F7">
              <w:rPr>
                <w:rFonts w:eastAsia="Times New Roman" w:cstheme="minorHAnsi"/>
                <w:sz w:val="22"/>
                <w:szCs w:val="22"/>
                <w:lang w:eastAsia="en-GB"/>
              </w:rPr>
              <w:t>9</w:t>
            </w:r>
            <w:r w:rsidR="006C2FB0">
              <w:rPr>
                <w:rFonts w:eastAsia="Times New Roman" w:cstheme="minorHAnsi"/>
                <w:sz w:val="22"/>
                <w:szCs w:val="22"/>
                <w:lang w:eastAsia="en-GB"/>
              </w:rPr>
              <w:t>].</w:t>
            </w:r>
          </w:p>
        </w:tc>
        <w:tc>
          <w:tcPr>
            <w:tcW w:w="2239" w:type="dxa"/>
            <w:shd w:val="clear" w:color="auto" w:fill="FFFFFF"/>
          </w:tcPr>
          <w:p w14:paraId="42C335ED" w14:textId="77777777" w:rsidR="00D33E76" w:rsidRPr="00D33E76" w:rsidRDefault="00D33E76" w:rsidP="00D33E76">
            <w:pPr>
              <w:rPr>
                <w:rFonts w:eastAsia="Times New Roman" w:cstheme="minorHAnsi"/>
                <w:sz w:val="22"/>
                <w:szCs w:val="22"/>
                <w:lang w:eastAsia="en-GB"/>
              </w:rPr>
            </w:pPr>
          </w:p>
        </w:tc>
      </w:tr>
      <w:tr w:rsidR="00D33E76" w:rsidRPr="00D33E76" w14:paraId="649CD00D" w14:textId="77777777" w:rsidTr="00D33E76">
        <w:trPr>
          <w:trHeight w:val="65"/>
        </w:trPr>
        <w:tc>
          <w:tcPr>
            <w:tcW w:w="1423" w:type="dxa"/>
            <w:shd w:val="clear" w:color="auto" w:fill="FFF2CC"/>
          </w:tcPr>
          <w:p w14:paraId="3C162475" w14:textId="68997788" w:rsidR="00D33E76" w:rsidRPr="00D33E76" w:rsidRDefault="00D33E76" w:rsidP="00D33E76">
            <w:pPr>
              <w:jc w:val="center"/>
              <w:rPr>
                <w:rFonts w:eastAsia="Times New Roman" w:cstheme="minorHAnsi"/>
                <w:b/>
                <w:bCs/>
                <w:sz w:val="22"/>
                <w:szCs w:val="22"/>
                <w:lang w:eastAsia="en-GB"/>
              </w:rPr>
            </w:pPr>
            <w:r w:rsidRPr="00D33E76">
              <w:rPr>
                <w:rFonts w:eastAsia="Times New Roman" w:cstheme="minorHAnsi"/>
                <w:b/>
                <w:bCs/>
                <w:sz w:val="22"/>
                <w:szCs w:val="22"/>
                <w:lang w:eastAsia="en-GB"/>
              </w:rPr>
              <w:t xml:space="preserve">Functional Disability </w:t>
            </w:r>
            <w:r w:rsidRPr="005D1EED">
              <w:rPr>
                <w:rFonts w:eastAsia="Times New Roman" w:cstheme="minorHAnsi"/>
                <w:b/>
                <w:bCs/>
                <w:sz w:val="22"/>
                <w:szCs w:val="22"/>
                <w:lang w:eastAsia="en-GB"/>
              </w:rPr>
              <w:t xml:space="preserve">Scale </w:t>
            </w:r>
            <w:r w:rsidR="005D1EED" w:rsidRPr="005D1EED">
              <w:rPr>
                <w:rFonts w:eastAsia="Times New Roman" w:cstheme="minorHAnsi"/>
                <w:sz w:val="22"/>
                <w:szCs w:val="22"/>
                <w:lang w:eastAsia="en-GB"/>
              </w:rPr>
              <w:t>[3]</w:t>
            </w:r>
          </w:p>
        </w:tc>
        <w:tc>
          <w:tcPr>
            <w:tcW w:w="2835" w:type="dxa"/>
            <w:shd w:val="clear" w:color="auto" w:fill="FFF2CC"/>
          </w:tcPr>
          <w:p w14:paraId="38817392" w14:textId="7EFDDFF2" w:rsidR="00D33E76" w:rsidRPr="00D33E76" w:rsidRDefault="00D33E76" w:rsidP="00D33E76">
            <w:pPr>
              <w:rPr>
                <w:rFonts w:eastAsia="Times New Roman" w:cstheme="minorHAnsi"/>
                <w:sz w:val="22"/>
                <w:szCs w:val="22"/>
                <w:lang w:eastAsia="en-GB"/>
              </w:rPr>
            </w:pPr>
            <w:r w:rsidRPr="00DE4277">
              <w:rPr>
                <w:rFonts w:eastAsia="Times New Roman" w:cstheme="minorHAnsi"/>
                <w:sz w:val="22"/>
                <w:szCs w:val="22"/>
                <w:lang w:eastAsia="en-GB"/>
              </w:rPr>
              <w:t>Modified from Pineda et al. (2009)</w:t>
            </w:r>
            <w:r w:rsidR="00BE0849" w:rsidRPr="00DE4277">
              <w:rPr>
                <w:rFonts w:eastAsia="Times New Roman" w:cstheme="minorHAnsi"/>
                <w:sz w:val="22"/>
                <w:szCs w:val="22"/>
                <w:lang w:eastAsia="en-GB"/>
              </w:rPr>
              <w:t xml:space="preserve"> [19]</w:t>
            </w:r>
            <w:r w:rsidRPr="00DE4277">
              <w:rPr>
                <w:rFonts w:eastAsia="Times New Roman" w:cstheme="minorHAnsi"/>
                <w:sz w:val="22"/>
                <w:szCs w:val="22"/>
                <w:lang w:eastAsia="en-GB"/>
              </w:rPr>
              <w:t xml:space="preserve">, </w:t>
            </w:r>
            <w:r w:rsidRPr="00D33E76">
              <w:rPr>
                <w:rFonts w:eastAsia="Times New Roman" w:cstheme="minorHAnsi"/>
                <w:sz w:val="22"/>
                <w:szCs w:val="22"/>
                <w:lang w:eastAsia="en-GB"/>
              </w:rPr>
              <w:t xml:space="preserve">this clinical severity assessment measures seven domains: ambulation, manipulation, language, swallowing, eye movements, seizure and neurocognitive development (for patients under 12 years of age). </w:t>
            </w:r>
          </w:p>
          <w:p w14:paraId="593B846D" w14:textId="77777777" w:rsidR="00D33E76" w:rsidRPr="00D33E76" w:rsidRDefault="00D33E76" w:rsidP="00D33E76">
            <w:pPr>
              <w:rPr>
                <w:rFonts w:eastAsia="Times New Roman" w:cstheme="minorHAnsi"/>
                <w:sz w:val="22"/>
                <w:szCs w:val="22"/>
                <w:lang w:eastAsia="en-GB"/>
              </w:rPr>
            </w:pPr>
          </w:p>
          <w:p w14:paraId="5B542203"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However, it has not been formally validated for treatment monitoring.</w:t>
            </w:r>
          </w:p>
          <w:p w14:paraId="45A9B3D1" w14:textId="77777777" w:rsidR="00D33E76" w:rsidRPr="00D33E76" w:rsidRDefault="00D33E76" w:rsidP="00D33E76">
            <w:pPr>
              <w:rPr>
                <w:rFonts w:eastAsia="Times New Roman" w:cstheme="minorHAnsi"/>
                <w:sz w:val="22"/>
                <w:szCs w:val="22"/>
                <w:lang w:eastAsia="en-GB"/>
              </w:rPr>
            </w:pPr>
          </w:p>
        </w:tc>
        <w:tc>
          <w:tcPr>
            <w:tcW w:w="2238" w:type="dxa"/>
            <w:shd w:val="clear" w:color="auto" w:fill="FFF2CC"/>
          </w:tcPr>
          <w:p w14:paraId="1A6433E4" w14:textId="540FAF0A"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 xml:space="preserve">The authors note that these guidelines can inform care providers, care funders, patients and their carers of best practice of care for patients with </w:t>
            </w:r>
            <w:r w:rsidR="00690B26">
              <w:rPr>
                <w:rFonts w:eastAsia="Times New Roman" w:cstheme="minorHAnsi"/>
                <w:sz w:val="22"/>
                <w:szCs w:val="22"/>
                <w:lang w:eastAsia="en-GB"/>
              </w:rPr>
              <w:t>NPC</w:t>
            </w:r>
            <w:r w:rsidRPr="00D33E76">
              <w:rPr>
                <w:rFonts w:eastAsia="Times New Roman" w:cstheme="minorHAnsi"/>
                <w:sz w:val="22"/>
                <w:szCs w:val="22"/>
                <w:lang w:eastAsia="en-GB"/>
              </w:rPr>
              <w:t>.</w:t>
            </w:r>
          </w:p>
        </w:tc>
        <w:tc>
          <w:tcPr>
            <w:tcW w:w="2239" w:type="dxa"/>
            <w:shd w:val="clear" w:color="auto" w:fill="FFF2CC"/>
          </w:tcPr>
          <w:p w14:paraId="112778F0"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Backed by expert physicians, geneticists, allied healthcare professionals and patient support groups involved in the International Niemann-Pick Disease Registry (INPDR) project (www.inpdr.org),which is supported by the EU Directorate General for Health and Consumers (DG-SANCO) via the Consumers, Health, Agriculture and Food Executive Agency (CHAFEA).</w:t>
            </w:r>
          </w:p>
        </w:tc>
        <w:tc>
          <w:tcPr>
            <w:tcW w:w="2238" w:type="dxa"/>
            <w:shd w:val="clear" w:color="auto" w:fill="FFF2CC"/>
          </w:tcPr>
          <w:p w14:paraId="32575120"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No information available.</w:t>
            </w:r>
          </w:p>
        </w:tc>
        <w:tc>
          <w:tcPr>
            <w:tcW w:w="2239" w:type="dxa"/>
            <w:shd w:val="clear" w:color="auto" w:fill="FFF2CC"/>
          </w:tcPr>
          <w:p w14:paraId="5AD00C78" w14:textId="77777777" w:rsidR="00D33E76" w:rsidRPr="00D33E76" w:rsidRDefault="00D33E76" w:rsidP="00D33E76">
            <w:pPr>
              <w:rPr>
                <w:rFonts w:eastAsia="Times New Roman" w:cstheme="minorHAnsi"/>
                <w:sz w:val="22"/>
                <w:szCs w:val="22"/>
                <w:lang w:eastAsia="en-GB"/>
              </w:rPr>
            </w:pPr>
            <w:r w:rsidRPr="00D33E76">
              <w:rPr>
                <w:rFonts w:eastAsia="Times New Roman" w:cstheme="minorHAnsi"/>
                <w:sz w:val="22"/>
                <w:szCs w:val="22"/>
                <w:lang w:eastAsia="en-GB"/>
              </w:rPr>
              <w:t>No information available regarding use in clinical trials to date.</w:t>
            </w:r>
          </w:p>
        </w:tc>
        <w:tc>
          <w:tcPr>
            <w:tcW w:w="2239" w:type="dxa"/>
            <w:shd w:val="clear" w:color="auto" w:fill="FFF2CC"/>
          </w:tcPr>
          <w:p w14:paraId="7A7B3B3F" w14:textId="77777777" w:rsidR="00D33E76" w:rsidRPr="00D33E76" w:rsidRDefault="00D33E76" w:rsidP="00D33E76">
            <w:pPr>
              <w:rPr>
                <w:rFonts w:eastAsia="Times New Roman" w:cstheme="minorHAnsi"/>
                <w:sz w:val="22"/>
                <w:szCs w:val="22"/>
                <w:lang w:eastAsia="en-GB"/>
              </w:rPr>
            </w:pPr>
          </w:p>
        </w:tc>
      </w:tr>
    </w:tbl>
    <w:p w14:paraId="6EE67FC7" w14:textId="77777777" w:rsidR="00D33E76" w:rsidRPr="00D33E76" w:rsidRDefault="00D33E76" w:rsidP="00D33E76">
      <w:pPr>
        <w:rPr>
          <w:rFonts w:eastAsia="Times New Roman" w:cstheme="minorHAnsi"/>
          <w:b/>
          <w:bCs/>
          <w:sz w:val="22"/>
          <w:szCs w:val="22"/>
          <w:lang w:eastAsia="en-GB"/>
        </w:rPr>
      </w:pPr>
    </w:p>
    <w:p w14:paraId="1BC0D534" w14:textId="0D48150C" w:rsidR="00D33E76" w:rsidRDefault="00D33E76" w:rsidP="00D33E76">
      <w:pPr>
        <w:rPr>
          <w:rFonts w:eastAsia="Times New Roman" w:cstheme="minorHAnsi"/>
          <w:b/>
          <w:bCs/>
          <w:sz w:val="22"/>
          <w:szCs w:val="22"/>
          <w:lang w:eastAsia="en-GB"/>
        </w:rPr>
      </w:pPr>
    </w:p>
    <w:p w14:paraId="78A4F029" w14:textId="56EE5BEB" w:rsidR="00D33E76" w:rsidRPr="00D33E76" w:rsidRDefault="00D33E76" w:rsidP="00D33E76">
      <w:pPr>
        <w:pStyle w:val="ListParagraph"/>
        <w:numPr>
          <w:ilvl w:val="0"/>
          <w:numId w:val="20"/>
        </w:numPr>
        <w:rPr>
          <w:rFonts w:ascii="Calibri" w:hAnsi="Calibri" w:cs="Calibri"/>
          <w:b/>
          <w:bCs/>
          <w:sz w:val="22"/>
          <w:szCs w:val="22"/>
        </w:rPr>
      </w:pPr>
      <w:r w:rsidRPr="00D33E76">
        <w:rPr>
          <w:rFonts w:ascii="Calibri" w:hAnsi="Calibri" w:cs="Calibri"/>
          <w:b/>
          <w:bCs/>
          <w:sz w:val="22"/>
          <w:szCs w:val="22"/>
        </w:rPr>
        <w:lastRenderedPageBreak/>
        <w:t>Clinical trials summary findings</w:t>
      </w:r>
    </w:p>
    <w:p w14:paraId="6A9E3EEA" w14:textId="77777777" w:rsidR="00D33E76" w:rsidRPr="00D33E76" w:rsidRDefault="00D33E76" w:rsidP="00D33E76">
      <w:pPr>
        <w:rPr>
          <w:rFonts w:ascii="Calibri" w:hAnsi="Calibri" w:cs="Calibri"/>
          <w:b/>
          <w:bCs/>
          <w:sz w:val="22"/>
          <w:szCs w:val="22"/>
        </w:rPr>
      </w:pPr>
    </w:p>
    <w:p w14:paraId="53E0981C" w14:textId="77777777" w:rsidR="00D33E76" w:rsidRPr="00D33E76" w:rsidRDefault="00D33E76" w:rsidP="00D33E76">
      <w:pPr>
        <w:ind w:left="-709" w:right="-1066"/>
        <w:rPr>
          <w:rFonts w:ascii="Calibri" w:hAnsi="Calibri" w:cs="Calibri"/>
          <w:sz w:val="22"/>
          <w:szCs w:val="22"/>
        </w:rPr>
      </w:pPr>
      <w:r w:rsidRPr="00D33E76">
        <w:rPr>
          <w:rFonts w:ascii="Calibri" w:hAnsi="Calibri" w:cs="Calibri"/>
          <w:sz w:val="22"/>
          <w:szCs w:val="22"/>
        </w:rPr>
        <w:t>The following table provides a summary of NPC clinical trials and the scales used for primary and secondary outcomes measures at a glance. The term &lt;&lt;Niemann Pick Type C disease&gt;&gt; was used to search ClinicalTrials.gov and Cochrane Library.</w:t>
      </w:r>
    </w:p>
    <w:p w14:paraId="6A3842BC" w14:textId="77777777" w:rsidR="00D33E76" w:rsidRPr="00D33E76" w:rsidRDefault="00D33E76" w:rsidP="00D33E76">
      <w:pPr>
        <w:rPr>
          <w:rFonts w:ascii="Arial" w:hAnsi="Arial" w:cs="Arial"/>
          <w:sz w:val="22"/>
          <w:szCs w:val="22"/>
        </w:rPr>
      </w:pPr>
    </w:p>
    <w:tbl>
      <w:tblPr>
        <w:tblStyle w:val="TableGrid"/>
        <w:tblW w:w="15740" w:type="dxa"/>
        <w:tblInd w:w="-719" w:type="dxa"/>
        <w:tblBorders>
          <w:top w:val="single" w:sz="4" w:space="0" w:color="FFC000" w:themeColor="accent4"/>
          <w:left w:val="single" w:sz="4" w:space="0" w:color="FFC000" w:themeColor="accent4"/>
          <w:bottom w:val="single" w:sz="4" w:space="0" w:color="FFC000" w:themeColor="accent4"/>
          <w:right w:val="single" w:sz="4" w:space="0" w:color="FFC000" w:themeColor="accent4"/>
          <w:insideH w:val="single" w:sz="4" w:space="0" w:color="FFC000" w:themeColor="accent4"/>
          <w:insideV w:val="single" w:sz="4" w:space="0" w:color="FFC000" w:themeColor="accent4"/>
        </w:tblBorders>
        <w:tblLayout w:type="fixed"/>
        <w:tblLook w:val="04A0" w:firstRow="1" w:lastRow="0" w:firstColumn="1" w:lastColumn="0" w:noHBand="0" w:noVBand="1"/>
      </w:tblPr>
      <w:tblGrid>
        <w:gridCol w:w="5817"/>
        <w:gridCol w:w="4536"/>
        <w:gridCol w:w="5387"/>
      </w:tblGrid>
      <w:tr w:rsidR="00D33E76" w:rsidRPr="00D33E76" w14:paraId="18AFCFC0" w14:textId="77777777" w:rsidTr="00F50B86">
        <w:tc>
          <w:tcPr>
            <w:tcW w:w="5817" w:type="dxa"/>
            <w:shd w:val="clear" w:color="auto" w:fill="FFC000" w:themeFill="accent4"/>
          </w:tcPr>
          <w:p w14:paraId="33A4AE60" w14:textId="77777777" w:rsidR="00D33E76" w:rsidRPr="00D33E76" w:rsidRDefault="00D33E76" w:rsidP="00F50B86">
            <w:pPr>
              <w:jc w:val="center"/>
              <w:rPr>
                <w:rFonts w:cstheme="minorHAnsi"/>
                <w:b/>
                <w:bCs/>
                <w:color w:val="FFFFFF" w:themeColor="background1"/>
                <w:sz w:val="22"/>
                <w:szCs w:val="22"/>
              </w:rPr>
            </w:pPr>
            <w:r w:rsidRPr="00D33E76">
              <w:rPr>
                <w:rFonts w:cstheme="minorHAnsi"/>
                <w:b/>
                <w:bCs/>
                <w:color w:val="FFFFFF" w:themeColor="background1"/>
                <w:sz w:val="22"/>
                <w:szCs w:val="22"/>
              </w:rPr>
              <w:t xml:space="preserve">Trial name </w:t>
            </w:r>
          </w:p>
        </w:tc>
        <w:tc>
          <w:tcPr>
            <w:tcW w:w="4536" w:type="dxa"/>
            <w:shd w:val="clear" w:color="auto" w:fill="FFC000" w:themeFill="accent4"/>
          </w:tcPr>
          <w:p w14:paraId="4FC259EA" w14:textId="77777777" w:rsidR="00D33E76" w:rsidRPr="00D33E76" w:rsidRDefault="00D33E76" w:rsidP="00F50B86">
            <w:pPr>
              <w:jc w:val="center"/>
              <w:rPr>
                <w:rFonts w:cstheme="minorHAnsi"/>
                <w:b/>
                <w:bCs/>
                <w:color w:val="FFFFFF" w:themeColor="background1"/>
                <w:sz w:val="22"/>
                <w:szCs w:val="22"/>
              </w:rPr>
            </w:pPr>
            <w:r w:rsidRPr="00D33E76">
              <w:rPr>
                <w:rFonts w:cstheme="minorHAnsi"/>
                <w:b/>
                <w:bCs/>
                <w:color w:val="FFFFFF" w:themeColor="background1"/>
                <w:sz w:val="22"/>
                <w:szCs w:val="22"/>
              </w:rPr>
              <w:t>Primary outcome measure</w:t>
            </w:r>
          </w:p>
        </w:tc>
        <w:tc>
          <w:tcPr>
            <w:tcW w:w="5387" w:type="dxa"/>
            <w:shd w:val="clear" w:color="auto" w:fill="FFC000" w:themeFill="accent4"/>
          </w:tcPr>
          <w:p w14:paraId="6E0032F5" w14:textId="77777777" w:rsidR="00D33E76" w:rsidRPr="00D33E76" w:rsidRDefault="00D33E76" w:rsidP="00F50B86">
            <w:pPr>
              <w:jc w:val="center"/>
              <w:rPr>
                <w:rFonts w:cstheme="minorHAnsi"/>
                <w:b/>
                <w:bCs/>
                <w:color w:val="FFFFFF" w:themeColor="background1"/>
                <w:sz w:val="22"/>
                <w:szCs w:val="22"/>
              </w:rPr>
            </w:pPr>
            <w:r w:rsidRPr="00D33E76">
              <w:rPr>
                <w:rFonts w:cstheme="minorHAnsi"/>
                <w:b/>
                <w:bCs/>
                <w:color w:val="FFFFFF" w:themeColor="background1"/>
                <w:sz w:val="22"/>
                <w:szCs w:val="22"/>
              </w:rPr>
              <w:t>Secondary outcome measure</w:t>
            </w:r>
          </w:p>
        </w:tc>
      </w:tr>
      <w:tr w:rsidR="00D33E76" w:rsidRPr="00D33E76" w14:paraId="436DB83F" w14:textId="77777777" w:rsidTr="00F50B86">
        <w:trPr>
          <w:trHeight w:val="791"/>
        </w:trPr>
        <w:tc>
          <w:tcPr>
            <w:tcW w:w="5817" w:type="dxa"/>
            <w:shd w:val="clear" w:color="auto" w:fill="FFFFFF" w:themeFill="background1"/>
          </w:tcPr>
          <w:p w14:paraId="2BC1BE36" w14:textId="77777777" w:rsidR="00D33E76" w:rsidRPr="00D33E76" w:rsidRDefault="00D33E76" w:rsidP="00F50B86">
            <w:pPr>
              <w:rPr>
                <w:rFonts w:cstheme="minorHAnsi"/>
                <w:sz w:val="22"/>
                <w:szCs w:val="22"/>
              </w:rPr>
            </w:pPr>
          </w:p>
          <w:p w14:paraId="42AADFB4" w14:textId="2CA0B15A" w:rsidR="00D33E76" w:rsidRPr="00D33E76" w:rsidRDefault="00FE5362" w:rsidP="00F50B86">
            <w:pPr>
              <w:rPr>
                <w:rFonts w:cstheme="minorHAnsi"/>
                <w:sz w:val="22"/>
                <w:szCs w:val="22"/>
              </w:rPr>
            </w:pPr>
            <w:hyperlink r:id="rId11" w:history="1">
              <w:r w:rsidR="00D33E76" w:rsidRPr="00D33E76">
                <w:rPr>
                  <w:rStyle w:val="Hyperlink"/>
                  <w:rFonts w:cstheme="minorHAnsi"/>
                  <w:sz w:val="22"/>
                  <w:szCs w:val="22"/>
                </w:rPr>
                <w:t xml:space="preserve">Application of </w:t>
              </w:r>
              <w:proofErr w:type="spellStart"/>
              <w:r w:rsidR="00D33E76" w:rsidRPr="00D33E76">
                <w:rPr>
                  <w:rStyle w:val="Hyperlink"/>
                  <w:rFonts w:cstheme="minorHAnsi"/>
                  <w:sz w:val="22"/>
                  <w:szCs w:val="22"/>
                </w:rPr>
                <w:t>Miglustat</w:t>
              </w:r>
              <w:proofErr w:type="spellEnd"/>
              <w:r w:rsidR="00D33E76" w:rsidRPr="00D33E76">
                <w:rPr>
                  <w:rStyle w:val="Hyperlink"/>
                  <w:rFonts w:cstheme="minorHAnsi"/>
                  <w:sz w:val="22"/>
                  <w:szCs w:val="22"/>
                </w:rPr>
                <w:t xml:space="preserve"> in Patients With Niemann-Pick Type C</w:t>
              </w:r>
            </w:hyperlink>
            <w:r w:rsidR="00E200EC">
              <w:t xml:space="preserve"> [3</w:t>
            </w:r>
            <w:r w:rsidR="005F67F7">
              <w:t>4</w:t>
            </w:r>
            <w:r w:rsidR="00E200EC">
              <w:t>]</w:t>
            </w:r>
          </w:p>
          <w:p w14:paraId="3054DE2C" w14:textId="77777777" w:rsidR="00D33E76" w:rsidRPr="00D33E76" w:rsidRDefault="00D33E76" w:rsidP="00F50B86">
            <w:pPr>
              <w:rPr>
                <w:rFonts w:cstheme="minorHAnsi"/>
                <w:sz w:val="22"/>
                <w:szCs w:val="22"/>
              </w:rPr>
            </w:pPr>
          </w:p>
        </w:tc>
        <w:tc>
          <w:tcPr>
            <w:tcW w:w="4536" w:type="dxa"/>
            <w:shd w:val="clear" w:color="auto" w:fill="FFFFFF" w:themeFill="background1"/>
          </w:tcPr>
          <w:p w14:paraId="42DC1966" w14:textId="5409EFD2" w:rsidR="00D33E76" w:rsidRPr="00D33E76" w:rsidRDefault="00D33E76" w:rsidP="00F50B86">
            <w:pPr>
              <w:rPr>
                <w:rFonts w:cstheme="minorHAnsi"/>
                <w:sz w:val="22"/>
                <w:szCs w:val="22"/>
              </w:rPr>
            </w:pPr>
            <w:r w:rsidRPr="00D33E76">
              <w:rPr>
                <w:rFonts w:cstheme="minorHAnsi"/>
                <w:sz w:val="22"/>
                <w:szCs w:val="22"/>
              </w:rPr>
              <w:t xml:space="preserve">Functional Disability Scale </w:t>
            </w:r>
            <w:r w:rsidR="005328FA">
              <w:rPr>
                <w:rFonts w:cstheme="minorHAnsi"/>
                <w:sz w:val="22"/>
                <w:szCs w:val="22"/>
              </w:rPr>
              <w:t xml:space="preserve">[3] </w:t>
            </w:r>
            <w:r w:rsidRPr="00D33E76">
              <w:rPr>
                <w:rFonts w:cstheme="minorHAnsi"/>
                <w:sz w:val="22"/>
                <w:szCs w:val="22"/>
              </w:rPr>
              <w:t>- It was used if VFSS outcome measure could not be performed due to safety issue</w:t>
            </w:r>
          </w:p>
        </w:tc>
        <w:tc>
          <w:tcPr>
            <w:tcW w:w="5387" w:type="dxa"/>
            <w:shd w:val="clear" w:color="auto" w:fill="FFFFFF" w:themeFill="background1"/>
          </w:tcPr>
          <w:p w14:paraId="10C7289D" w14:textId="77777777" w:rsidR="00D33E76" w:rsidRPr="00D33E76" w:rsidRDefault="00D33E76" w:rsidP="00F50B86">
            <w:pPr>
              <w:rPr>
                <w:rFonts w:cstheme="minorHAnsi"/>
                <w:sz w:val="22"/>
                <w:szCs w:val="22"/>
              </w:rPr>
            </w:pPr>
          </w:p>
        </w:tc>
      </w:tr>
      <w:tr w:rsidR="00D33E76" w:rsidRPr="00D33E76" w14:paraId="71D00BC4" w14:textId="77777777" w:rsidTr="00F50B86">
        <w:trPr>
          <w:trHeight w:val="575"/>
        </w:trPr>
        <w:tc>
          <w:tcPr>
            <w:tcW w:w="5817" w:type="dxa"/>
            <w:shd w:val="clear" w:color="auto" w:fill="FFF2CC" w:themeFill="accent4" w:themeFillTint="33"/>
          </w:tcPr>
          <w:p w14:paraId="63421EFA" w14:textId="77777777" w:rsidR="00D33E76" w:rsidRPr="00D33E76" w:rsidRDefault="00D33E76" w:rsidP="00F50B86">
            <w:pPr>
              <w:rPr>
                <w:rFonts w:cstheme="minorHAnsi"/>
                <w:sz w:val="22"/>
                <w:szCs w:val="22"/>
              </w:rPr>
            </w:pPr>
          </w:p>
          <w:p w14:paraId="1BD3908B" w14:textId="55A82B14" w:rsidR="00D33E76" w:rsidRDefault="00FE5362" w:rsidP="00F50B86">
            <w:hyperlink r:id="rId12" w:history="1">
              <w:r w:rsidR="00D33E76" w:rsidRPr="00D33E76">
                <w:rPr>
                  <w:rStyle w:val="Hyperlink"/>
                  <w:rFonts w:cstheme="minorHAnsi"/>
                  <w:sz w:val="22"/>
                  <w:szCs w:val="22"/>
                </w:rPr>
                <w:t>A Prospective Non-therapeutic Study in Patients Diagnosed With Niemann-Pick Disease Type C</w:t>
              </w:r>
            </w:hyperlink>
            <w:r w:rsidR="00E200EC">
              <w:t xml:space="preserve"> [3</w:t>
            </w:r>
            <w:r w:rsidR="005F67F7">
              <w:t>5</w:t>
            </w:r>
            <w:r w:rsidR="00E200EC">
              <w:t>]</w:t>
            </w:r>
          </w:p>
          <w:p w14:paraId="196A7462" w14:textId="2DE741C9" w:rsidR="00C76B45" w:rsidRPr="00D33E76" w:rsidRDefault="00C76B45" w:rsidP="00F50B86">
            <w:pPr>
              <w:rPr>
                <w:rFonts w:cstheme="minorHAnsi"/>
                <w:sz w:val="22"/>
                <w:szCs w:val="22"/>
              </w:rPr>
            </w:pPr>
          </w:p>
        </w:tc>
        <w:tc>
          <w:tcPr>
            <w:tcW w:w="4536" w:type="dxa"/>
            <w:shd w:val="clear" w:color="auto" w:fill="FFF2CC" w:themeFill="accent4" w:themeFillTint="33"/>
          </w:tcPr>
          <w:p w14:paraId="5091980A" w14:textId="5B940AB9" w:rsidR="00D33E76" w:rsidRDefault="00690B26" w:rsidP="00F50B86">
            <w:pPr>
              <w:rPr>
                <w:rFonts w:cstheme="minorHAnsi"/>
                <w:sz w:val="22"/>
                <w:szCs w:val="22"/>
              </w:rPr>
            </w:pPr>
            <w:r>
              <w:rPr>
                <w:rFonts w:cstheme="minorHAnsi"/>
                <w:sz w:val="22"/>
                <w:szCs w:val="22"/>
              </w:rPr>
              <w:t>NPC</w:t>
            </w:r>
            <w:r w:rsidR="00D33E76" w:rsidRPr="00D33E76">
              <w:rPr>
                <w:rFonts w:cstheme="minorHAnsi"/>
                <w:sz w:val="22"/>
                <w:szCs w:val="22"/>
              </w:rPr>
              <w:t xml:space="preserve"> Clinical Severity Score (</w:t>
            </w:r>
            <w:r w:rsidR="00784E7F">
              <w:rPr>
                <w:rFonts w:cstheme="minorHAnsi"/>
                <w:sz w:val="22"/>
                <w:szCs w:val="22"/>
              </w:rPr>
              <w:t>NPCCSS</w:t>
            </w:r>
            <w:r w:rsidR="00D33E76" w:rsidRPr="00A935A3">
              <w:rPr>
                <w:rFonts w:cstheme="minorHAnsi"/>
                <w:sz w:val="22"/>
                <w:szCs w:val="22"/>
              </w:rPr>
              <w:t xml:space="preserve">) </w:t>
            </w:r>
            <w:r w:rsidR="00A935A3" w:rsidRPr="00A935A3">
              <w:rPr>
                <w:rFonts w:cstheme="minorHAnsi"/>
                <w:sz w:val="22"/>
                <w:szCs w:val="22"/>
              </w:rPr>
              <w:t>[18]</w:t>
            </w:r>
          </w:p>
          <w:p w14:paraId="596C3472" w14:textId="77777777" w:rsidR="002C6F98" w:rsidRDefault="002C6F98" w:rsidP="00F50B86">
            <w:pPr>
              <w:rPr>
                <w:rFonts w:cstheme="minorHAnsi"/>
                <w:sz w:val="22"/>
                <w:szCs w:val="22"/>
              </w:rPr>
            </w:pPr>
          </w:p>
          <w:p w14:paraId="0D0325FE" w14:textId="2724E011" w:rsidR="005B4BD3" w:rsidRDefault="005B4BD3" w:rsidP="00F50B86">
            <w:pPr>
              <w:rPr>
                <w:rFonts w:cstheme="minorHAnsi"/>
                <w:sz w:val="22"/>
                <w:szCs w:val="22"/>
              </w:rPr>
            </w:pPr>
            <w:r w:rsidRPr="005B4BD3">
              <w:rPr>
                <w:rFonts w:cstheme="minorHAnsi"/>
                <w:sz w:val="22"/>
                <w:szCs w:val="22"/>
              </w:rPr>
              <w:t>5-Domain NPCCSS [16]</w:t>
            </w:r>
          </w:p>
          <w:p w14:paraId="4CB4C02C" w14:textId="77777777" w:rsidR="002C6F98" w:rsidRDefault="002C6F98" w:rsidP="00F50B86">
            <w:pPr>
              <w:rPr>
                <w:rFonts w:cstheme="minorHAnsi"/>
                <w:sz w:val="22"/>
                <w:szCs w:val="22"/>
              </w:rPr>
            </w:pPr>
          </w:p>
          <w:p w14:paraId="23FF8F2C" w14:textId="5D9202AD" w:rsidR="005B4BD3" w:rsidRPr="00D33E76" w:rsidRDefault="005B4BD3" w:rsidP="00F50B86">
            <w:pPr>
              <w:rPr>
                <w:rFonts w:cstheme="minorHAnsi"/>
                <w:sz w:val="22"/>
                <w:szCs w:val="22"/>
              </w:rPr>
            </w:pPr>
            <w:r w:rsidRPr="005B4BD3">
              <w:rPr>
                <w:rFonts w:cstheme="minorHAnsi"/>
                <w:sz w:val="22"/>
                <w:szCs w:val="22"/>
              </w:rPr>
              <w:t>NPC-</w:t>
            </w:r>
            <w:proofErr w:type="spellStart"/>
            <w:r w:rsidRPr="005B4BD3">
              <w:rPr>
                <w:rFonts w:cstheme="minorHAnsi"/>
                <w:sz w:val="22"/>
                <w:szCs w:val="22"/>
              </w:rPr>
              <w:t>cdb</w:t>
            </w:r>
            <w:proofErr w:type="spellEnd"/>
            <w:r w:rsidRPr="005B4BD3">
              <w:rPr>
                <w:rFonts w:cstheme="minorHAnsi"/>
                <w:sz w:val="22"/>
                <w:szCs w:val="22"/>
              </w:rPr>
              <w:t xml:space="preserve"> Scale [20]</w:t>
            </w:r>
          </w:p>
        </w:tc>
        <w:tc>
          <w:tcPr>
            <w:tcW w:w="5387" w:type="dxa"/>
            <w:shd w:val="clear" w:color="auto" w:fill="FFF2CC" w:themeFill="accent4" w:themeFillTint="33"/>
          </w:tcPr>
          <w:p w14:paraId="1E244DF9" w14:textId="77777777" w:rsidR="00D33E76" w:rsidRPr="00D33E76" w:rsidRDefault="00D33E76" w:rsidP="00F50B86">
            <w:pPr>
              <w:rPr>
                <w:rFonts w:cstheme="minorHAnsi"/>
                <w:sz w:val="22"/>
                <w:szCs w:val="22"/>
              </w:rPr>
            </w:pPr>
          </w:p>
        </w:tc>
      </w:tr>
      <w:tr w:rsidR="00D33E76" w:rsidRPr="00D33E76" w14:paraId="46D13D64" w14:textId="77777777" w:rsidTr="00F50B86">
        <w:trPr>
          <w:trHeight w:val="682"/>
        </w:trPr>
        <w:tc>
          <w:tcPr>
            <w:tcW w:w="5817" w:type="dxa"/>
            <w:shd w:val="clear" w:color="auto" w:fill="FFFFFF" w:themeFill="background1"/>
          </w:tcPr>
          <w:p w14:paraId="556054E3" w14:textId="77777777" w:rsidR="00D33E76" w:rsidRPr="00D33E76" w:rsidRDefault="00D33E76" w:rsidP="00F50B86">
            <w:pPr>
              <w:rPr>
                <w:rFonts w:cstheme="minorHAnsi"/>
                <w:sz w:val="22"/>
                <w:szCs w:val="22"/>
              </w:rPr>
            </w:pPr>
          </w:p>
          <w:p w14:paraId="46DAEC6A" w14:textId="4AEAD1C9" w:rsidR="00D33E76" w:rsidRPr="00D33E76" w:rsidRDefault="00FE5362" w:rsidP="00F50B86">
            <w:pPr>
              <w:rPr>
                <w:rFonts w:cstheme="minorHAnsi"/>
                <w:sz w:val="22"/>
                <w:szCs w:val="22"/>
              </w:rPr>
            </w:pPr>
            <w:hyperlink r:id="rId13" w:history="1">
              <w:proofErr w:type="spellStart"/>
              <w:r w:rsidR="00D33E76" w:rsidRPr="00D33E76">
                <w:rPr>
                  <w:rStyle w:val="Hyperlink"/>
                  <w:rFonts w:cstheme="minorHAnsi"/>
                  <w:sz w:val="22"/>
                  <w:szCs w:val="22"/>
                </w:rPr>
                <w:t>Arimoclomol</w:t>
              </w:r>
              <w:proofErr w:type="spellEnd"/>
              <w:r w:rsidR="00D33E76" w:rsidRPr="00D33E76">
                <w:rPr>
                  <w:rStyle w:val="Hyperlink"/>
                  <w:rFonts w:cstheme="minorHAnsi"/>
                  <w:sz w:val="22"/>
                  <w:szCs w:val="22"/>
                </w:rPr>
                <w:t xml:space="preserve"> Prospective Study in Patients Diagnosed With Niemann Pick Disease Type C</w:t>
              </w:r>
            </w:hyperlink>
            <w:r w:rsidR="00E200EC">
              <w:rPr>
                <w:rFonts w:cstheme="minorHAnsi"/>
                <w:sz w:val="22"/>
                <w:szCs w:val="22"/>
              </w:rPr>
              <w:t xml:space="preserve"> [</w:t>
            </w:r>
            <w:r w:rsidR="005F67F7">
              <w:rPr>
                <w:rFonts w:cstheme="minorHAnsi"/>
                <w:sz w:val="22"/>
                <w:szCs w:val="22"/>
              </w:rPr>
              <w:t>28</w:t>
            </w:r>
            <w:r w:rsidR="00E200EC">
              <w:rPr>
                <w:rFonts w:cstheme="minorHAnsi"/>
                <w:sz w:val="22"/>
                <w:szCs w:val="22"/>
              </w:rPr>
              <w:t>]</w:t>
            </w:r>
          </w:p>
        </w:tc>
        <w:tc>
          <w:tcPr>
            <w:tcW w:w="4536" w:type="dxa"/>
            <w:shd w:val="clear" w:color="auto" w:fill="FFFFFF" w:themeFill="background1"/>
          </w:tcPr>
          <w:p w14:paraId="220CDC6B" w14:textId="77777777" w:rsidR="005E78D9" w:rsidRDefault="005E78D9" w:rsidP="005E78D9">
            <w:pPr>
              <w:rPr>
                <w:rFonts w:cstheme="minorHAnsi"/>
                <w:sz w:val="22"/>
                <w:szCs w:val="22"/>
              </w:rPr>
            </w:pPr>
            <w:r w:rsidRPr="005B4BD3">
              <w:rPr>
                <w:rFonts w:cstheme="minorHAnsi"/>
                <w:sz w:val="22"/>
                <w:szCs w:val="22"/>
              </w:rPr>
              <w:t>5-Domain NPCCSS [16]</w:t>
            </w:r>
          </w:p>
          <w:p w14:paraId="31695DF3" w14:textId="4E0610C1" w:rsidR="00D33E76" w:rsidRPr="00D33E76" w:rsidRDefault="00D33E76" w:rsidP="00F50B86">
            <w:pPr>
              <w:rPr>
                <w:rFonts w:cstheme="minorHAnsi"/>
                <w:sz w:val="22"/>
                <w:szCs w:val="22"/>
              </w:rPr>
            </w:pPr>
          </w:p>
        </w:tc>
        <w:tc>
          <w:tcPr>
            <w:tcW w:w="5387" w:type="dxa"/>
            <w:shd w:val="clear" w:color="auto" w:fill="FFFFFF" w:themeFill="background1"/>
          </w:tcPr>
          <w:p w14:paraId="32460D31" w14:textId="6EE75071" w:rsidR="00D33E76" w:rsidRPr="00020636" w:rsidRDefault="00690B26" w:rsidP="00F50B86">
            <w:pPr>
              <w:rPr>
                <w:rFonts w:cstheme="minorHAnsi"/>
                <w:color w:val="A6A6A6" w:themeColor="background1" w:themeShade="A6"/>
                <w:sz w:val="22"/>
                <w:szCs w:val="22"/>
              </w:rPr>
            </w:pPr>
            <w:r w:rsidRPr="00020636">
              <w:rPr>
                <w:rFonts w:cstheme="minorHAnsi"/>
                <w:sz w:val="22"/>
                <w:szCs w:val="22"/>
              </w:rPr>
              <w:t>NPC</w:t>
            </w:r>
            <w:r w:rsidR="00D33E76" w:rsidRPr="00020636">
              <w:rPr>
                <w:rFonts w:cstheme="minorHAnsi"/>
                <w:sz w:val="22"/>
                <w:szCs w:val="22"/>
              </w:rPr>
              <w:t>-</w:t>
            </w:r>
            <w:proofErr w:type="spellStart"/>
            <w:r w:rsidR="00D33E76" w:rsidRPr="00020636">
              <w:rPr>
                <w:rFonts w:cstheme="minorHAnsi"/>
                <w:sz w:val="22"/>
                <w:szCs w:val="22"/>
              </w:rPr>
              <w:t>cdb</w:t>
            </w:r>
            <w:proofErr w:type="spellEnd"/>
            <w:r w:rsidR="00D33E76" w:rsidRPr="00020636">
              <w:rPr>
                <w:rFonts w:cstheme="minorHAnsi"/>
                <w:sz w:val="22"/>
                <w:szCs w:val="22"/>
              </w:rPr>
              <w:t xml:space="preserve"> Scale</w:t>
            </w:r>
            <w:r w:rsidR="00D33E76" w:rsidRPr="00020636">
              <w:rPr>
                <w:rFonts w:cstheme="minorHAnsi"/>
                <w:sz w:val="22"/>
                <w:szCs w:val="22"/>
                <w:vertAlign w:val="superscript"/>
              </w:rPr>
              <w:t xml:space="preserve"> </w:t>
            </w:r>
            <w:r w:rsidR="00A935A3" w:rsidRPr="00020636">
              <w:rPr>
                <w:rFonts w:cstheme="minorHAnsi"/>
                <w:sz w:val="22"/>
                <w:szCs w:val="22"/>
              </w:rPr>
              <w:t>[20]</w:t>
            </w:r>
          </w:p>
          <w:p w14:paraId="4474E971" w14:textId="77777777" w:rsidR="00D33E76" w:rsidRPr="00D33E76" w:rsidRDefault="00D33E76" w:rsidP="00F50B86">
            <w:pPr>
              <w:rPr>
                <w:rFonts w:cstheme="minorHAnsi"/>
                <w:sz w:val="22"/>
                <w:szCs w:val="22"/>
              </w:rPr>
            </w:pPr>
          </w:p>
          <w:p w14:paraId="542C6951" w14:textId="72C428BE" w:rsidR="00D33E76" w:rsidRPr="00D33E76" w:rsidRDefault="00690B26" w:rsidP="00F50B86">
            <w:pPr>
              <w:rPr>
                <w:rFonts w:cstheme="minorHAnsi"/>
                <w:sz w:val="22"/>
                <w:szCs w:val="22"/>
              </w:rPr>
            </w:pPr>
            <w:r>
              <w:rPr>
                <w:rFonts w:cstheme="minorHAnsi"/>
                <w:sz w:val="22"/>
                <w:szCs w:val="22"/>
              </w:rPr>
              <w:t>NPC</w:t>
            </w:r>
            <w:r w:rsidR="00D33E76" w:rsidRPr="00D33E76">
              <w:rPr>
                <w:rFonts w:cstheme="minorHAnsi"/>
                <w:sz w:val="22"/>
                <w:szCs w:val="22"/>
              </w:rPr>
              <w:t xml:space="preserve"> Clinical Severity Score (</w:t>
            </w:r>
            <w:r w:rsidR="00784E7F">
              <w:rPr>
                <w:rFonts w:cstheme="minorHAnsi"/>
                <w:sz w:val="22"/>
                <w:szCs w:val="22"/>
              </w:rPr>
              <w:t>NPCCSS</w:t>
            </w:r>
            <w:r w:rsidR="00D33E76" w:rsidRPr="00D33E76">
              <w:rPr>
                <w:rFonts w:cstheme="minorHAnsi"/>
                <w:sz w:val="22"/>
                <w:szCs w:val="22"/>
              </w:rPr>
              <w:t xml:space="preserve">) </w:t>
            </w:r>
            <w:r w:rsidR="00A935A3" w:rsidRPr="00A935A3">
              <w:rPr>
                <w:rFonts w:cstheme="minorHAnsi"/>
                <w:sz w:val="22"/>
                <w:szCs w:val="22"/>
              </w:rPr>
              <w:t>[18]</w:t>
            </w:r>
          </w:p>
        </w:tc>
      </w:tr>
      <w:tr w:rsidR="00D33E76" w:rsidRPr="00D33E76" w14:paraId="0AC258CE" w14:textId="77777777" w:rsidTr="00F50B86">
        <w:trPr>
          <w:trHeight w:val="127"/>
        </w:trPr>
        <w:tc>
          <w:tcPr>
            <w:tcW w:w="5817" w:type="dxa"/>
            <w:shd w:val="clear" w:color="auto" w:fill="FFF2CC" w:themeFill="accent4" w:themeFillTint="33"/>
          </w:tcPr>
          <w:p w14:paraId="642CED8F" w14:textId="77777777" w:rsidR="00D33E76" w:rsidRPr="00D33E76" w:rsidRDefault="00D33E76" w:rsidP="00F50B86">
            <w:pPr>
              <w:rPr>
                <w:rFonts w:cstheme="minorHAnsi"/>
                <w:sz w:val="22"/>
                <w:szCs w:val="22"/>
              </w:rPr>
            </w:pPr>
          </w:p>
          <w:p w14:paraId="20AD2814" w14:textId="59BD95A7" w:rsidR="00D33E76" w:rsidRDefault="00FE5362" w:rsidP="00F50B86">
            <w:hyperlink r:id="rId14" w:history="1">
              <w:r w:rsidR="00D33E76" w:rsidRPr="00D33E76">
                <w:rPr>
                  <w:rStyle w:val="Hyperlink"/>
                  <w:rFonts w:cstheme="minorHAnsi"/>
                  <w:sz w:val="22"/>
                  <w:szCs w:val="22"/>
                </w:rPr>
                <w:t xml:space="preserve">A Phase I/II study to evaluate </w:t>
              </w:r>
              <w:proofErr w:type="spellStart"/>
              <w:r w:rsidR="00D33E76" w:rsidRPr="00D33E76">
                <w:rPr>
                  <w:rStyle w:val="Hyperlink"/>
                  <w:rFonts w:cstheme="minorHAnsi"/>
                  <w:sz w:val="22"/>
                  <w:szCs w:val="22"/>
                </w:rPr>
                <w:t>Trappsol</w:t>
              </w:r>
              <w:proofErr w:type="spellEnd"/>
              <w:r w:rsidR="00D33E76" w:rsidRPr="00D33E76">
                <w:rPr>
                  <w:rStyle w:val="Hyperlink"/>
                  <w:rFonts w:cstheme="minorHAnsi"/>
                  <w:sz w:val="22"/>
                  <w:szCs w:val="22"/>
                </w:rPr>
                <w:t xml:space="preserve"> </w:t>
              </w:r>
              <w:proofErr w:type="spellStart"/>
              <w:r w:rsidR="00D33E76" w:rsidRPr="00D33E76">
                <w:rPr>
                  <w:rStyle w:val="Hyperlink"/>
                  <w:rFonts w:cstheme="minorHAnsi"/>
                  <w:sz w:val="22"/>
                  <w:szCs w:val="22"/>
                </w:rPr>
                <w:t>Cyclo</w:t>
              </w:r>
              <w:proofErr w:type="spellEnd"/>
              <w:r w:rsidR="00D33E76" w:rsidRPr="00D33E76">
                <w:rPr>
                  <w:rStyle w:val="Hyperlink"/>
                  <w:rFonts w:cstheme="minorHAnsi"/>
                  <w:sz w:val="22"/>
                  <w:szCs w:val="22"/>
                </w:rPr>
                <w:t xml:space="preserve"> (</w:t>
              </w:r>
              <w:proofErr w:type="spellStart"/>
              <w:r w:rsidR="00D33E76" w:rsidRPr="00D33E76">
                <w:rPr>
                  <w:rStyle w:val="Hyperlink"/>
                  <w:rFonts w:cstheme="minorHAnsi"/>
                  <w:sz w:val="22"/>
                  <w:szCs w:val="22"/>
                </w:rPr>
                <w:t>hydroxypropyl</w:t>
              </w:r>
              <w:proofErr w:type="spellEnd"/>
              <w:r w:rsidR="00D33E76" w:rsidRPr="00D33E76">
                <w:rPr>
                  <w:rStyle w:val="Hyperlink"/>
                  <w:rFonts w:cstheme="minorHAnsi"/>
                  <w:sz w:val="22"/>
                  <w:szCs w:val="22"/>
                </w:rPr>
                <w:t>-ß-</w:t>
              </w:r>
              <w:proofErr w:type="spellStart"/>
              <w:r w:rsidR="00D33E76" w:rsidRPr="00D33E76">
                <w:rPr>
                  <w:rStyle w:val="Hyperlink"/>
                  <w:rFonts w:cstheme="minorHAnsi"/>
                  <w:sz w:val="22"/>
                  <w:szCs w:val="22"/>
                </w:rPr>
                <w:t>cyclodextrin</w:t>
              </w:r>
              <w:proofErr w:type="spellEnd"/>
              <w:r w:rsidR="00D33E76" w:rsidRPr="00D33E76">
                <w:rPr>
                  <w:rStyle w:val="Hyperlink"/>
                  <w:rFonts w:cstheme="minorHAnsi"/>
                  <w:sz w:val="22"/>
                  <w:szCs w:val="22"/>
                </w:rPr>
                <w:t>) in patients with Niemann-Pick disease type C (NPC-1) to assess what the drug does to the body, and what the body does to the drug, and the side effects and benefits experienced b</w:t>
              </w:r>
            </w:hyperlink>
            <w:r w:rsidR="00E200EC">
              <w:rPr>
                <w:rStyle w:val="Hyperlink"/>
                <w:rFonts w:cstheme="minorHAnsi"/>
                <w:sz w:val="22"/>
                <w:szCs w:val="22"/>
              </w:rPr>
              <w:t xml:space="preserve">y patients </w:t>
            </w:r>
            <w:r w:rsidR="00E200EC">
              <w:t>[3</w:t>
            </w:r>
            <w:r w:rsidR="00F05E35">
              <w:t>6</w:t>
            </w:r>
            <w:r w:rsidR="00E200EC">
              <w:t>]</w:t>
            </w:r>
          </w:p>
          <w:p w14:paraId="32FD7055" w14:textId="5EF2B8EC" w:rsidR="00C76B45" w:rsidRPr="00D33E76" w:rsidRDefault="00C76B45" w:rsidP="00F50B86">
            <w:pPr>
              <w:rPr>
                <w:rFonts w:cstheme="minorHAnsi"/>
                <w:sz w:val="22"/>
                <w:szCs w:val="22"/>
              </w:rPr>
            </w:pPr>
          </w:p>
        </w:tc>
        <w:tc>
          <w:tcPr>
            <w:tcW w:w="4536" w:type="dxa"/>
            <w:shd w:val="clear" w:color="auto" w:fill="FFF2CC" w:themeFill="accent4" w:themeFillTint="33"/>
          </w:tcPr>
          <w:p w14:paraId="3FCB2FCA" w14:textId="6509F270" w:rsidR="00D33E76" w:rsidRPr="00D33E76" w:rsidRDefault="00690B26" w:rsidP="00F50B86">
            <w:pPr>
              <w:rPr>
                <w:rFonts w:cstheme="minorHAnsi"/>
                <w:sz w:val="22"/>
                <w:szCs w:val="22"/>
              </w:rPr>
            </w:pPr>
            <w:r>
              <w:rPr>
                <w:rFonts w:cstheme="minorHAnsi"/>
                <w:sz w:val="22"/>
                <w:szCs w:val="22"/>
              </w:rPr>
              <w:t>NPC</w:t>
            </w:r>
            <w:r w:rsidR="00D33E76" w:rsidRPr="00D33E76">
              <w:rPr>
                <w:rFonts w:cstheme="minorHAnsi"/>
                <w:sz w:val="22"/>
                <w:szCs w:val="22"/>
              </w:rPr>
              <w:t xml:space="preserve"> Clinical Severity Score (</w:t>
            </w:r>
            <w:r w:rsidR="00784E7F">
              <w:rPr>
                <w:rFonts w:cstheme="minorHAnsi"/>
                <w:sz w:val="22"/>
                <w:szCs w:val="22"/>
              </w:rPr>
              <w:t>NPCCSS</w:t>
            </w:r>
            <w:r w:rsidR="00D33E76" w:rsidRPr="00A935A3">
              <w:rPr>
                <w:rFonts w:cstheme="minorHAnsi"/>
                <w:sz w:val="22"/>
                <w:szCs w:val="22"/>
              </w:rPr>
              <w:t xml:space="preserve">) </w:t>
            </w:r>
            <w:r w:rsidR="00A935A3" w:rsidRPr="00A935A3">
              <w:rPr>
                <w:rFonts w:cstheme="minorHAnsi"/>
                <w:sz w:val="22"/>
                <w:szCs w:val="22"/>
              </w:rPr>
              <w:t>[18]</w:t>
            </w:r>
          </w:p>
        </w:tc>
        <w:tc>
          <w:tcPr>
            <w:tcW w:w="5387" w:type="dxa"/>
            <w:shd w:val="clear" w:color="auto" w:fill="FFF2CC" w:themeFill="accent4" w:themeFillTint="33"/>
          </w:tcPr>
          <w:p w14:paraId="70F53A16" w14:textId="1915DE6E" w:rsidR="00D33E76" w:rsidRPr="00D33E76" w:rsidRDefault="00690B26" w:rsidP="00F50B86">
            <w:pPr>
              <w:rPr>
                <w:rFonts w:cstheme="minorHAnsi"/>
                <w:sz w:val="22"/>
                <w:szCs w:val="22"/>
              </w:rPr>
            </w:pPr>
            <w:r>
              <w:rPr>
                <w:rFonts w:cstheme="minorHAnsi"/>
                <w:sz w:val="22"/>
                <w:szCs w:val="22"/>
              </w:rPr>
              <w:t>NPC</w:t>
            </w:r>
            <w:r w:rsidR="00D33E76" w:rsidRPr="00D33E76">
              <w:rPr>
                <w:rFonts w:cstheme="minorHAnsi"/>
                <w:sz w:val="22"/>
                <w:szCs w:val="22"/>
              </w:rPr>
              <w:t xml:space="preserve"> Clinical Severity Score (</w:t>
            </w:r>
            <w:r w:rsidR="00784E7F">
              <w:rPr>
                <w:rFonts w:cstheme="minorHAnsi"/>
                <w:sz w:val="22"/>
                <w:szCs w:val="22"/>
              </w:rPr>
              <w:t>NPCCSS</w:t>
            </w:r>
            <w:r w:rsidR="00D33E76" w:rsidRPr="00D33E76">
              <w:rPr>
                <w:rFonts w:cstheme="minorHAnsi"/>
                <w:sz w:val="22"/>
                <w:szCs w:val="22"/>
              </w:rPr>
              <w:t xml:space="preserve">) </w:t>
            </w:r>
            <w:r w:rsidR="00A935A3" w:rsidRPr="00A935A3">
              <w:rPr>
                <w:rFonts w:cstheme="minorHAnsi"/>
                <w:sz w:val="22"/>
                <w:szCs w:val="22"/>
              </w:rPr>
              <w:t>[18]</w:t>
            </w:r>
          </w:p>
        </w:tc>
      </w:tr>
      <w:tr w:rsidR="00D33E76" w:rsidRPr="00D33E76" w14:paraId="17E112EB" w14:textId="77777777" w:rsidTr="00F50B86">
        <w:trPr>
          <w:trHeight w:val="173"/>
        </w:trPr>
        <w:tc>
          <w:tcPr>
            <w:tcW w:w="5817" w:type="dxa"/>
            <w:shd w:val="clear" w:color="auto" w:fill="FFFFFF" w:themeFill="background1"/>
          </w:tcPr>
          <w:p w14:paraId="5CD57F39" w14:textId="77777777" w:rsidR="00D33E76" w:rsidRPr="00D33E76" w:rsidRDefault="00D33E76" w:rsidP="00F50B86">
            <w:pPr>
              <w:rPr>
                <w:rFonts w:cstheme="minorHAnsi"/>
                <w:sz w:val="22"/>
                <w:szCs w:val="22"/>
              </w:rPr>
            </w:pPr>
          </w:p>
          <w:p w14:paraId="6A35445E" w14:textId="592303D4" w:rsidR="00D33E76" w:rsidRDefault="00FE5362" w:rsidP="00F50B86">
            <w:hyperlink r:id="rId15" w:history="1">
              <w:r w:rsidR="00D33E76" w:rsidRPr="00D33E76">
                <w:rPr>
                  <w:rStyle w:val="Hyperlink"/>
                  <w:rFonts w:cstheme="minorHAnsi"/>
                  <w:sz w:val="22"/>
                  <w:szCs w:val="22"/>
                </w:rPr>
                <w:t xml:space="preserve">Open‐Label Study of Long‐Term Safety and Efficacy of Intravenous </w:t>
              </w:r>
              <w:proofErr w:type="spellStart"/>
              <w:r w:rsidR="00D33E76" w:rsidRPr="00D33E76">
                <w:rPr>
                  <w:rStyle w:val="Hyperlink"/>
                  <w:rFonts w:cstheme="minorHAnsi"/>
                  <w:sz w:val="22"/>
                  <w:szCs w:val="22"/>
                </w:rPr>
                <w:t>Trappsol</w:t>
              </w:r>
              <w:proofErr w:type="spellEnd"/>
              <w:r w:rsidR="00D33E76" w:rsidRPr="00D33E76">
                <w:rPr>
                  <w:rStyle w:val="Hyperlink"/>
                  <w:rFonts w:cstheme="minorHAnsi"/>
                  <w:sz w:val="22"/>
                  <w:szCs w:val="22"/>
                </w:rPr>
                <w:t xml:space="preserve"> </w:t>
              </w:r>
              <w:proofErr w:type="spellStart"/>
              <w:r w:rsidR="00D33E76" w:rsidRPr="00D33E76">
                <w:rPr>
                  <w:rStyle w:val="Hyperlink"/>
                  <w:rFonts w:cstheme="minorHAnsi"/>
                  <w:sz w:val="22"/>
                  <w:szCs w:val="22"/>
                </w:rPr>
                <w:t>Cyclo</w:t>
              </w:r>
              <w:proofErr w:type="spellEnd"/>
              <w:r w:rsidR="00D33E76" w:rsidRPr="00D33E76">
                <w:rPr>
                  <w:rStyle w:val="Hyperlink"/>
                  <w:rFonts w:cstheme="minorHAnsi"/>
                  <w:sz w:val="22"/>
                  <w:szCs w:val="22"/>
                </w:rPr>
                <w:t xml:space="preserve"> (HPβCD) in Niemann‐Pick Disease Type</w:t>
              </w:r>
            </w:hyperlink>
            <w:r w:rsidR="00C76B45">
              <w:t xml:space="preserve"> [3</w:t>
            </w:r>
            <w:r w:rsidR="00F05E35">
              <w:t>7</w:t>
            </w:r>
            <w:r w:rsidR="00C76B45">
              <w:t>]</w:t>
            </w:r>
          </w:p>
          <w:p w14:paraId="6195FDDE" w14:textId="1E5CD3C7" w:rsidR="00C76B45" w:rsidRPr="00D33E76" w:rsidRDefault="00C76B45" w:rsidP="00F50B86">
            <w:pPr>
              <w:rPr>
                <w:rFonts w:cstheme="minorHAnsi"/>
                <w:sz w:val="22"/>
                <w:szCs w:val="22"/>
              </w:rPr>
            </w:pPr>
          </w:p>
        </w:tc>
        <w:tc>
          <w:tcPr>
            <w:tcW w:w="4536" w:type="dxa"/>
            <w:shd w:val="clear" w:color="auto" w:fill="FFFFFF" w:themeFill="background1"/>
          </w:tcPr>
          <w:p w14:paraId="52391127" w14:textId="77777777" w:rsidR="00D33E76" w:rsidRPr="00D33E76" w:rsidRDefault="00D33E76" w:rsidP="00F50B86">
            <w:pPr>
              <w:rPr>
                <w:rFonts w:cstheme="minorHAnsi"/>
                <w:sz w:val="22"/>
                <w:szCs w:val="22"/>
              </w:rPr>
            </w:pPr>
          </w:p>
        </w:tc>
        <w:tc>
          <w:tcPr>
            <w:tcW w:w="5387" w:type="dxa"/>
            <w:shd w:val="clear" w:color="auto" w:fill="FFFFFF" w:themeFill="background1"/>
          </w:tcPr>
          <w:p w14:paraId="7253E765" w14:textId="41F6E48B" w:rsidR="00D33E76" w:rsidRPr="00D33E76" w:rsidRDefault="00690B26" w:rsidP="00F50B86">
            <w:pPr>
              <w:rPr>
                <w:rFonts w:cstheme="minorHAnsi"/>
                <w:sz w:val="22"/>
                <w:szCs w:val="22"/>
              </w:rPr>
            </w:pPr>
            <w:r>
              <w:rPr>
                <w:rFonts w:cstheme="minorHAnsi"/>
                <w:sz w:val="22"/>
                <w:szCs w:val="22"/>
              </w:rPr>
              <w:t>NPC</w:t>
            </w:r>
            <w:r w:rsidR="00D33E76" w:rsidRPr="00D33E76">
              <w:rPr>
                <w:rFonts w:cstheme="minorHAnsi"/>
                <w:sz w:val="22"/>
                <w:szCs w:val="22"/>
              </w:rPr>
              <w:t xml:space="preserve"> Clinical Severity Score (</w:t>
            </w:r>
            <w:r w:rsidR="00784E7F">
              <w:rPr>
                <w:rFonts w:cstheme="minorHAnsi"/>
                <w:sz w:val="22"/>
                <w:szCs w:val="22"/>
              </w:rPr>
              <w:t>NPCCSS</w:t>
            </w:r>
            <w:r w:rsidR="00D33E76" w:rsidRPr="00D33E76">
              <w:rPr>
                <w:rFonts w:cstheme="minorHAnsi"/>
                <w:sz w:val="22"/>
                <w:szCs w:val="22"/>
              </w:rPr>
              <w:t xml:space="preserve">) </w:t>
            </w:r>
            <w:r w:rsidR="00A935A3" w:rsidRPr="00A935A3">
              <w:rPr>
                <w:rFonts w:cstheme="minorHAnsi"/>
                <w:sz w:val="22"/>
                <w:szCs w:val="22"/>
              </w:rPr>
              <w:t>[18]</w:t>
            </w:r>
          </w:p>
        </w:tc>
      </w:tr>
      <w:tr w:rsidR="001F1627" w:rsidRPr="00D33E76" w14:paraId="62AA2D99" w14:textId="77777777" w:rsidTr="00F50B86">
        <w:trPr>
          <w:trHeight w:val="65"/>
        </w:trPr>
        <w:tc>
          <w:tcPr>
            <w:tcW w:w="5817" w:type="dxa"/>
            <w:shd w:val="clear" w:color="auto" w:fill="FFF2CC" w:themeFill="accent4" w:themeFillTint="33"/>
          </w:tcPr>
          <w:p w14:paraId="0AFC02D9" w14:textId="77777777" w:rsidR="005205BE" w:rsidRDefault="005205BE" w:rsidP="00F50B86">
            <w:pPr>
              <w:rPr>
                <w:rFonts w:cstheme="minorHAnsi"/>
                <w:sz w:val="22"/>
                <w:szCs w:val="22"/>
              </w:rPr>
            </w:pPr>
          </w:p>
          <w:p w14:paraId="5F1BD09E" w14:textId="58EFDF7C" w:rsidR="001F1627" w:rsidRDefault="00FE5362" w:rsidP="00F50B86">
            <w:pPr>
              <w:rPr>
                <w:rFonts w:cstheme="minorHAnsi"/>
                <w:sz w:val="22"/>
                <w:szCs w:val="22"/>
              </w:rPr>
            </w:pPr>
            <w:hyperlink r:id="rId16" w:history="1">
              <w:r w:rsidR="005205BE" w:rsidRPr="00B51572">
                <w:rPr>
                  <w:rStyle w:val="Hyperlink"/>
                  <w:rFonts w:cstheme="minorHAnsi"/>
                  <w:sz w:val="22"/>
                  <w:szCs w:val="22"/>
                </w:rPr>
                <w:t>Hydroxypropyl Beta Cyclodextrin for Niemann-Pick Type C1 Disease</w:t>
              </w:r>
            </w:hyperlink>
            <w:r w:rsidR="00A30B2B">
              <w:rPr>
                <w:rFonts w:cstheme="minorHAnsi"/>
                <w:sz w:val="22"/>
                <w:szCs w:val="22"/>
              </w:rPr>
              <w:t xml:space="preserve"> [</w:t>
            </w:r>
            <w:r w:rsidR="00A240BC">
              <w:rPr>
                <w:rFonts w:cstheme="minorHAnsi"/>
                <w:sz w:val="22"/>
                <w:szCs w:val="22"/>
              </w:rPr>
              <w:t>38]</w:t>
            </w:r>
          </w:p>
          <w:p w14:paraId="4B98E7FF" w14:textId="010605DE" w:rsidR="005205BE" w:rsidRPr="00D33E76" w:rsidRDefault="005205BE" w:rsidP="00F50B86">
            <w:pPr>
              <w:rPr>
                <w:rFonts w:cstheme="minorHAnsi"/>
                <w:sz w:val="22"/>
                <w:szCs w:val="22"/>
              </w:rPr>
            </w:pPr>
          </w:p>
        </w:tc>
        <w:tc>
          <w:tcPr>
            <w:tcW w:w="4536" w:type="dxa"/>
            <w:shd w:val="clear" w:color="auto" w:fill="FFF2CC" w:themeFill="accent4" w:themeFillTint="33"/>
          </w:tcPr>
          <w:p w14:paraId="4408F8C7" w14:textId="36487713" w:rsidR="001F1627" w:rsidRDefault="001F1627" w:rsidP="00F50B86">
            <w:pPr>
              <w:rPr>
                <w:rFonts w:cstheme="minorHAnsi"/>
                <w:sz w:val="22"/>
                <w:szCs w:val="22"/>
              </w:rPr>
            </w:pPr>
          </w:p>
        </w:tc>
        <w:tc>
          <w:tcPr>
            <w:tcW w:w="5387" w:type="dxa"/>
            <w:shd w:val="clear" w:color="auto" w:fill="FFF2CC" w:themeFill="accent4" w:themeFillTint="33"/>
          </w:tcPr>
          <w:p w14:paraId="273CCDA6" w14:textId="33B4BBBA" w:rsidR="001F1627" w:rsidRDefault="0011403A" w:rsidP="00F50B86">
            <w:pPr>
              <w:rPr>
                <w:rFonts w:cstheme="minorHAnsi"/>
                <w:sz w:val="22"/>
                <w:szCs w:val="22"/>
              </w:rPr>
            </w:pPr>
            <w:r>
              <w:rPr>
                <w:rFonts w:cstheme="minorHAnsi"/>
                <w:sz w:val="22"/>
                <w:szCs w:val="22"/>
              </w:rPr>
              <w:t>NPC</w:t>
            </w:r>
            <w:r w:rsidRPr="00D33E76">
              <w:rPr>
                <w:rFonts w:cstheme="minorHAnsi"/>
                <w:sz w:val="22"/>
                <w:szCs w:val="22"/>
              </w:rPr>
              <w:t xml:space="preserve"> Clinical Severity Score (</w:t>
            </w:r>
            <w:r>
              <w:rPr>
                <w:rFonts w:cstheme="minorHAnsi"/>
                <w:sz w:val="22"/>
                <w:szCs w:val="22"/>
              </w:rPr>
              <w:t>NPCCSS</w:t>
            </w:r>
            <w:r w:rsidRPr="00D33E76">
              <w:rPr>
                <w:rFonts w:cstheme="minorHAnsi"/>
                <w:sz w:val="22"/>
                <w:szCs w:val="22"/>
              </w:rPr>
              <w:t xml:space="preserve">) </w:t>
            </w:r>
            <w:r w:rsidRPr="00A935A3">
              <w:rPr>
                <w:rFonts w:cstheme="minorHAnsi"/>
                <w:sz w:val="22"/>
                <w:szCs w:val="22"/>
              </w:rPr>
              <w:t>[18]</w:t>
            </w:r>
          </w:p>
        </w:tc>
      </w:tr>
      <w:tr w:rsidR="00D33E76" w:rsidRPr="00D33E76" w14:paraId="4591ADA9" w14:textId="77777777" w:rsidTr="00F50B86">
        <w:trPr>
          <w:trHeight w:val="65"/>
        </w:trPr>
        <w:tc>
          <w:tcPr>
            <w:tcW w:w="5817" w:type="dxa"/>
            <w:shd w:val="clear" w:color="auto" w:fill="FFF2CC" w:themeFill="accent4" w:themeFillTint="33"/>
          </w:tcPr>
          <w:p w14:paraId="309F7359" w14:textId="77777777" w:rsidR="00D33E76" w:rsidRPr="00D33E76" w:rsidRDefault="00D33E76" w:rsidP="00F50B86">
            <w:pPr>
              <w:rPr>
                <w:rFonts w:cstheme="minorHAnsi"/>
                <w:sz w:val="22"/>
                <w:szCs w:val="22"/>
              </w:rPr>
            </w:pPr>
          </w:p>
          <w:p w14:paraId="09B23A71" w14:textId="2F56C5E4" w:rsidR="00D33E76" w:rsidRPr="00D33E76" w:rsidRDefault="00FE5362" w:rsidP="00F50B86">
            <w:pPr>
              <w:rPr>
                <w:rFonts w:cstheme="minorHAnsi"/>
                <w:sz w:val="22"/>
                <w:szCs w:val="22"/>
              </w:rPr>
            </w:pPr>
            <w:hyperlink r:id="rId17" w:history="1">
              <w:r w:rsidR="00D33E76" w:rsidRPr="00D33E76">
                <w:rPr>
                  <w:rStyle w:val="Hyperlink"/>
                  <w:rFonts w:cstheme="minorHAnsi"/>
                  <w:sz w:val="22"/>
                  <w:szCs w:val="22"/>
                </w:rPr>
                <w:t>VTS-270 to Treat Niemann-Pick Type C1 (NPC1) Disease</w:t>
              </w:r>
            </w:hyperlink>
            <w:r w:rsidR="00837C2D">
              <w:rPr>
                <w:rFonts w:cstheme="minorHAnsi"/>
                <w:sz w:val="22"/>
                <w:szCs w:val="22"/>
              </w:rPr>
              <w:t xml:space="preserve"> [3</w:t>
            </w:r>
            <w:r w:rsidR="00D765F1">
              <w:rPr>
                <w:rFonts w:cstheme="minorHAnsi"/>
                <w:sz w:val="22"/>
                <w:szCs w:val="22"/>
              </w:rPr>
              <w:t>9</w:t>
            </w:r>
            <w:r w:rsidR="00837C2D">
              <w:rPr>
                <w:rFonts w:cstheme="minorHAnsi"/>
                <w:sz w:val="22"/>
                <w:szCs w:val="22"/>
              </w:rPr>
              <w:t xml:space="preserve">] </w:t>
            </w:r>
          </w:p>
        </w:tc>
        <w:tc>
          <w:tcPr>
            <w:tcW w:w="4536" w:type="dxa"/>
            <w:shd w:val="clear" w:color="auto" w:fill="FFF2CC" w:themeFill="accent4" w:themeFillTint="33"/>
          </w:tcPr>
          <w:p w14:paraId="1578C7DC" w14:textId="78CF03E3" w:rsidR="00D33E76" w:rsidRPr="00D33E76" w:rsidRDefault="00733812" w:rsidP="00F50B86">
            <w:pPr>
              <w:rPr>
                <w:rFonts w:cstheme="minorHAnsi"/>
                <w:sz w:val="22"/>
                <w:szCs w:val="22"/>
              </w:rPr>
            </w:pPr>
            <w:r>
              <w:rPr>
                <w:rFonts w:cstheme="minorHAnsi"/>
                <w:sz w:val="22"/>
                <w:szCs w:val="22"/>
              </w:rPr>
              <w:t>4-Domain NPCCSS (</w:t>
            </w:r>
            <w:r w:rsidR="00D33E76" w:rsidRPr="00D33E76">
              <w:rPr>
                <w:rFonts w:cstheme="minorHAnsi"/>
                <w:sz w:val="22"/>
                <w:szCs w:val="22"/>
              </w:rPr>
              <w:t>ambulation, cognition, fine motor, and swallowing</w:t>
            </w:r>
            <w:r>
              <w:rPr>
                <w:rFonts w:cstheme="minorHAnsi"/>
                <w:sz w:val="22"/>
                <w:szCs w:val="22"/>
              </w:rPr>
              <w:t>)</w:t>
            </w:r>
          </w:p>
        </w:tc>
        <w:tc>
          <w:tcPr>
            <w:tcW w:w="5387" w:type="dxa"/>
            <w:shd w:val="clear" w:color="auto" w:fill="FFF2CC" w:themeFill="accent4" w:themeFillTint="33"/>
          </w:tcPr>
          <w:p w14:paraId="55980F59" w14:textId="578BFD3D" w:rsidR="00D33E76" w:rsidRPr="00D33E76" w:rsidRDefault="00196815" w:rsidP="00F50B86">
            <w:pPr>
              <w:rPr>
                <w:rFonts w:cstheme="minorHAnsi"/>
                <w:sz w:val="22"/>
                <w:szCs w:val="22"/>
              </w:rPr>
            </w:pPr>
            <w:r>
              <w:rPr>
                <w:rFonts w:cstheme="minorHAnsi"/>
                <w:sz w:val="22"/>
                <w:szCs w:val="22"/>
              </w:rPr>
              <w:t>NPC</w:t>
            </w:r>
            <w:r w:rsidRPr="00D33E76">
              <w:rPr>
                <w:rFonts w:cstheme="minorHAnsi"/>
                <w:sz w:val="22"/>
                <w:szCs w:val="22"/>
              </w:rPr>
              <w:t xml:space="preserve"> Clinical Severity Score (</w:t>
            </w:r>
            <w:r>
              <w:rPr>
                <w:rFonts w:cstheme="minorHAnsi"/>
                <w:sz w:val="22"/>
                <w:szCs w:val="22"/>
              </w:rPr>
              <w:t>NPCCSS</w:t>
            </w:r>
            <w:r w:rsidRPr="00D33E76">
              <w:rPr>
                <w:rFonts w:cstheme="minorHAnsi"/>
                <w:sz w:val="22"/>
                <w:szCs w:val="22"/>
              </w:rPr>
              <w:t xml:space="preserve">) </w:t>
            </w:r>
            <w:r w:rsidRPr="00A935A3">
              <w:rPr>
                <w:rFonts w:cstheme="minorHAnsi"/>
                <w:sz w:val="22"/>
                <w:szCs w:val="22"/>
              </w:rPr>
              <w:t>[18]</w:t>
            </w:r>
          </w:p>
        </w:tc>
      </w:tr>
      <w:tr w:rsidR="00D33E76" w:rsidRPr="00D33E76" w14:paraId="6690B7DA" w14:textId="77777777" w:rsidTr="00F50B86">
        <w:trPr>
          <w:trHeight w:val="65"/>
        </w:trPr>
        <w:tc>
          <w:tcPr>
            <w:tcW w:w="5817" w:type="dxa"/>
            <w:shd w:val="clear" w:color="auto" w:fill="FFFFFF" w:themeFill="background1"/>
          </w:tcPr>
          <w:p w14:paraId="00C00E8E" w14:textId="77777777" w:rsidR="00D33E76" w:rsidRPr="00D33E76" w:rsidRDefault="00D33E76" w:rsidP="00F50B86">
            <w:pPr>
              <w:rPr>
                <w:rFonts w:cstheme="minorHAnsi"/>
                <w:sz w:val="22"/>
                <w:szCs w:val="22"/>
              </w:rPr>
            </w:pPr>
          </w:p>
          <w:p w14:paraId="4AA498FF" w14:textId="61C729F9" w:rsidR="00D33E76" w:rsidRDefault="00FE5362" w:rsidP="00F50B86">
            <w:hyperlink r:id="rId18" w:history="1">
              <w:r w:rsidR="00D33E76" w:rsidRPr="00D33E76">
                <w:rPr>
                  <w:rStyle w:val="Hyperlink"/>
                  <w:rFonts w:cstheme="minorHAnsi"/>
                  <w:sz w:val="22"/>
                  <w:szCs w:val="22"/>
                </w:rPr>
                <w:t>Study of Lithium Carbonate to Treat Niemann-Pick Type C1 Disease</w:t>
              </w:r>
            </w:hyperlink>
            <w:r w:rsidR="00837C2D">
              <w:rPr>
                <w:rStyle w:val="Hyperlink"/>
                <w:rFonts w:cstheme="minorHAnsi"/>
                <w:sz w:val="22"/>
                <w:szCs w:val="22"/>
              </w:rPr>
              <w:t xml:space="preserve"> </w:t>
            </w:r>
            <w:r w:rsidR="00837C2D" w:rsidRPr="00837C2D">
              <w:t>[</w:t>
            </w:r>
            <w:r w:rsidR="00D765F1">
              <w:t>40</w:t>
            </w:r>
            <w:r w:rsidR="00837C2D" w:rsidRPr="00837C2D">
              <w:t>]</w:t>
            </w:r>
          </w:p>
          <w:p w14:paraId="62FB0F1D" w14:textId="62E01C25" w:rsidR="00837C2D" w:rsidRPr="00D33E76" w:rsidRDefault="00837C2D" w:rsidP="00F50B86">
            <w:pPr>
              <w:rPr>
                <w:rFonts w:cstheme="minorHAnsi"/>
                <w:sz w:val="22"/>
                <w:szCs w:val="22"/>
              </w:rPr>
            </w:pPr>
          </w:p>
        </w:tc>
        <w:tc>
          <w:tcPr>
            <w:tcW w:w="4536" w:type="dxa"/>
            <w:shd w:val="clear" w:color="auto" w:fill="FFFFFF" w:themeFill="background1"/>
          </w:tcPr>
          <w:p w14:paraId="547FA7D9" w14:textId="10C98F8A" w:rsidR="00D33E76" w:rsidRPr="00D33E76" w:rsidRDefault="00690B26" w:rsidP="00F50B86">
            <w:pPr>
              <w:rPr>
                <w:rFonts w:cstheme="minorHAnsi"/>
                <w:sz w:val="22"/>
                <w:szCs w:val="22"/>
              </w:rPr>
            </w:pPr>
            <w:r>
              <w:rPr>
                <w:rFonts w:cstheme="minorHAnsi"/>
                <w:sz w:val="22"/>
                <w:szCs w:val="22"/>
              </w:rPr>
              <w:t>NPC</w:t>
            </w:r>
            <w:r w:rsidR="00D33E76" w:rsidRPr="00D33E76">
              <w:rPr>
                <w:rFonts w:cstheme="minorHAnsi"/>
                <w:sz w:val="22"/>
                <w:szCs w:val="22"/>
              </w:rPr>
              <w:t xml:space="preserve"> Clinical Severity Score (</w:t>
            </w:r>
            <w:r w:rsidR="00784E7F">
              <w:rPr>
                <w:rFonts w:cstheme="minorHAnsi"/>
                <w:sz w:val="22"/>
                <w:szCs w:val="22"/>
              </w:rPr>
              <w:t>NPCCSS</w:t>
            </w:r>
            <w:r w:rsidR="00D33E76" w:rsidRPr="00D33E76">
              <w:rPr>
                <w:rFonts w:cstheme="minorHAnsi"/>
                <w:sz w:val="22"/>
                <w:szCs w:val="22"/>
              </w:rPr>
              <w:t xml:space="preserve">) </w:t>
            </w:r>
            <w:r w:rsidR="00A935A3" w:rsidRPr="00A935A3">
              <w:rPr>
                <w:rFonts w:cstheme="minorHAnsi"/>
                <w:sz w:val="22"/>
                <w:szCs w:val="22"/>
              </w:rPr>
              <w:t>[18]</w:t>
            </w:r>
          </w:p>
        </w:tc>
        <w:tc>
          <w:tcPr>
            <w:tcW w:w="5387" w:type="dxa"/>
            <w:shd w:val="clear" w:color="auto" w:fill="FFFFFF" w:themeFill="background1"/>
          </w:tcPr>
          <w:p w14:paraId="40570CBE" w14:textId="77777777" w:rsidR="00D33E76" w:rsidRPr="00D33E76" w:rsidRDefault="00D33E76" w:rsidP="00F50B86">
            <w:pPr>
              <w:rPr>
                <w:rFonts w:cstheme="minorHAnsi"/>
                <w:sz w:val="22"/>
                <w:szCs w:val="22"/>
              </w:rPr>
            </w:pPr>
          </w:p>
        </w:tc>
      </w:tr>
      <w:tr w:rsidR="00D33E76" w:rsidRPr="00D33E76" w14:paraId="6492BE5C" w14:textId="77777777" w:rsidTr="00F50B86">
        <w:trPr>
          <w:trHeight w:val="65"/>
        </w:trPr>
        <w:tc>
          <w:tcPr>
            <w:tcW w:w="5817" w:type="dxa"/>
            <w:shd w:val="clear" w:color="auto" w:fill="FFF2CC" w:themeFill="accent4" w:themeFillTint="33"/>
          </w:tcPr>
          <w:p w14:paraId="58EA1670" w14:textId="77777777" w:rsidR="00D33E76" w:rsidRPr="00D33E76" w:rsidRDefault="00D33E76" w:rsidP="00F50B86">
            <w:pPr>
              <w:rPr>
                <w:rFonts w:cstheme="minorHAnsi"/>
                <w:sz w:val="22"/>
                <w:szCs w:val="22"/>
              </w:rPr>
            </w:pPr>
          </w:p>
          <w:p w14:paraId="355A9989" w14:textId="30A226E6" w:rsidR="00D33E76" w:rsidRDefault="00FE5362" w:rsidP="00F50B86">
            <w:pPr>
              <w:rPr>
                <w:rFonts w:cstheme="minorHAnsi"/>
                <w:sz w:val="22"/>
                <w:szCs w:val="22"/>
              </w:rPr>
            </w:pPr>
            <w:hyperlink r:id="rId19" w:history="1">
              <w:r w:rsidR="00D33E76" w:rsidRPr="00D33E76">
                <w:rPr>
                  <w:rStyle w:val="Hyperlink"/>
                  <w:rFonts w:cstheme="minorHAnsi"/>
                  <w:sz w:val="22"/>
                  <w:szCs w:val="22"/>
                </w:rPr>
                <w:t>Open-label Study of VTS-270 in Participants With Neurologic Manifestations of Niemann-Pick Type C1</w:t>
              </w:r>
            </w:hyperlink>
            <w:r w:rsidR="00777CAE">
              <w:rPr>
                <w:rFonts w:cstheme="minorHAnsi"/>
                <w:sz w:val="22"/>
                <w:szCs w:val="22"/>
              </w:rPr>
              <w:t xml:space="preserve"> [</w:t>
            </w:r>
            <w:r w:rsidR="00F05E35">
              <w:rPr>
                <w:rFonts w:cstheme="minorHAnsi"/>
                <w:sz w:val="22"/>
                <w:szCs w:val="22"/>
              </w:rPr>
              <w:t>4</w:t>
            </w:r>
            <w:r w:rsidR="00D765F1">
              <w:rPr>
                <w:rFonts w:cstheme="minorHAnsi"/>
                <w:sz w:val="22"/>
                <w:szCs w:val="22"/>
              </w:rPr>
              <w:t>1</w:t>
            </w:r>
            <w:r w:rsidR="00777CAE">
              <w:rPr>
                <w:rFonts w:cstheme="minorHAnsi"/>
                <w:sz w:val="22"/>
                <w:szCs w:val="22"/>
              </w:rPr>
              <w:t>]</w:t>
            </w:r>
          </w:p>
          <w:p w14:paraId="6789E63F" w14:textId="1FAFC663" w:rsidR="00777CAE" w:rsidRPr="00D33E76" w:rsidRDefault="00777CAE" w:rsidP="00F50B86">
            <w:pPr>
              <w:rPr>
                <w:rFonts w:cstheme="minorHAnsi"/>
                <w:sz w:val="22"/>
                <w:szCs w:val="22"/>
              </w:rPr>
            </w:pPr>
          </w:p>
        </w:tc>
        <w:tc>
          <w:tcPr>
            <w:tcW w:w="4536" w:type="dxa"/>
            <w:shd w:val="clear" w:color="auto" w:fill="FFF2CC" w:themeFill="accent4" w:themeFillTint="33"/>
          </w:tcPr>
          <w:p w14:paraId="3052F068" w14:textId="514B93BE" w:rsidR="00D33E76" w:rsidRPr="00D33E76" w:rsidRDefault="00D33E76" w:rsidP="00F50B86">
            <w:pPr>
              <w:rPr>
                <w:rFonts w:cstheme="minorHAnsi"/>
                <w:sz w:val="22"/>
                <w:szCs w:val="22"/>
              </w:rPr>
            </w:pPr>
          </w:p>
        </w:tc>
        <w:tc>
          <w:tcPr>
            <w:tcW w:w="5387" w:type="dxa"/>
            <w:shd w:val="clear" w:color="auto" w:fill="FFF2CC" w:themeFill="accent4" w:themeFillTint="33"/>
          </w:tcPr>
          <w:p w14:paraId="78DD805F" w14:textId="3CEE2BB4" w:rsidR="00D33E76" w:rsidRPr="00D33E76" w:rsidRDefault="000568D9" w:rsidP="00F50B86">
            <w:pPr>
              <w:rPr>
                <w:rFonts w:cstheme="minorHAnsi"/>
                <w:sz w:val="22"/>
                <w:szCs w:val="22"/>
              </w:rPr>
            </w:pPr>
            <w:r>
              <w:rPr>
                <w:rFonts w:cstheme="minorHAnsi"/>
                <w:sz w:val="22"/>
                <w:szCs w:val="22"/>
              </w:rPr>
              <w:t>NPC</w:t>
            </w:r>
            <w:r w:rsidRPr="00D33E76">
              <w:rPr>
                <w:rFonts w:cstheme="minorHAnsi"/>
                <w:sz w:val="22"/>
                <w:szCs w:val="22"/>
              </w:rPr>
              <w:t xml:space="preserve"> Clinical Severity Score (</w:t>
            </w:r>
            <w:r>
              <w:rPr>
                <w:rFonts w:cstheme="minorHAnsi"/>
                <w:sz w:val="22"/>
                <w:szCs w:val="22"/>
              </w:rPr>
              <w:t>NPCCSS</w:t>
            </w:r>
            <w:r w:rsidRPr="00D33E76">
              <w:rPr>
                <w:rFonts w:cstheme="minorHAnsi"/>
                <w:sz w:val="22"/>
                <w:szCs w:val="22"/>
              </w:rPr>
              <w:t xml:space="preserve">) </w:t>
            </w:r>
            <w:r w:rsidRPr="00A935A3">
              <w:rPr>
                <w:rFonts w:cstheme="minorHAnsi"/>
                <w:sz w:val="22"/>
                <w:szCs w:val="22"/>
              </w:rPr>
              <w:t>[18]</w:t>
            </w:r>
          </w:p>
        </w:tc>
      </w:tr>
      <w:tr w:rsidR="00D33E76" w:rsidRPr="00D33E76" w14:paraId="61045676" w14:textId="77777777" w:rsidTr="00F50B86">
        <w:trPr>
          <w:trHeight w:val="65"/>
        </w:trPr>
        <w:tc>
          <w:tcPr>
            <w:tcW w:w="5817" w:type="dxa"/>
            <w:shd w:val="clear" w:color="auto" w:fill="FFFFFF" w:themeFill="background1"/>
          </w:tcPr>
          <w:p w14:paraId="6C9DC761" w14:textId="77777777" w:rsidR="00D33E76" w:rsidRPr="00D33E76" w:rsidRDefault="00D33E76" w:rsidP="00F50B86">
            <w:pPr>
              <w:rPr>
                <w:rFonts w:cstheme="minorHAnsi"/>
                <w:sz w:val="22"/>
                <w:szCs w:val="22"/>
              </w:rPr>
            </w:pPr>
          </w:p>
          <w:p w14:paraId="5C928EB8" w14:textId="22A31FF9" w:rsidR="00D33E76" w:rsidRDefault="00FE5362" w:rsidP="00F50B86">
            <w:pPr>
              <w:rPr>
                <w:rFonts w:cstheme="minorHAnsi"/>
                <w:sz w:val="22"/>
                <w:szCs w:val="22"/>
              </w:rPr>
            </w:pPr>
            <w:hyperlink r:id="rId20" w:history="1">
              <w:r w:rsidR="00D33E76" w:rsidRPr="00D33E76">
                <w:rPr>
                  <w:rStyle w:val="Hyperlink"/>
                  <w:rFonts w:cstheme="minorHAnsi"/>
                  <w:sz w:val="22"/>
                  <w:szCs w:val="22"/>
                </w:rPr>
                <w:t xml:space="preserve">Safety and Efficacy of </w:t>
              </w:r>
              <w:proofErr w:type="spellStart"/>
              <w:r w:rsidR="00D33E76" w:rsidRPr="00D33E76">
                <w:rPr>
                  <w:rStyle w:val="Hyperlink"/>
                  <w:rFonts w:cstheme="minorHAnsi"/>
                  <w:sz w:val="22"/>
                  <w:szCs w:val="22"/>
                </w:rPr>
                <w:t>Miglustat</w:t>
              </w:r>
              <w:proofErr w:type="spellEnd"/>
              <w:r w:rsidR="00D33E76" w:rsidRPr="00D33E76">
                <w:rPr>
                  <w:rStyle w:val="Hyperlink"/>
                  <w:rFonts w:cstheme="minorHAnsi"/>
                  <w:sz w:val="22"/>
                  <w:szCs w:val="22"/>
                </w:rPr>
                <w:t xml:space="preserve"> in Chinese NPC Patients</w:t>
              </w:r>
            </w:hyperlink>
            <w:r w:rsidR="00777CAE">
              <w:rPr>
                <w:rFonts w:cstheme="minorHAnsi"/>
                <w:sz w:val="22"/>
                <w:szCs w:val="22"/>
              </w:rPr>
              <w:t xml:space="preserve"> [</w:t>
            </w:r>
            <w:r w:rsidR="00F05E35">
              <w:rPr>
                <w:rFonts w:cstheme="minorHAnsi"/>
                <w:sz w:val="22"/>
                <w:szCs w:val="22"/>
              </w:rPr>
              <w:t>4</w:t>
            </w:r>
            <w:r w:rsidR="00D765F1">
              <w:rPr>
                <w:rFonts w:cstheme="minorHAnsi"/>
                <w:sz w:val="22"/>
                <w:szCs w:val="22"/>
              </w:rPr>
              <w:t>2</w:t>
            </w:r>
            <w:r w:rsidR="00777CAE">
              <w:rPr>
                <w:rFonts w:cstheme="minorHAnsi"/>
                <w:sz w:val="22"/>
                <w:szCs w:val="22"/>
              </w:rPr>
              <w:t>]</w:t>
            </w:r>
          </w:p>
          <w:p w14:paraId="46243187" w14:textId="0E513608" w:rsidR="00777CAE" w:rsidRPr="00D33E76" w:rsidRDefault="00777CAE" w:rsidP="00F50B86">
            <w:pPr>
              <w:rPr>
                <w:rFonts w:cstheme="minorHAnsi"/>
                <w:sz w:val="22"/>
                <w:szCs w:val="22"/>
              </w:rPr>
            </w:pPr>
          </w:p>
        </w:tc>
        <w:tc>
          <w:tcPr>
            <w:tcW w:w="4536" w:type="dxa"/>
            <w:shd w:val="clear" w:color="auto" w:fill="FFFFFF" w:themeFill="background1"/>
          </w:tcPr>
          <w:p w14:paraId="758CD37E" w14:textId="77777777" w:rsidR="00D33E76" w:rsidRPr="00D33E76" w:rsidRDefault="00D33E76" w:rsidP="00F50B86">
            <w:pPr>
              <w:rPr>
                <w:rFonts w:cstheme="minorHAnsi"/>
                <w:sz w:val="22"/>
                <w:szCs w:val="22"/>
              </w:rPr>
            </w:pPr>
          </w:p>
        </w:tc>
        <w:tc>
          <w:tcPr>
            <w:tcW w:w="5387" w:type="dxa"/>
            <w:shd w:val="clear" w:color="auto" w:fill="FFFFFF" w:themeFill="background1"/>
          </w:tcPr>
          <w:p w14:paraId="369A859B" w14:textId="4D9A3560" w:rsidR="00D33E76" w:rsidRPr="00D33E76" w:rsidRDefault="00D33E76" w:rsidP="00F50B86">
            <w:pPr>
              <w:rPr>
                <w:rFonts w:cstheme="minorHAnsi"/>
                <w:sz w:val="22"/>
                <w:szCs w:val="22"/>
              </w:rPr>
            </w:pPr>
            <w:r w:rsidRPr="00D33E76">
              <w:rPr>
                <w:rFonts w:cstheme="minorHAnsi"/>
                <w:sz w:val="22"/>
                <w:szCs w:val="22"/>
              </w:rPr>
              <w:t>Disease-specific Disability Scale</w:t>
            </w:r>
            <w:r w:rsidRPr="00D33E76">
              <w:rPr>
                <w:rFonts w:cstheme="minorHAnsi"/>
                <w:b/>
                <w:bCs/>
                <w:sz w:val="22"/>
                <w:szCs w:val="22"/>
              </w:rPr>
              <w:t xml:space="preserve"> </w:t>
            </w:r>
            <w:r w:rsidR="00881261" w:rsidRPr="00A935A3">
              <w:rPr>
                <w:rFonts w:cstheme="minorHAnsi"/>
                <w:sz w:val="22"/>
                <w:szCs w:val="22"/>
              </w:rPr>
              <w:t>[1</w:t>
            </w:r>
            <w:r w:rsidR="00881261">
              <w:rPr>
                <w:rFonts w:cstheme="minorHAnsi"/>
                <w:sz w:val="22"/>
                <w:szCs w:val="22"/>
              </w:rPr>
              <w:t>9]</w:t>
            </w:r>
          </w:p>
        </w:tc>
      </w:tr>
      <w:tr w:rsidR="00D33E76" w:rsidRPr="00D33E76" w14:paraId="6223A5F6" w14:textId="77777777" w:rsidTr="00F50B86">
        <w:trPr>
          <w:trHeight w:val="65"/>
        </w:trPr>
        <w:tc>
          <w:tcPr>
            <w:tcW w:w="5817" w:type="dxa"/>
            <w:shd w:val="clear" w:color="auto" w:fill="FFF2CC" w:themeFill="accent4" w:themeFillTint="33"/>
          </w:tcPr>
          <w:p w14:paraId="7E75CDD2" w14:textId="77777777" w:rsidR="00D33E76" w:rsidRPr="00D33E76" w:rsidRDefault="00D33E76" w:rsidP="00F50B86">
            <w:pPr>
              <w:rPr>
                <w:rFonts w:cstheme="minorHAnsi"/>
                <w:sz w:val="22"/>
                <w:szCs w:val="22"/>
              </w:rPr>
            </w:pPr>
          </w:p>
          <w:p w14:paraId="4A2D7DAD" w14:textId="670E5A6A" w:rsidR="00D33E76" w:rsidRPr="00D33E76" w:rsidRDefault="00FE5362" w:rsidP="00F50B86">
            <w:pPr>
              <w:rPr>
                <w:rFonts w:cstheme="minorHAnsi"/>
                <w:sz w:val="22"/>
                <w:szCs w:val="22"/>
              </w:rPr>
            </w:pPr>
            <w:hyperlink r:id="rId21" w:history="1">
              <w:proofErr w:type="spellStart"/>
              <w:r w:rsidR="00D33E76" w:rsidRPr="00D33E76">
                <w:rPr>
                  <w:rStyle w:val="Hyperlink"/>
                  <w:rFonts w:cstheme="minorHAnsi"/>
                  <w:sz w:val="22"/>
                  <w:szCs w:val="22"/>
                </w:rPr>
                <w:t>Adrabetadex</w:t>
              </w:r>
              <w:proofErr w:type="spellEnd"/>
              <w:r w:rsidR="00D33E76" w:rsidRPr="00D33E76">
                <w:rPr>
                  <w:rStyle w:val="Hyperlink"/>
                  <w:rFonts w:cstheme="minorHAnsi"/>
                  <w:sz w:val="22"/>
                  <w:szCs w:val="22"/>
                </w:rPr>
                <w:t xml:space="preserve"> for Patients With Nerve Symptoms of Niemann-Pick Type C Disease (NPC)</w:t>
              </w:r>
            </w:hyperlink>
            <w:r w:rsidR="00777CAE">
              <w:rPr>
                <w:rFonts w:cstheme="minorHAnsi"/>
                <w:sz w:val="22"/>
                <w:szCs w:val="22"/>
              </w:rPr>
              <w:t xml:space="preserve"> [4</w:t>
            </w:r>
            <w:r w:rsidR="00D765F1">
              <w:rPr>
                <w:rFonts w:cstheme="minorHAnsi"/>
                <w:sz w:val="22"/>
                <w:szCs w:val="22"/>
              </w:rPr>
              <w:t>3</w:t>
            </w:r>
            <w:r w:rsidR="00777CAE">
              <w:rPr>
                <w:rFonts w:cstheme="minorHAnsi"/>
                <w:sz w:val="22"/>
                <w:szCs w:val="22"/>
              </w:rPr>
              <w:t>]</w:t>
            </w:r>
          </w:p>
        </w:tc>
        <w:tc>
          <w:tcPr>
            <w:tcW w:w="4536" w:type="dxa"/>
            <w:shd w:val="clear" w:color="auto" w:fill="FFF2CC" w:themeFill="accent4" w:themeFillTint="33"/>
          </w:tcPr>
          <w:p w14:paraId="4E3B2845" w14:textId="150CE727" w:rsidR="00D33E76" w:rsidRPr="00D33E76" w:rsidRDefault="00D33E76" w:rsidP="00F50B86">
            <w:pPr>
              <w:rPr>
                <w:rFonts w:cstheme="minorHAnsi"/>
                <w:sz w:val="22"/>
                <w:szCs w:val="22"/>
              </w:rPr>
            </w:pPr>
          </w:p>
        </w:tc>
        <w:tc>
          <w:tcPr>
            <w:tcW w:w="5387" w:type="dxa"/>
            <w:shd w:val="clear" w:color="auto" w:fill="FFF2CC" w:themeFill="accent4" w:themeFillTint="33"/>
          </w:tcPr>
          <w:p w14:paraId="4E84B169" w14:textId="2CAF85E0" w:rsidR="00D33E76" w:rsidRPr="00D33E76" w:rsidRDefault="00690B26" w:rsidP="00F50B86">
            <w:pPr>
              <w:rPr>
                <w:rFonts w:cstheme="minorHAnsi"/>
                <w:sz w:val="22"/>
                <w:szCs w:val="22"/>
              </w:rPr>
            </w:pPr>
            <w:r>
              <w:rPr>
                <w:rFonts w:cstheme="minorHAnsi"/>
                <w:sz w:val="22"/>
                <w:szCs w:val="22"/>
              </w:rPr>
              <w:t>NPC</w:t>
            </w:r>
            <w:r w:rsidR="00D33E76" w:rsidRPr="00D33E76">
              <w:rPr>
                <w:rFonts w:cstheme="minorHAnsi"/>
                <w:sz w:val="22"/>
                <w:szCs w:val="22"/>
              </w:rPr>
              <w:t xml:space="preserve"> Clinical Severity Score (</w:t>
            </w:r>
            <w:r w:rsidR="00784E7F">
              <w:rPr>
                <w:rFonts w:cstheme="minorHAnsi"/>
                <w:sz w:val="22"/>
                <w:szCs w:val="22"/>
              </w:rPr>
              <w:t>NPCCSS</w:t>
            </w:r>
            <w:r w:rsidR="00D33E76" w:rsidRPr="00D33E76">
              <w:rPr>
                <w:rFonts w:cstheme="minorHAnsi"/>
                <w:sz w:val="22"/>
                <w:szCs w:val="22"/>
              </w:rPr>
              <w:t xml:space="preserve">) </w:t>
            </w:r>
            <w:r w:rsidR="00881261" w:rsidRPr="00A935A3">
              <w:rPr>
                <w:rFonts w:cstheme="minorHAnsi"/>
                <w:sz w:val="22"/>
                <w:szCs w:val="22"/>
              </w:rPr>
              <w:t>[18]</w:t>
            </w:r>
            <w:r w:rsidR="00881261">
              <w:rPr>
                <w:rFonts w:cstheme="minorHAnsi"/>
                <w:sz w:val="22"/>
                <w:szCs w:val="22"/>
              </w:rPr>
              <w:t xml:space="preserve"> </w:t>
            </w:r>
          </w:p>
          <w:p w14:paraId="5396FAE3" w14:textId="77777777" w:rsidR="00D33E76" w:rsidRPr="00D33E76" w:rsidRDefault="00D33E76" w:rsidP="00F50B86">
            <w:pPr>
              <w:rPr>
                <w:rFonts w:cstheme="minorHAnsi"/>
                <w:sz w:val="22"/>
                <w:szCs w:val="22"/>
              </w:rPr>
            </w:pPr>
          </w:p>
        </w:tc>
      </w:tr>
      <w:tr w:rsidR="00D33E76" w:rsidRPr="00D33E76" w14:paraId="27E50A8D" w14:textId="77777777" w:rsidTr="00F50B86">
        <w:trPr>
          <w:trHeight w:val="65"/>
        </w:trPr>
        <w:tc>
          <w:tcPr>
            <w:tcW w:w="5817" w:type="dxa"/>
            <w:shd w:val="clear" w:color="auto" w:fill="FFFFFF" w:themeFill="background1"/>
          </w:tcPr>
          <w:p w14:paraId="0CA2C3DC" w14:textId="77777777" w:rsidR="00D33E76" w:rsidRPr="00D33E76" w:rsidRDefault="00D33E76" w:rsidP="00F50B86">
            <w:pPr>
              <w:rPr>
                <w:rFonts w:cstheme="minorHAnsi"/>
                <w:sz w:val="22"/>
                <w:szCs w:val="22"/>
              </w:rPr>
            </w:pPr>
          </w:p>
          <w:p w14:paraId="62C2F013" w14:textId="64AFB565" w:rsidR="00D33E76" w:rsidRDefault="00FE5362" w:rsidP="00F50B86">
            <w:pPr>
              <w:rPr>
                <w:rFonts w:cstheme="minorHAnsi"/>
                <w:sz w:val="22"/>
                <w:szCs w:val="22"/>
              </w:rPr>
            </w:pPr>
            <w:hyperlink r:id="rId22" w:history="1">
              <w:r w:rsidR="00D33E76" w:rsidRPr="00D33E76">
                <w:rPr>
                  <w:rStyle w:val="Hyperlink"/>
                  <w:rFonts w:cstheme="minorHAnsi"/>
                  <w:sz w:val="22"/>
                  <w:szCs w:val="22"/>
                </w:rPr>
                <w:t>Longitudinal Study of Cognition With Niemann-Pick Disease, Type C (NPC)</w:t>
              </w:r>
            </w:hyperlink>
            <w:r w:rsidR="00777CAE">
              <w:rPr>
                <w:rFonts w:cstheme="minorHAnsi"/>
                <w:sz w:val="22"/>
                <w:szCs w:val="22"/>
              </w:rPr>
              <w:t xml:space="preserve"> [4</w:t>
            </w:r>
            <w:r w:rsidR="00D765F1">
              <w:rPr>
                <w:rFonts w:cstheme="minorHAnsi"/>
                <w:sz w:val="22"/>
                <w:szCs w:val="22"/>
              </w:rPr>
              <w:t>4</w:t>
            </w:r>
            <w:r w:rsidR="00777CAE">
              <w:rPr>
                <w:rFonts w:cstheme="minorHAnsi"/>
                <w:sz w:val="22"/>
                <w:szCs w:val="22"/>
              </w:rPr>
              <w:t>]</w:t>
            </w:r>
          </w:p>
          <w:p w14:paraId="53C36124" w14:textId="27F7A6B3" w:rsidR="00777CAE" w:rsidRPr="00D33E76" w:rsidRDefault="00777CAE" w:rsidP="00F50B86">
            <w:pPr>
              <w:rPr>
                <w:rFonts w:cstheme="minorHAnsi"/>
                <w:sz w:val="22"/>
                <w:szCs w:val="22"/>
              </w:rPr>
            </w:pPr>
          </w:p>
        </w:tc>
        <w:tc>
          <w:tcPr>
            <w:tcW w:w="4536" w:type="dxa"/>
            <w:shd w:val="clear" w:color="auto" w:fill="FFFFFF" w:themeFill="background1"/>
          </w:tcPr>
          <w:p w14:paraId="09728776" w14:textId="25AC7B7E" w:rsidR="00D33E76" w:rsidRPr="00D33E76" w:rsidRDefault="00690B26" w:rsidP="00F50B86">
            <w:pPr>
              <w:rPr>
                <w:rFonts w:cstheme="minorHAnsi"/>
                <w:sz w:val="22"/>
                <w:szCs w:val="22"/>
              </w:rPr>
            </w:pPr>
            <w:r>
              <w:rPr>
                <w:rFonts w:cstheme="minorHAnsi"/>
                <w:sz w:val="22"/>
                <w:szCs w:val="22"/>
              </w:rPr>
              <w:t>NPC</w:t>
            </w:r>
            <w:r w:rsidR="00D33E76" w:rsidRPr="00D33E76">
              <w:rPr>
                <w:rFonts w:cstheme="minorHAnsi"/>
                <w:sz w:val="22"/>
                <w:szCs w:val="22"/>
              </w:rPr>
              <w:t xml:space="preserve"> Clinical Severity Score (</w:t>
            </w:r>
            <w:r w:rsidR="00784E7F">
              <w:rPr>
                <w:rFonts w:cstheme="minorHAnsi"/>
                <w:sz w:val="22"/>
                <w:szCs w:val="22"/>
              </w:rPr>
              <w:t>NPCCSS</w:t>
            </w:r>
            <w:r w:rsidR="00D33E76" w:rsidRPr="00D33E76">
              <w:rPr>
                <w:rFonts w:cstheme="minorHAnsi"/>
                <w:sz w:val="22"/>
                <w:szCs w:val="22"/>
              </w:rPr>
              <w:t xml:space="preserve">) </w:t>
            </w:r>
            <w:r w:rsidR="00881261" w:rsidRPr="00A935A3">
              <w:rPr>
                <w:rFonts w:cstheme="minorHAnsi"/>
                <w:sz w:val="22"/>
                <w:szCs w:val="22"/>
              </w:rPr>
              <w:t>[18]</w:t>
            </w:r>
          </w:p>
        </w:tc>
        <w:tc>
          <w:tcPr>
            <w:tcW w:w="5387" w:type="dxa"/>
            <w:shd w:val="clear" w:color="auto" w:fill="FFFFFF" w:themeFill="background1"/>
          </w:tcPr>
          <w:p w14:paraId="09C36421" w14:textId="77777777" w:rsidR="00D33E76" w:rsidRPr="00D33E76" w:rsidRDefault="00D33E76" w:rsidP="00F50B86">
            <w:pPr>
              <w:rPr>
                <w:rFonts w:cstheme="minorHAnsi"/>
                <w:sz w:val="22"/>
                <w:szCs w:val="22"/>
              </w:rPr>
            </w:pPr>
          </w:p>
        </w:tc>
      </w:tr>
    </w:tbl>
    <w:p w14:paraId="72B57244" w14:textId="77777777" w:rsidR="00D33E76" w:rsidRPr="00D33E76" w:rsidRDefault="00D33E76" w:rsidP="00D33E76">
      <w:pPr>
        <w:spacing w:line="480" w:lineRule="auto"/>
        <w:rPr>
          <w:rFonts w:cstheme="minorHAnsi"/>
          <w:b/>
          <w:bCs/>
          <w:sz w:val="22"/>
          <w:szCs w:val="22"/>
        </w:rPr>
      </w:pPr>
    </w:p>
    <w:sectPr w:rsidR="00D33E76" w:rsidRPr="00D33E76" w:rsidSect="00091CB0">
      <w:headerReference w:type="even" r:id="rId23"/>
      <w:headerReference w:type="default" r:id="rId24"/>
      <w:footerReference w:type="even" r:id="rId25"/>
      <w:footerReference w:type="default" r:id="rId26"/>
      <w:headerReference w:type="first" r:id="rId27"/>
      <w:footerReference w:type="first" r:id="rId28"/>
      <w:pgSz w:w="16840" w:h="1190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451958" w14:textId="77777777" w:rsidR="00FE5362" w:rsidRDefault="00FE5362" w:rsidP="00A1793C">
      <w:r>
        <w:separator/>
      </w:r>
    </w:p>
  </w:endnote>
  <w:endnote w:type="continuationSeparator" w:id="0">
    <w:p w14:paraId="39FF3FA5" w14:textId="77777777" w:rsidR="00FE5362" w:rsidRDefault="00FE5362" w:rsidP="00A1793C">
      <w:r>
        <w:continuationSeparator/>
      </w:r>
    </w:p>
  </w:endnote>
  <w:endnote w:type="continuationNotice" w:id="1">
    <w:p w14:paraId="090177A6" w14:textId="77777777" w:rsidR="00FE5362" w:rsidRDefault="00FE53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623860" w14:textId="77777777" w:rsidR="00784E7F" w:rsidRDefault="00784E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29206159"/>
      <w:docPartObj>
        <w:docPartGallery w:val="Page Numbers (Bottom of Page)"/>
        <w:docPartUnique/>
      </w:docPartObj>
    </w:sdtPr>
    <w:sdtEndPr>
      <w:rPr>
        <w:noProof/>
        <w:sz w:val="22"/>
        <w:szCs w:val="22"/>
      </w:rPr>
    </w:sdtEndPr>
    <w:sdtContent>
      <w:p w14:paraId="6B17C1E0" w14:textId="4AEB9793" w:rsidR="00784E7F" w:rsidRPr="00570285" w:rsidRDefault="00784E7F">
        <w:pPr>
          <w:pStyle w:val="Footer"/>
          <w:jc w:val="right"/>
          <w:rPr>
            <w:sz w:val="22"/>
            <w:szCs w:val="22"/>
          </w:rPr>
        </w:pPr>
        <w:r w:rsidRPr="00570285">
          <w:rPr>
            <w:sz w:val="22"/>
            <w:szCs w:val="22"/>
          </w:rPr>
          <w:fldChar w:fldCharType="begin"/>
        </w:r>
        <w:r w:rsidRPr="00570285">
          <w:rPr>
            <w:sz w:val="22"/>
            <w:szCs w:val="22"/>
          </w:rPr>
          <w:instrText xml:space="preserve"> PAGE   \* MERGEFORMAT </w:instrText>
        </w:r>
        <w:r w:rsidRPr="00570285">
          <w:rPr>
            <w:sz w:val="22"/>
            <w:szCs w:val="22"/>
          </w:rPr>
          <w:fldChar w:fldCharType="separate"/>
        </w:r>
        <w:r w:rsidR="00EE4A43">
          <w:rPr>
            <w:noProof/>
            <w:sz w:val="22"/>
            <w:szCs w:val="22"/>
          </w:rPr>
          <w:t>7</w:t>
        </w:r>
        <w:r w:rsidRPr="00570285">
          <w:rPr>
            <w:noProof/>
            <w:sz w:val="22"/>
            <w:szCs w:val="22"/>
          </w:rPr>
          <w:fldChar w:fldCharType="end"/>
        </w:r>
      </w:p>
    </w:sdtContent>
  </w:sdt>
  <w:p w14:paraId="025E4024" w14:textId="77777777" w:rsidR="00784E7F" w:rsidRDefault="00784E7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627B74" w14:textId="77777777" w:rsidR="00784E7F" w:rsidRDefault="00784E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ACF033" w14:textId="77777777" w:rsidR="00FE5362" w:rsidRDefault="00FE5362" w:rsidP="00A1793C">
      <w:r>
        <w:separator/>
      </w:r>
    </w:p>
  </w:footnote>
  <w:footnote w:type="continuationSeparator" w:id="0">
    <w:p w14:paraId="5BF1C395" w14:textId="77777777" w:rsidR="00FE5362" w:rsidRDefault="00FE5362" w:rsidP="00A1793C">
      <w:r>
        <w:continuationSeparator/>
      </w:r>
    </w:p>
  </w:footnote>
  <w:footnote w:type="continuationNotice" w:id="1">
    <w:p w14:paraId="5C7B983A" w14:textId="77777777" w:rsidR="00FE5362" w:rsidRDefault="00FE536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9599DD" w14:textId="77777777" w:rsidR="00784E7F" w:rsidRDefault="00784E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9CEF2F" w14:textId="2A35A8E5" w:rsidR="00784E7F" w:rsidRDefault="00784E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C67BA3" w14:textId="77777777" w:rsidR="00784E7F" w:rsidRDefault="00784E7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B5200"/>
    <w:multiLevelType w:val="hybridMultilevel"/>
    <w:tmpl w:val="3F88A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3B4139"/>
    <w:multiLevelType w:val="hybridMultilevel"/>
    <w:tmpl w:val="B126813E"/>
    <w:lvl w:ilvl="0" w:tplc="CDC222A2">
      <w:start w:val="1"/>
      <w:numFmt w:val="bullet"/>
      <w:lvlText w:val="•"/>
      <w:lvlJc w:val="left"/>
      <w:pPr>
        <w:tabs>
          <w:tab w:val="num" w:pos="720"/>
        </w:tabs>
        <w:ind w:left="720" w:hanging="360"/>
      </w:pPr>
      <w:rPr>
        <w:rFonts w:ascii="Arial" w:hAnsi="Arial" w:hint="default"/>
      </w:rPr>
    </w:lvl>
    <w:lvl w:ilvl="1" w:tplc="E7BA8C56" w:tentative="1">
      <w:start w:val="1"/>
      <w:numFmt w:val="bullet"/>
      <w:lvlText w:val="•"/>
      <w:lvlJc w:val="left"/>
      <w:pPr>
        <w:tabs>
          <w:tab w:val="num" w:pos="1440"/>
        </w:tabs>
        <w:ind w:left="1440" w:hanging="360"/>
      </w:pPr>
      <w:rPr>
        <w:rFonts w:ascii="Arial" w:hAnsi="Arial" w:hint="default"/>
      </w:rPr>
    </w:lvl>
    <w:lvl w:ilvl="2" w:tplc="691CC7FC" w:tentative="1">
      <w:start w:val="1"/>
      <w:numFmt w:val="bullet"/>
      <w:lvlText w:val="•"/>
      <w:lvlJc w:val="left"/>
      <w:pPr>
        <w:tabs>
          <w:tab w:val="num" w:pos="2160"/>
        </w:tabs>
        <w:ind w:left="2160" w:hanging="360"/>
      </w:pPr>
      <w:rPr>
        <w:rFonts w:ascii="Arial" w:hAnsi="Arial" w:hint="default"/>
      </w:rPr>
    </w:lvl>
    <w:lvl w:ilvl="3" w:tplc="90DCD7AA" w:tentative="1">
      <w:start w:val="1"/>
      <w:numFmt w:val="bullet"/>
      <w:lvlText w:val="•"/>
      <w:lvlJc w:val="left"/>
      <w:pPr>
        <w:tabs>
          <w:tab w:val="num" w:pos="2880"/>
        </w:tabs>
        <w:ind w:left="2880" w:hanging="360"/>
      </w:pPr>
      <w:rPr>
        <w:rFonts w:ascii="Arial" w:hAnsi="Arial" w:hint="default"/>
      </w:rPr>
    </w:lvl>
    <w:lvl w:ilvl="4" w:tplc="52084FEA" w:tentative="1">
      <w:start w:val="1"/>
      <w:numFmt w:val="bullet"/>
      <w:lvlText w:val="•"/>
      <w:lvlJc w:val="left"/>
      <w:pPr>
        <w:tabs>
          <w:tab w:val="num" w:pos="3600"/>
        </w:tabs>
        <w:ind w:left="3600" w:hanging="360"/>
      </w:pPr>
      <w:rPr>
        <w:rFonts w:ascii="Arial" w:hAnsi="Arial" w:hint="default"/>
      </w:rPr>
    </w:lvl>
    <w:lvl w:ilvl="5" w:tplc="36DCF740" w:tentative="1">
      <w:start w:val="1"/>
      <w:numFmt w:val="bullet"/>
      <w:lvlText w:val="•"/>
      <w:lvlJc w:val="left"/>
      <w:pPr>
        <w:tabs>
          <w:tab w:val="num" w:pos="4320"/>
        </w:tabs>
        <w:ind w:left="4320" w:hanging="360"/>
      </w:pPr>
      <w:rPr>
        <w:rFonts w:ascii="Arial" w:hAnsi="Arial" w:hint="default"/>
      </w:rPr>
    </w:lvl>
    <w:lvl w:ilvl="6" w:tplc="F5BA8776" w:tentative="1">
      <w:start w:val="1"/>
      <w:numFmt w:val="bullet"/>
      <w:lvlText w:val="•"/>
      <w:lvlJc w:val="left"/>
      <w:pPr>
        <w:tabs>
          <w:tab w:val="num" w:pos="5040"/>
        </w:tabs>
        <w:ind w:left="5040" w:hanging="360"/>
      </w:pPr>
      <w:rPr>
        <w:rFonts w:ascii="Arial" w:hAnsi="Arial" w:hint="default"/>
      </w:rPr>
    </w:lvl>
    <w:lvl w:ilvl="7" w:tplc="3DECEFDC" w:tentative="1">
      <w:start w:val="1"/>
      <w:numFmt w:val="bullet"/>
      <w:lvlText w:val="•"/>
      <w:lvlJc w:val="left"/>
      <w:pPr>
        <w:tabs>
          <w:tab w:val="num" w:pos="5760"/>
        </w:tabs>
        <w:ind w:left="5760" w:hanging="360"/>
      </w:pPr>
      <w:rPr>
        <w:rFonts w:ascii="Arial" w:hAnsi="Arial" w:hint="default"/>
      </w:rPr>
    </w:lvl>
    <w:lvl w:ilvl="8" w:tplc="4C7EDF3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6903919"/>
    <w:multiLevelType w:val="hybridMultilevel"/>
    <w:tmpl w:val="87568C9E"/>
    <w:lvl w:ilvl="0" w:tplc="0AC47574">
      <w:start w:val="1"/>
      <w:numFmt w:val="bullet"/>
      <w:lvlText w:val="•"/>
      <w:lvlJc w:val="left"/>
      <w:pPr>
        <w:tabs>
          <w:tab w:val="num" w:pos="720"/>
        </w:tabs>
        <w:ind w:left="720" w:hanging="360"/>
      </w:pPr>
      <w:rPr>
        <w:rFonts w:ascii="Arial" w:hAnsi="Arial" w:hint="default"/>
      </w:rPr>
    </w:lvl>
    <w:lvl w:ilvl="1" w:tplc="80DE6CFA">
      <w:numFmt w:val="bullet"/>
      <w:lvlText w:val="•"/>
      <w:lvlJc w:val="left"/>
      <w:pPr>
        <w:tabs>
          <w:tab w:val="num" w:pos="1440"/>
        </w:tabs>
        <w:ind w:left="1440" w:hanging="360"/>
      </w:pPr>
      <w:rPr>
        <w:rFonts w:ascii="Arial" w:hAnsi="Arial" w:hint="default"/>
      </w:rPr>
    </w:lvl>
    <w:lvl w:ilvl="2" w:tplc="1460E53E" w:tentative="1">
      <w:start w:val="1"/>
      <w:numFmt w:val="bullet"/>
      <w:lvlText w:val="•"/>
      <w:lvlJc w:val="left"/>
      <w:pPr>
        <w:tabs>
          <w:tab w:val="num" w:pos="2160"/>
        </w:tabs>
        <w:ind w:left="2160" w:hanging="360"/>
      </w:pPr>
      <w:rPr>
        <w:rFonts w:ascii="Arial" w:hAnsi="Arial" w:hint="default"/>
      </w:rPr>
    </w:lvl>
    <w:lvl w:ilvl="3" w:tplc="16947430" w:tentative="1">
      <w:start w:val="1"/>
      <w:numFmt w:val="bullet"/>
      <w:lvlText w:val="•"/>
      <w:lvlJc w:val="left"/>
      <w:pPr>
        <w:tabs>
          <w:tab w:val="num" w:pos="2880"/>
        </w:tabs>
        <w:ind w:left="2880" w:hanging="360"/>
      </w:pPr>
      <w:rPr>
        <w:rFonts w:ascii="Arial" w:hAnsi="Arial" w:hint="default"/>
      </w:rPr>
    </w:lvl>
    <w:lvl w:ilvl="4" w:tplc="B308AAB8" w:tentative="1">
      <w:start w:val="1"/>
      <w:numFmt w:val="bullet"/>
      <w:lvlText w:val="•"/>
      <w:lvlJc w:val="left"/>
      <w:pPr>
        <w:tabs>
          <w:tab w:val="num" w:pos="3600"/>
        </w:tabs>
        <w:ind w:left="3600" w:hanging="360"/>
      </w:pPr>
      <w:rPr>
        <w:rFonts w:ascii="Arial" w:hAnsi="Arial" w:hint="default"/>
      </w:rPr>
    </w:lvl>
    <w:lvl w:ilvl="5" w:tplc="FED6F950" w:tentative="1">
      <w:start w:val="1"/>
      <w:numFmt w:val="bullet"/>
      <w:lvlText w:val="•"/>
      <w:lvlJc w:val="left"/>
      <w:pPr>
        <w:tabs>
          <w:tab w:val="num" w:pos="4320"/>
        </w:tabs>
        <w:ind w:left="4320" w:hanging="360"/>
      </w:pPr>
      <w:rPr>
        <w:rFonts w:ascii="Arial" w:hAnsi="Arial" w:hint="default"/>
      </w:rPr>
    </w:lvl>
    <w:lvl w:ilvl="6" w:tplc="272E8FC8" w:tentative="1">
      <w:start w:val="1"/>
      <w:numFmt w:val="bullet"/>
      <w:lvlText w:val="•"/>
      <w:lvlJc w:val="left"/>
      <w:pPr>
        <w:tabs>
          <w:tab w:val="num" w:pos="5040"/>
        </w:tabs>
        <w:ind w:left="5040" w:hanging="360"/>
      </w:pPr>
      <w:rPr>
        <w:rFonts w:ascii="Arial" w:hAnsi="Arial" w:hint="default"/>
      </w:rPr>
    </w:lvl>
    <w:lvl w:ilvl="7" w:tplc="7F24FAAA" w:tentative="1">
      <w:start w:val="1"/>
      <w:numFmt w:val="bullet"/>
      <w:lvlText w:val="•"/>
      <w:lvlJc w:val="left"/>
      <w:pPr>
        <w:tabs>
          <w:tab w:val="num" w:pos="5760"/>
        </w:tabs>
        <w:ind w:left="5760" w:hanging="360"/>
      </w:pPr>
      <w:rPr>
        <w:rFonts w:ascii="Arial" w:hAnsi="Arial" w:hint="default"/>
      </w:rPr>
    </w:lvl>
    <w:lvl w:ilvl="8" w:tplc="D2CEA2E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6D21F6C"/>
    <w:multiLevelType w:val="hybridMultilevel"/>
    <w:tmpl w:val="71DEE0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D381179"/>
    <w:multiLevelType w:val="multilevel"/>
    <w:tmpl w:val="FD9AC0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4E537F"/>
    <w:multiLevelType w:val="hybridMultilevel"/>
    <w:tmpl w:val="F2C4E3B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1AE5201"/>
    <w:multiLevelType w:val="hybridMultilevel"/>
    <w:tmpl w:val="7BD876E2"/>
    <w:lvl w:ilvl="0" w:tplc="28FCAB52">
      <w:start w:val="1"/>
      <w:numFmt w:val="bullet"/>
      <w:lvlText w:val="•"/>
      <w:lvlJc w:val="left"/>
      <w:pPr>
        <w:tabs>
          <w:tab w:val="num" w:pos="720"/>
        </w:tabs>
        <w:ind w:left="720" w:hanging="360"/>
      </w:pPr>
      <w:rPr>
        <w:rFonts w:ascii="Arial" w:hAnsi="Arial" w:hint="default"/>
      </w:rPr>
    </w:lvl>
    <w:lvl w:ilvl="1" w:tplc="F4E6C258" w:tentative="1">
      <w:start w:val="1"/>
      <w:numFmt w:val="bullet"/>
      <w:lvlText w:val="•"/>
      <w:lvlJc w:val="left"/>
      <w:pPr>
        <w:tabs>
          <w:tab w:val="num" w:pos="1440"/>
        </w:tabs>
        <w:ind w:left="1440" w:hanging="360"/>
      </w:pPr>
      <w:rPr>
        <w:rFonts w:ascii="Arial" w:hAnsi="Arial" w:hint="default"/>
      </w:rPr>
    </w:lvl>
    <w:lvl w:ilvl="2" w:tplc="50E0EFF2" w:tentative="1">
      <w:start w:val="1"/>
      <w:numFmt w:val="bullet"/>
      <w:lvlText w:val="•"/>
      <w:lvlJc w:val="left"/>
      <w:pPr>
        <w:tabs>
          <w:tab w:val="num" w:pos="2160"/>
        </w:tabs>
        <w:ind w:left="2160" w:hanging="360"/>
      </w:pPr>
      <w:rPr>
        <w:rFonts w:ascii="Arial" w:hAnsi="Arial" w:hint="default"/>
      </w:rPr>
    </w:lvl>
    <w:lvl w:ilvl="3" w:tplc="DFFEC534" w:tentative="1">
      <w:start w:val="1"/>
      <w:numFmt w:val="bullet"/>
      <w:lvlText w:val="•"/>
      <w:lvlJc w:val="left"/>
      <w:pPr>
        <w:tabs>
          <w:tab w:val="num" w:pos="2880"/>
        </w:tabs>
        <w:ind w:left="2880" w:hanging="360"/>
      </w:pPr>
      <w:rPr>
        <w:rFonts w:ascii="Arial" w:hAnsi="Arial" w:hint="default"/>
      </w:rPr>
    </w:lvl>
    <w:lvl w:ilvl="4" w:tplc="D9264222" w:tentative="1">
      <w:start w:val="1"/>
      <w:numFmt w:val="bullet"/>
      <w:lvlText w:val="•"/>
      <w:lvlJc w:val="left"/>
      <w:pPr>
        <w:tabs>
          <w:tab w:val="num" w:pos="3600"/>
        </w:tabs>
        <w:ind w:left="3600" w:hanging="360"/>
      </w:pPr>
      <w:rPr>
        <w:rFonts w:ascii="Arial" w:hAnsi="Arial" w:hint="default"/>
      </w:rPr>
    </w:lvl>
    <w:lvl w:ilvl="5" w:tplc="6ED8E8A0" w:tentative="1">
      <w:start w:val="1"/>
      <w:numFmt w:val="bullet"/>
      <w:lvlText w:val="•"/>
      <w:lvlJc w:val="left"/>
      <w:pPr>
        <w:tabs>
          <w:tab w:val="num" w:pos="4320"/>
        </w:tabs>
        <w:ind w:left="4320" w:hanging="360"/>
      </w:pPr>
      <w:rPr>
        <w:rFonts w:ascii="Arial" w:hAnsi="Arial" w:hint="default"/>
      </w:rPr>
    </w:lvl>
    <w:lvl w:ilvl="6" w:tplc="C1904D7A" w:tentative="1">
      <w:start w:val="1"/>
      <w:numFmt w:val="bullet"/>
      <w:lvlText w:val="•"/>
      <w:lvlJc w:val="left"/>
      <w:pPr>
        <w:tabs>
          <w:tab w:val="num" w:pos="5040"/>
        </w:tabs>
        <w:ind w:left="5040" w:hanging="360"/>
      </w:pPr>
      <w:rPr>
        <w:rFonts w:ascii="Arial" w:hAnsi="Arial" w:hint="default"/>
      </w:rPr>
    </w:lvl>
    <w:lvl w:ilvl="7" w:tplc="CF92BB72" w:tentative="1">
      <w:start w:val="1"/>
      <w:numFmt w:val="bullet"/>
      <w:lvlText w:val="•"/>
      <w:lvlJc w:val="left"/>
      <w:pPr>
        <w:tabs>
          <w:tab w:val="num" w:pos="5760"/>
        </w:tabs>
        <w:ind w:left="5760" w:hanging="360"/>
      </w:pPr>
      <w:rPr>
        <w:rFonts w:ascii="Arial" w:hAnsi="Arial" w:hint="default"/>
      </w:rPr>
    </w:lvl>
    <w:lvl w:ilvl="8" w:tplc="B02E4C78"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26EA1251"/>
    <w:multiLevelType w:val="hybridMultilevel"/>
    <w:tmpl w:val="D7D47CB8"/>
    <w:lvl w:ilvl="0" w:tplc="4432BDB8">
      <w:start w:val="1"/>
      <w:numFmt w:val="bullet"/>
      <w:lvlText w:val="•"/>
      <w:lvlJc w:val="left"/>
      <w:pPr>
        <w:tabs>
          <w:tab w:val="num" w:pos="720"/>
        </w:tabs>
        <w:ind w:left="720" w:hanging="360"/>
      </w:pPr>
      <w:rPr>
        <w:rFonts w:ascii="Arial" w:hAnsi="Arial" w:hint="default"/>
      </w:rPr>
    </w:lvl>
    <w:lvl w:ilvl="1" w:tplc="E654DBB8" w:tentative="1">
      <w:start w:val="1"/>
      <w:numFmt w:val="bullet"/>
      <w:lvlText w:val="•"/>
      <w:lvlJc w:val="left"/>
      <w:pPr>
        <w:tabs>
          <w:tab w:val="num" w:pos="1440"/>
        </w:tabs>
        <w:ind w:left="1440" w:hanging="360"/>
      </w:pPr>
      <w:rPr>
        <w:rFonts w:ascii="Arial" w:hAnsi="Arial" w:hint="default"/>
      </w:rPr>
    </w:lvl>
    <w:lvl w:ilvl="2" w:tplc="BC28000C" w:tentative="1">
      <w:start w:val="1"/>
      <w:numFmt w:val="bullet"/>
      <w:lvlText w:val="•"/>
      <w:lvlJc w:val="left"/>
      <w:pPr>
        <w:tabs>
          <w:tab w:val="num" w:pos="2160"/>
        </w:tabs>
        <w:ind w:left="2160" w:hanging="360"/>
      </w:pPr>
      <w:rPr>
        <w:rFonts w:ascii="Arial" w:hAnsi="Arial" w:hint="default"/>
      </w:rPr>
    </w:lvl>
    <w:lvl w:ilvl="3" w:tplc="47E21C14" w:tentative="1">
      <w:start w:val="1"/>
      <w:numFmt w:val="bullet"/>
      <w:lvlText w:val="•"/>
      <w:lvlJc w:val="left"/>
      <w:pPr>
        <w:tabs>
          <w:tab w:val="num" w:pos="2880"/>
        </w:tabs>
        <w:ind w:left="2880" w:hanging="360"/>
      </w:pPr>
      <w:rPr>
        <w:rFonts w:ascii="Arial" w:hAnsi="Arial" w:hint="default"/>
      </w:rPr>
    </w:lvl>
    <w:lvl w:ilvl="4" w:tplc="95126D2C" w:tentative="1">
      <w:start w:val="1"/>
      <w:numFmt w:val="bullet"/>
      <w:lvlText w:val="•"/>
      <w:lvlJc w:val="left"/>
      <w:pPr>
        <w:tabs>
          <w:tab w:val="num" w:pos="3600"/>
        </w:tabs>
        <w:ind w:left="3600" w:hanging="360"/>
      </w:pPr>
      <w:rPr>
        <w:rFonts w:ascii="Arial" w:hAnsi="Arial" w:hint="default"/>
      </w:rPr>
    </w:lvl>
    <w:lvl w:ilvl="5" w:tplc="CF8EF08A" w:tentative="1">
      <w:start w:val="1"/>
      <w:numFmt w:val="bullet"/>
      <w:lvlText w:val="•"/>
      <w:lvlJc w:val="left"/>
      <w:pPr>
        <w:tabs>
          <w:tab w:val="num" w:pos="4320"/>
        </w:tabs>
        <w:ind w:left="4320" w:hanging="360"/>
      </w:pPr>
      <w:rPr>
        <w:rFonts w:ascii="Arial" w:hAnsi="Arial" w:hint="default"/>
      </w:rPr>
    </w:lvl>
    <w:lvl w:ilvl="6" w:tplc="8A88FDEE" w:tentative="1">
      <w:start w:val="1"/>
      <w:numFmt w:val="bullet"/>
      <w:lvlText w:val="•"/>
      <w:lvlJc w:val="left"/>
      <w:pPr>
        <w:tabs>
          <w:tab w:val="num" w:pos="5040"/>
        </w:tabs>
        <w:ind w:left="5040" w:hanging="360"/>
      </w:pPr>
      <w:rPr>
        <w:rFonts w:ascii="Arial" w:hAnsi="Arial" w:hint="default"/>
      </w:rPr>
    </w:lvl>
    <w:lvl w:ilvl="7" w:tplc="23F24900" w:tentative="1">
      <w:start w:val="1"/>
      <w:numFmt w:val="bullet"/>
      <w:lvlText w:val="•"/>
      <w:lvlJc w:val="left"/>
      <w:pPr>
        <w:tabs>
          <w:tab w:val="num" w:pos="5760"/>
        </w:tabs>
        <w:ind w:left="5760" w:hanging="360"/>
      </w:pPr>
      <w:rPr>
        <w:rFonts w:ascii="Arial" w:hAnsi="Arial" w:hint="default"/>
      </w:rPr>
    </w:lvl>
    <w:lvl w:ilvl="8" w:tplc="EDA8D5E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F3E1336"/>
    <w:multiLevelType w:val="hybridMultilevel"/>
    <w:tmpl w:val="708C0B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87479C"/>
    <w:multiLevelType w:val="multilevel"/>
    <w:tmpl w:val="F5E6F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0A4C3A"/>
    <w:multiLevelType w:val="hybridMultilevel"/>
    <w:tmpl w:val="A9524D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3357DAC"/>
    <w:multiLevelType w:val="hybridMultilevel"/>
    <w:tmpl w:val="084CC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C680952"/>
    <w:multiLevelType w:val="hybridMultilevel"/>
    <w:tmpl w:val="97680AC0"/>
    <w:lvl w:ilvl="0" w:tplc="CAF23818">
      <w:start w:val="1"/>
      <w:numFmt w:val="bullet"/>
      <w:lvlText w:val="•"/>
      <w:lvlJc w:val="left"/>
      <w:pPr>
        <w:tabs>
          <w:tab w:val="num" w:pos="720"/>
        </w:tabs>
        <w:ind w:left="720" w:hanging="360"/>
      </w:pPr>
      <w:rPr>
        <w:rFonts w:ascii="Arial" w:hAnsi="Arial" w:hint="default"/>
      </w:rPr>
    </w:lvl>
    <w:lvl w:ilvl="1" w:tplc="5E2C1D46" w:tentative="1">
      <w:start w:val="1"/>
      <w:numFmt w:val="bullet"/>
      <w:lvlText w:val="•"/>
      <w:lvlJc w:val="left"/>
      <w:pPr>
        <w:tabs>
          <w:tab w:val="num" w:pos="1440"/>
        </w:tabs>
        <w:ind w:left="1440" w:hanging="360"/>
      </w:pPr>
      <w:rPr>
        <w:rFonts w:ascii="Arial" w:hAnsi="Arial" w:hint="default"/>
      </w:rPr>
    </w:lvl>
    <w:lvl w:ilvl="2" w:tplc="5A061B28" w:tentative="1">
      <w:start w:val="1"/>
      <w:numFmt w:val="bullet"/>
      <w:lvlText w:val="•"/>
      <w:lvlJc w:val="left"/>
      <w:pPr>
        <w:tabs>
          <w:tab w:val="num" w:pos="2160"/>
        </w:tabs>
        <w:ind w:left="2160" w:hanging="360"/>
      </w:pPr>
      <w:rPr>
        <w:rFonts w:ascii="Arial" w:hAnsi="Arial" w:hint="default"/>
      </w:rPr>
    </w:lvl>
    <w:lvl w:ilvl="3" w:tplc="207ED812" w:tentative="1">
      <w:start w:val="1"/>
      <w:numFmt w:val="bullet"/>
      <w:lvlText w:val="•"/>
      <w:lvlJc w:val="left"/>
      <w:pPr>
        <w:tabs>
          <w:tab w:val="num" w:pos="2880"/>
        </w:tabs>
        <w:ind w:left="2880" w:hanging="360"/>
      </w:pPr>
      <w:rPr>
        <w:rFonts w:ascii="Arial" w:hAnsi="Arial" w:hint="default"/>
      </w:rPr>
    </w:lvl>
    <w:lvl w:ilvl="4" w:tplc="A882130A" w:tentative="1">
      <w:start w:val="1"/>
      <w:numFmt w:val="bullet"/>
      <w:lvlText w:val="•"/>
      <w:lvlJc w:val="left"/>
      <w:pPr>
        <w:tabs>
          <w:tab w:val="num" w:pos="3600"/>
        </w:tabs>
        <w:ind w:left="3600" w:hanging="360"/>
      </w:pPr>
      <w:rPr>
        <w:rFonts w:ascii="Arial" w:hAnsi="Arial" w:hint="default"/>
      </w:rPr>
    </w:lvl>
    <w:lvl w:ilvl="5" w:tplc="D94A79EE" w:tentative="1">
      <w:start w:val="1"/>
      <w:numFmt w:val="bullet"/>
      <w:lvlText w:val="•"/>
      <w:lvlJc w:val="left"/>
      <w:pPr>
        <w:tabs>
          <w:tab w:val="num" w:pos="4320"/>
        </w:tabs>
        <w:ind w:left="4320" w:hanging="360"/>
      </w:pPr>
      <w:rPr>
        <w:rFonts w:ascii="Arial" w:hAnsi="Arial" w:hint="default"/>
      </w:rPr>
    </w:lvl>
    <w:lvl w:ilvl="6" w:tplc="01462B6C" w:tentative="1">
      <w:start w:val="1"/>
      <w:numFmt w:val="bullet"/>
      <w:lvlText w:val="•"/>
      <w:lvlJc w:val="left"/>
      <w:pPr>
        <w:tabs>
          <w:tab w:val="num" w:pos="5040"/>
        </w:tabs>
        <w:ind w:left="5040" w:hanging="360"/>
      </w:pPr>
      <w:rPr>
        <w:rFonts w:ascii="Arial" w:hAnsi="Arial" w:hint="default"/>
      </w:rPr>
    </w:lvl>
    <w:lvl w:ilvl="7" w:tplc="42CAABB8" w:tentative="1">
      <w:start w:val="1"/>
      <w:numFmt w:val="bullet"/>
      <w:lvlText w:val="•"/>
      <w:lvlJc w:val="left"/>
      <w:pPr>
        <w:tabs>
          <w:tab w:val="num" w:pos="5760"/>
        </w:tabs>
        <w:ind w:left="5760" w:hanging="360"/>
      </w:pPr>
      <w:rPr>
        <w:rFonts w:ascii="Arial" w:hAnsi="Arial" w:hint="default"/>
      </w:rPr>
    </w:lvl>
    <w:lvl w:ilvl="8" w:tplc="4E103678"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503832B0"/>
    <w:multiLevelType w:val="hybridMultilevel"/>
    <w:tmpl w:val="9822C34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9D17BFF"/>
    <w:multiLevelType w:val="hybridMultilevel"/>
    <w:tmpl w:val="53F66466"/>
    <w:lvl w:ilvl="0" w:tplc="106E9A6C">
      <w:start w:val="1"/>
      <w:numFmt w:val="bullet"/>
      <w:lvlText w:val="•"/>
      <w:lvlJc w:val="left"/>
      <w:pPr>
        <w:tabs>
          <w:tab w:val="num" w:pos="720"/>
        </w:tabs>
        <w:ind w:left="720" w:hanging="360"/>
      </w:pPr>
      <w:rPr>
        <w:rFonts w:ascii="Arial" w:hAnsi="Arial" w:hint="default"/>
      </w:rPr>
    </w:lvl>
    <w:lvl w:ilvl="1" w:tplc="B40CBCAC" w:tentative="1">
      <w:start w:val="1"/>
      <w:numFmt w:val="bullet"/>
      <w:lvlText w:val="•"/>
      <w:lvlJc w:val="left"/>
      <w:pPr>
        <w:tabs>
          <w:tab w:val="num" w:pos="1440"/>
        </w:tabs>
        <w:ind w:left="1440" w:hanging="360"/>
      </w:pPr>
      <w:rPr>
        <w:rFonts w:ascii="Arial" w:hAnsi="Arial" w:hint="default"/>
      </w:rPr>
    </w:lvl>
    <w:lvl w:ilvl="2" w:tplc="A1BAF280" w:tentative="1">
      <w:start w:val="1"/>
      <w:numFmt w:val="bullet"/>
      <w:lvlText w:val="•"/>
      <w:lvlJc w:val="left"/>
      <w:pPr>
        <w:tabs>
          <w:tab w:val="num" w:pos="2160"/>
        </w:tabs>
        <w:ind w:left="2160" w:hanging="360"/>
      </w:pPr>
      <w:rPr>
        <w:rFonts w:ascii="Arial" w:hAnsi="Arial" w:hint="default"/>
      </w:rPr>
    </w:lvl>
    <w:lvl w:ilvl="3" w:tplc="BFCC655A" w:tentative="1">
      <w:start w:val="1"/>
      <w:numFmt w:val="bullet"/>
      <w:lvlText w:val="•"/>
      <w:lvlJc w:val="left"/>
      <w:pPr>
        <w:tabs>
          <w:tab w:val="num" w:pos="2880"/>
        </w:tabs>
        <w:ind w:left="2880" w:hanging="360"/>
      </w:pPr>
      <w:rPr>
        <w:rFonts w:ascii="Arial" w:hAnsi="Arial" w:hint="default"/>
      </w:rPr>
    </w:lvl>
    <w:lvl w:ilvl="4" w:tplc="9C1679FE" w:tentative="1">
      <w:start w:val="1"/>
      <w:numFmt w:val="bullet"/>
      <w:lvlText w:val="•"/>
      <w:lvlJc w:val="left"/>
      <w:pPr>
        <w:tabs>
          <w:tab w:val="num" w:pos="3600"/>
        </w:tabs>
        <w:ind w:left="3600" w:hanging="360"/>
      </w:pPr>
      <w:rPr>
        <w:rFonts w:ascii="Arial" w:hAnsi="Arial" w:hint="default"/>
      </w:rPr>
    </w:lvl>
    <w:lvl w:ilvl="5" w:tplc="9A0E7600" w:tentative="1">
      <w:start w:val="1"/>
      <w:numFmt w:val="bullet"/>
      <w:lvlText w:val="•"/>
      <w:lvlJc w:val="left"/>
      <w:pPr>
        <w:tabs>
          <w:tab w:val="num" w:pos="4320"/>
        </w:tabs>
        <w:ind w:left="4320" w:hanging="360"/>
      </w:pPr>
      <w:rPr>
        <w:rFonts w:ascii="Arial" w:hAnsi="Arial" w:hint="default"/>
      </w:rPr>
    </w:lvl>
    <w:lvl w:ilvl="6" w:tplc="5DF05426" w:tentative="1">
      <w:start w:val="1"/>
      <w:numFmt w:val="bullet"/>
      <w:lvlText w:val="•"/>
      <w:lvlJc w:val="left"/>
      <w:pPr>
        <w:tabs>
          <w:tab w:val="num" w:pos="5040"/>
        </w:tabs>
        <w:ind w:left="5040" w:hanging="360"/>
      </w:pPr>
      <w:rPr>
        <w:rFonts w:ascii="Arial" w:hAnsi="Arial" w:hint="default"/>
      </w:rPr>
    </w:lvl>
    <w:lvl w:ilvl="7" w:tplc="A508A46C" w:tentative="1">
      <w:start w:val="1"/>
      <w:numFmt w:val="bullet"/>
      <w:lvlText w:val="•"/>
      <w:lvlJc w:val="left"/>
      <w:pPr>
        <w:tabs>
          <w:tab w:val="num" w:pos="5760"/>
        </w:tabs>
        <w:ind w:left="5760" w:hanging="360"/>
      </w:pPr>
      <w:rPr>
        <w:rFonts w:ascii="Arial" w:hAnsi="Arial" w:hint="default"/>
      </w:rPr>
    </w:lvl>
    <w:lvl w:ilvl="8" w:tplc="397A5EBA"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646E0CF3"/>
    <w:multiLevelType w:val="hybridMultilevel"/>
    <w:tmpl w:val="365860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CFA0A67"/>
    <w:multiLevelType w:val="hybridMultilevel"/>
    <w:tmpl w:val="8EAA7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0554717"/>
    <w:multiLevelType w:val="hybridMultilevel"/>
    <w:tmpl w:val="E4F6567A"/>
    <w:lvl w:ilvl="0" w:tplc="EA369F92">
      <w:start w:val="1"/>
      <w:numFmt w:val="bullet"/>
      <w:lvlText w:val="•"/>
      <w:lvlJc w:val="left"/>
      <w:pPr>
        <w:tabs>
          <w:tab w:val="num" w:pos="720"/>
        </w:tabs>
        <w:ind w:left="720" w:hanging="360"/>
      </w:pPr>
      <w:rPr>
        <w:rFonts w:ascii="Arial" w:hAnsi="Arial" w:hint="default"/>
      </w:rPr>
    </w:lvl>
    <w:lvl w:ilvl="1" w:tplc="144AB9CE" w:tentative="1">
      <w:start w:val="1"/>
      <w:numFmt w:val="bullet"/>
      <w:lvlText w:val="•"/>
      <w:lvlJc w:val="left"/>
      <w:pPr>
        <w:tabs>
          <w:tab w:val="num" w:pos="1440"/>
        </w:tabs>
        <w:ind w:left="1440" w:hanging="360"/>
      </w:pPr>
      <w:rPr>
        <w:rFonts w:ascii="Arial" w:hAnsi="Arial" w:hint="default"/>
      </w:rPr>
    </w:lvl>
    <w:lvl w:ilvl="2" w:tplc="C58C3F22" w:tentative="1">
      <w:start w:val="1"/>
      <w:numFmt w:val="bullet"/>
      <w:lvlText w:val="•"/>
      <w:lvlJc w:val="left"/>
      <w:pPr>
        <w:tabs>
          <w:tab w:val="num" w:pos="2160"/>
        </w:tabs>
        <w:ind w:left="2160" w:hanging="360"/>
      </w:pPr>
      <w:rPr>
        <w:rFonts w:ascii="Arial" w:hAnsi="Arial" w:hint="default"/>
      </w:rPr>
    </w:lvl>
    <w:lvl w:ilvl="3" w:tplc="4C3C1BBA" w:tentative="1">
      <w:start w:val="1"/>
      <w:numFmt w:val="bullet"/>
      <w:lvlText w:val="•"/>
      <w:lvlJc w:val="left"/>
      <w:pPr>
        <w:tabs>
          <w:tab w:val="num" w:pos="2880"/>
        </w:tabs>
        <w:ind w:left="2880" w:hanging="360"/>
      </w:pPr>
      <w:rPr>
        <w:rFonts w:ascii="Arial" w:hAnsi="Arial" w:hint="default"/>
      </w:rPr>
    </w:lvl>
    <w:lvl w:ilvl="4" w:tplc="F3A22EA4" w:tentative="1">
      <w:start w:val="1"/>
      <w:numFmt w:val="bullet"/>
      <w:lvlText w:val="•"/>
      <w:lvlJc w:val="left"/>
      <w:pPr>
        <w:tabs>
          <w:tab w:val="num" w:pos="3600"/>
        </w:tabs>
        <w:ind w:left="3600" w:hanging="360"/>
      </w:pPr>
      <w:rPr>
        <w:rFonts w:ascii="Arial" w:hAnsi="Arial" w:hint="default"/>
      </w:rPr>
    </w:lvl>
    <w:lvl w:ilvl="5" w:tplc="B3FA3026" w:tentative="1">
      <w:start w:val="1"/>
      <w:numFmt w:val="bullet"/>
      <w:lvlText w:val="•"/>
      <w:lvlJc w:val="left"/>
      <w:pPr>
        <w:tabs>
          <w:tab w:val="num" w:pos="4320"/>
        </w:tabs>
        <w:ind w:left="4320" w:hanging="360"/>
      </w:pPr>
      <w:rPr>
        <w:rFonts w:ascii="Arial" w:hAnsi="Arial" w:hint="default"/>
      </w:rPr>
    </w:lvl>
    <w:lvl w:ilvl="6" w:tplc="7EB2E72E" w:tentative="1">
      <w:start w:val="1"/>
      <w:numFmt w:val="bullet"/>
      <w:lvlText w:val="•"/>
      <w:lvlJc w:val="left"/>
      <w:pPr>
        <w:tabs>
          <w:tab w:val="num" w:pos="5040"/>
        </w:tabs>
        <w:ind w:left="5040" w:hanging="360"/>
      </w:pPr>
      <w:rPr>
        <w:rFonts w:ascii="Arial" w:hAnsi="Arial" w:hint="default"/>
      </w:rPr>
    </w:lvl>
    <w:lvl w:ilvl="7" w:tplc="96F4A458" w:tentative="1">
      <w:start w:val="1"/>
      <w:numFmt w:val="bullet"/>
      <w:lvlText w:val="•"/>
      <w:lvlJc w:val="left"/>
      <w:pPr>
        <w:tabs>
          <w:tab w:val="num" w:pos="5760"/>
        </w:tabs>
        <w:ind w:left="5760" w:hanging="360"/>
      </w:pPr>
      <w:rPr>
        <w:rFonts w:ascii="Arial" w:hAnsi="Arial" w:hint="default"/>
      </w:rPr>
    </w:lvl>
    <w:lvl w:ilvl="8" w:tplc="40C4FD06"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7269703C"/>
    <w:multiLevelType w:val="hybridMultilevel"/>
    <w:tmpl w:val="059A2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43568B3"/>
    <w:multiLevelType w:val="hybridMultilevel"/>
    <w:tmpl w:val="CC0A45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55D3696"/>
    <w:multiLevelType w:val="hybridMultilevel"/>
    <w:tmpl w:val="BF023012"/>
    <w:lvl w:ilvl="0" w:tplc="AC5EFF8C">
      <w:start w:val="1"/>
      <w:numFmt w:val="bullet"/>
      <w:lvlText w:val="•"/>
      <w:lvlJc w:val="left"/>
      <w:pPr>
        <w:tabs>
          <w:tab w:val="num" w:pos="720"/>
        </w:tabs>
        <w:ind w:left="720" w:hanging="360"/>
      </w:pPr>
      <w:rPr>
        <w:rFonts w:ascii="Arial" w:hAnsi="Arial" w:hint="default"/>
      </w:rPr>
    </w:lvl>
    <w:lvl w:ilvl="1" w:tplc="2A6CF00E" w:tentative="1">
      <w:start w:val="1"/>
      <w:numFmt w:val="bullet"/>
      <w:lvlText w:val="•"/>
      <w:lvlJc w:val="left"/>
      <w:pPr>
        <w:tabs>
          <w:tab w:val="num" w:pos="1440"/>
        </w:tabs>
        <w:ind w:left="1440" w:hanging="360"/>
      </w:pPr>
      <w:rPr>
        <w:rFonts w:ascii="Arial" w:hAnsi="Arial" w:hint="default"/>
      </w:rPr>
    </w:lvl>
    <w:lvl w:ilvl="2" w:tplc="E998FAE6" w:tentative="1">
      <w:start w:val="1"/>
      <w:numFmt w:val="bullet"/>
      <w:lvlText w:val="•"/>
      <w:lvlJc w:val="left"/>
      <w:pPr>
        <w:tabs>
          <w:tab w:val="num" w:pos="2160"/>
        </w:tabs>
        <w:ind w:left="2160" w:hanging="360"/>
      </w:pPr>
      <w:rPr>
        <w:rFonts w:ascii="Arial" w:hAnsi="Arial" w:hint="default"/>
      </w:rPr>
    </w:lvl>
    <w:lvl w:ilvl="3" w:tplc="01462C56" w:tentative="1">
      <w:start w:val="1"/>
      <w:numFmt w:val="bullet"/>
      <w:lvlText w:val="•"/>
      <w:lvlJc w:val="left"/>
      <w:pPr>
        <w:tabs>
          <w:tab w:val="num" w:pos="2880"/>
        </w:tabs>
        <w:ind w:left="2880" w:hanging="360"/>
      </w:pPr>
      <w:rPr>
        <w:rFonts w:ascii="Arial" w:hAnsi="Arial" w:hint="default"/>
      </w:rPr>
    </w:lvl>
    <w:lvl w:ilvl="4" w:tplc="3BA6CD0A" w:tentative="1">
      <w:start w:val="1"/>
      <w:numFmt w:val="bullet"/>
      <w:lvlText w:val="•"/>
      <w:lvlJc w:val="left"/>
      <w:pPr>
        <w:tabs>
          <w:tab w:val="num" w:pos="3600"/>
        </w:tabs>
        <w:ind w:left="3600" w:hanging="360"/>
      </w:pPr>
      <w:rPr>
        <w:rFonts w:ascii="Arial" w:hAnsi="Arial" w:hint="default"/>
      </w:rPr>
    </w:lvl>
    <w:lvl w:ilvl="5" w:tplc="845E9478" w:tentative="1">
      <w:start w:val="1"/>
      <w:numFmt w:val="bullet"/>
      <w:lvlText w:val="•"/>
      <w:lvlJc w:val="left"/>
      <w:pPr>
        <w:tabs>
          <w:tab w:val="num" w:pos="4320"/>
        </w:tabs>
        <w:ind w:left="4320" w:hanging="360"/>
      </w:pPr>
      <w:rPr>
        <w:rFonts w:ascii="Arial" w:hAnsi="Arial" w:hint="default"/>
      </w:rPr>
    </w:lvl>
    <w:lvl w:ilvl="6" w:tplc="6A604B94" w:tentative="1">
      <w:start w:val="1"/>
      <w:numFmt w:val="bullet"/>
      <w:lvlText w:val="•"/>
      <w:lvlJc w:val="left"/>
      <w:pPr>
        <w:tabs>
          <w:tab w:val="num" w:pos="5040"/>
        </w:tabs>
        <w:ind w:left="5040" w:hanging="360"/>
      </w:pPr>
      <w:rPr>
        <w:rFonts w:ascii="Arial" w:hAnsi="Arial" w:hint="default"/>
      </w:rPr>
    </w:lvl>
    <w:lvl w:ilvl="7" w:tplc="DEA87A5C" w:tentative="1">
      <w:start w:val="1"/>
      <w:numFmt w:val="bullet"/>
      <w:lvlText w:val="•"/>
      <w:lvlJc w:val="left"/>
      <w:pPr>
        <w:tabs>
          <w:tab w:val="num" w:pos="5760"/>
        </w:tabs>
        <w:ind w:left="5760" w:hanging="360"/>
      </w:pPr>
      <w:rPr>
        <w:rFonts w:ascii="Arial" w:hAnsi="Arial" w:hint="default"/>
      </w:rPr>
    </w:lvl>
    <w:lvl w:ilvl="8" w:tplc="8CDE9454"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69A3D2A"/>
    <w:multiLevelType w:val="hybridMultilevel"/>
    <w:tmpl w:val="435EE946"/>
    <w:lvl w:ilvl="0" w:tplc="C832B2F0">
      <w:start w:val="1"/>
      <w:numFmt w:val="bullet"/>
      <w:lvlText w:val=""/>
      <w:lvlJc w:val="left"/>
      <w:pPr>
        <w:tabs>
          <w:tab w:val="num" w:pos="360"/>
        </w:tabs>
        <w:ind w:left="360" w:hanging="360"/>
      </w:pPr>
      <w:rPr>
        <w:rFonts w:ascii="Symbol" w:hAnsi="Symbol" w:hint="default"/>
      </w:rPr>
    </w:lvl>
    <w:lvl w:ilvl="1" w:tplc="3820A5DA" w:tentative="1">
      <w:start w:val="1"/>
      <w:numFmt w:val="bullet"/>
      <w:lvlText w:val=""/>
      <w:lvlJc w:val="left"/>
      <w:pPr>
        <w:tabs>
          <w:tab w:val="num" w:pos="1080"/>
        </w:tabs>
        <w:ind w:left="1080" w:hanging="360"/>
      </w:pPr>
      <w:rPr>
        <w:rFonts w:ascii="Symbol" w:hAnsi="Symbol" w:hint="default"/>
      </w:rPr>
    </w:lvl>
    <w:lvl w:ilvl="2" w:tplc="4A3C2E2C" w:tentative="1">
      <w:start w:val="1"/>
      <w:numFmt w:val="bullet"/>
      <w:lvlText w:val=""/>
      <w:lvlJc w:val="left"/>
      <w:pPr>
        <w:tabs>
          <w:tab w:val="num" w:pos="1800"/>
        </w:tabs>
        <w:ind w:left="1800" w:hanging="360"/>
      </w:pPr>
      <w:rPr>
        <w:rFonts w:ascii="Symbol" w:hAnsi="Symbol" w:hint="default"/>
      </w:rPr>
    </w:lvl>
    <w:lvl w:ilvl="3" w:tplc="BAAE2584" w:tentative="1">
      <w:start w:val="1"/>
      <w:numFmt w:val="bullet"/>
      <w:lvlText w:val=""/>
      <w:lvlJc w:val="left"/>
      <w:pPr>
        <w:tabs>
          <w:tab w:val="num" w:pos="2520"/>
        </w:tabs>
        <w:ind w:left="2520" w:hanging="360"/>
      </w:pPr>
      <w:rPr>
        <w:rFonts w:ascii="Symbol" w:hAnsi="Symbol" w:hint="default"/>
      </w:rPr>
    </w:lvl>
    <w:lvl w:ilvl="4" w:tplc="9A44B00C" w:tentative="1">
      <w:start w:val="1"/>
      <w:numFmt w:val="bullet"/>
      <w:lvlText w:val=""/>
      <w:lvlJc w:val="left"/>
      <w:pPr>
        <w:tabs>
          <w:tab w:val="num" w:pos="3240"/>
        </w:tabs>
        <w:ind w:left="3240" w:hanging="360"/>
      </w:pPr>
      <w:rPr>
        <w:rFonts w:ascii="Symbol" w:hAnsi="Symbol" w:hint="default"/>
      </w:rPr>
    </w:lvl>
    <w:lvl w:ilvl="5" w:tplc="2F763568" w:tentative="1">
      <w:start w:val="1"/>
      <w:numFmt w:val="bullet"/>
      <w:lvlText w:val=""/>
      <w:lvlJc w:val="left"/>
      <w:pPr>
        <w:tabs>
          <w:tab w:val="num" w:pos="3960"/>
        </w:tabs>
        <w:ind w:left="3960" w:hanging="360"/>
      </w:pPr>
      <w:rPr>
        <w:rFonts w:ascii="Symbol" w:hAnsi="Symbol" w:hint="default"/>
      </w:rPr>
    </w:lvl>
    <w:lvl w:ilvl="6" w:tplc="5C3AA79C" w:tentative="1">
      <w:start w:val="1"/>
      <w:numFmt w:val="bullet"/>
      <w:lvlText w:val=""/>
      <w:lvlJc w:val="left"/>
      <w:pPr>
        <w:tabs>
          <w:tab w:val="num" w:pos="4680"/>
        </w:tabs>
        <w:ind w:left="4680" w:hanging="360"/>
      </w:pPr>
      <w:rPr>
        <w:rFonts w:ascii="Symbol" w:hAnsi="Symbol" w:hint="default"/>
      </w:rPr>
    </w:lvl>
    <w:lvl w:ilvl="7" w:tplc="BECE8D74" w:tentative="1">
      <w:start w:val="1"/>
      <w:numFmt w:val="bullet"/>
      <w:lvlText w:val=""/>
      <w:lvlJc w:val="left"/>
      <w:pPr>
        <w:tabs>
          <w:tab w:val="num" w:pos="5400"/>
        </w:tabs>
        <w:ind w:left="5400" w:hanging="360"/>
      </w:pPr>
      <w:rPr>
        <w:rFonts w:ascii="Symbol" w:hAnsi="Symbol" w:hint="default"/>
      </w:rPr>
    </w:lvl>
    <w:lvl w:ilvl="8" w:tplc="244C027E" w:tentative="1">
      <w:start w:val="1"/>
      <w:numFmt w:val="bullet"/>
      <w:lvlText w:val=""/>
      <w:lvlJc w:val="left"/>
      <w:pPr>
        <w:tabs>
          <w:tab w:val="num" w:pos="6120"/>
        </w:tabs>
        <w:ind w:left="6120" w:hanging="360"/>
      </w:pPr>
      <w:rPr>
        <w:rFonts w:ascii="Symbol" w:hAnsi="Symbol" w:hint="default"/>
      </w:rPr>
    </w:lvl>
  </w:abstractNum>
  <w:abstractNum w:abstractNumId="22" w15:restartNumberingAfterBreak="0">
    <w:nsid w:val="77565F6E"/>
    <w:multiLevelType w:val="hybridMultilevel"/>
    <w:tmpl w:val="8A265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8E66040"/>
    <w:multiLevelType w:val="hybridMultilevel"/>
    <w:tmpl w:val="E7FC2D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1"/>
  </w:num>
  <w:num w:numId="2">
    <w:abstractNumId w:val="11"/>
  </w:num>
  <w:num w:numId="3">
    <w:abstractNumId w:val="16"/>
  </w:num>
  <w:num w:numId="4">
    <w:abstractNumId w:val="20"/>
  </w:num>
  <w:num w:numId="5">
    <w:abstractNumId w:val="14"/>
  </w:num>
  <w:num w:numId="6">
    <w:abstractNumId w:val="7"/>
  </w:num>
  <w:num w:numId="7">
    <w:abstractNumId w:val="6"/>
  </w:num>
  <w:num w:numId="8">
    <w:abstractNumId w:val="1"/>
  </w:num>
  <w:num w:numId="9">
    <w:abstractNumId w:val="2"/>
  </w:num>
  <w:num w:numId="10">
    <w:abstractNumId w:val="17"/>
  </w:num>
  <w:num w:numId="11">
    <w:abstractNumId w:val="19"/>
  </w:num>
  <w:num w:numId="12">
    <w:abstractNumId w:val="15"/>
  </w:num>
  <w:num w:numId="13">
    <w:abstractNumId w:val="4"/>
  </w:num>
  <w:num w:numId="14">
    <w:abstractNumId w:val="5"/>
  </w:num>
  <w:num w:numId="15">
    <w:abstractNumId w:val="23"/>
  </w:num>
  <w:num w:numId="16">
    <w:abstractNumId w:val="0"/>
  </w:num>
  <w:num w:numId="17">
    <w:abstractNumId w:val="12"/>
  </w:num>
  <w:num w:numId="18">
    <w:abstractNumId w:val="22"/>
  </w:num>
  <w:num w:numId="19">
    <w:abstractNumId w:val="10"/>
  </w:num>
  <w:num w:numId="20">
    <w:abstractNumId w:val="3"/>
  </w:num>
  <w:num w:numId="21">
    <w:abstractNumId w:val="13"/>
  </w:num>
  <w:num w:numId="22">
    <w:abstractNumId w:val="8"/>
  </w:num>
  <w:num w:numId="23">
    <w:abstractNumId w:val="9"/>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CBC"/>
    <w:rsid w:val="00001A40"/>
    <w:rsid w:val="00004919"/>
    <w:rsid w:val="00012A3F"/>
    <w:rsid w:val="00020636"/>
    <w:rsid w:val="00033724"/>
    <w:rsid w:val="00034067"/>
    <w:rsid w:val="00037EC1"/>
    <w:rsid w:val="000447EB"/>
    <w:rsid w:val="00050C19"/>
    <w:rsid w:val="00054397"/>
    <w:rsid w:val="000568D9"/>
    <w:rsid w:val="000606A6"/>
    <w:rsid w:val="00074E5C"/>
    <w:rsid w:val="000842EC"/>
    <w:rsid w:val="00084973"/>
    <w:rsid w:val="00084DC7"/>
    <w:rsid w:val="000851BF"/>
    <w:rsid w:val="000868DE"/>
    <w:rsid w:val="00091CB0"/>
    <w:rsid w:val="00092D3C"/>
    <w:rsid w:val="000970C6"/>
    <w:rsid w:val="000971EF"/>
    <w:rsid w:val="000B1660"/>
    <w:rsid w:val="000B457F"/>
    <w:rsid w:val="000B6704"/>
    <w:rsid w:val="000C070E"/>
    <w:rsid w:val="000C1366"/>
    <w:rsid w:val="000C7EA8"/>
    <w:rsid w:val="000D1EE8"/>
    <w:rsid w:val="000E447F"/>
    <w:rsid w:val="000E5295"/>
    <w:rsid w:val="000E70A0"/>
    <w:rsid w:val="000F02D0"/>
    <w:rsid w:val="000F39EA"/>
    <w:rsid w:val="00103605"/>
    <w:rsid w:val="00103F23"/>
    <w:rsid w:val="00105399"/>
    <w:rsid w:val="00111B77"/>
    <w:rsid w:val="00111D8E"/>
    <w:rsid w:val="0011403A"/>
    <w:rsid w:val="00120871"/>
    <w:rsid w:val="00122C44"/>
    <w:rsid w:val="00126D3E"/>
    <w:rsid w:val="00132BF7"/>
    <w:rsid w:val="00133003"/>
    <w:rsid w:val="001334DB"/>
    <w:rsid w:val="00134EE0"/>
    <w:rsid w:val="00142947"/>
    <w:rsid w:val="00151C76"/>
    <w:rsid w:val="0015685E"/>
    <w:rsid w:val="001608F4"/>
    <w:rsid w:val="00161AC5"/>
    <w:rsid w:val="00166EB8"/>
    <w:rsid w:val="001676AC"/>
    <w:rsid w:val="0017099A"/>
    <w:rsid w:val="00171502"/>
    <w:rsid w:val="00181025"/>
    <w:rsid w:val="00185E7D"/>
    <w:rsid w:val="00187357"/>
    <w:rsid w:val="00191A63"/>
    <w:rsid w:val="00191CB5"/>
    <w:rsid w:val="001934C4"/>
    <w:rsid w:val="0019626E"/>
    <w:rsid w:val="00196815"/>
    <w:rsid w:val="001A13BE"/>
    <w:rsid w:val="001B29D1"/>
    <w:rsid w:val="001B6E09"/>
    <w:rsid w:val="001B728B"/>
    <w:rsid w:val="001C1523"/>
    <w:rsid w:val="001C2BAB"/>
    <w:rsid w:val="001D1CAC"/>
    <w:rsid w:val="001D31EF"/>
    <w:rsid w:val="001D43EC"/>
    <w:rsid w:val="001F1627"/>
    <w:rsid w:val="001F3250"/>
    <w:rsid w:val="002014F9"/>
    <w:rsid w:val="002017A6"/>
    <w:rsid w:val="00205341"/>
    <w:rsid w:val="00213D10"/>
    <w:rsid w:val="00215046"/>
    <w:rsid w:val="00220EFA"/>
    <w:rsid w:val="00221D7B"/>
    <w:rsid w:val="0022288D"/>
    <w:rsid w:val="00225461"/>
    <w:rsid w:val="002263EA"/>
    <w:rsid w:val="0023445D"/>
    <w:rsid w:val="00235E66"/>
    <w:rsid w:val="002430E0"/>
    <w:rsid w:val="0024478B"/>
    <w:rsid w:val="00244AC4"/>
    <w:rsid w:val="00244D9E"/>
    <w:rsid w:val="002457DE"/>
    <w:rsid w:val="00251E96"/>
    <w:rsid w:val="00251F8F"/>
    <w:rsid w:val="002523F3"/>
    <w:rsid w:val="00260E8A"/>
    <w:rsid w:val="0026119A"/>
    <w:rsid w:val="00261F34"/>
    <w:rsid w:val="00270353"/>
    <w:rsid w:val="00270516"/>
    <w:rsid w:val="00274A38"/>
    <w:rsid w:val="00277588"/>
    <w:rsid w:val="00281696"/>
    <w:rsid w:val="0028239F"/>
    <w:rsid w:val="00286FE4"/>
    <w:rsid w:val="0028709E"/>
    <w:rsid w:val="002904D1"/>
    <w:rsid w:val="00293571"/>
    <w:rsid w:val="002A0D7C"/>
    <w:rsid w:val="002A63F4"/>
    <w:rsid w:val="002A6BD8"/>
    <w:rsid w:val="002B259D"/>
    <w:rsid w:val="002B4452"/>
    <w:rsid w:val="002B6214"/>
    <w:rsid w:val="002B7336"/>
    <w:rsid w:val="002C6F98"/>
    <w:rsid w:val="002E0BEA"/>
    <w:rsid w:val="002E5FF8"/>
    <w:rsid w:val="002F6BC8"/>
    <w:rsid w:val="002F79ED"/>
    <w:rsid w:val="00304003"/>
    <w:rsid w:val="0030560A"/>
    <w:rsid w:val="00305B11"/>
    <w:rsid w:val="0031417B"/>
    <w:rsid w:val="00314F07"/>
    <w:rsid w:val="00322187"/>
    <w:rsid w:val="00322413"/>
    <w:rsid w:val="00334782"/>
    <w:rsid w:val="003358D3"/>
    <w:rsid w:val="00336393"/>
    <w:rsid w:val="0033711F"/>
    <w:rsid w:val="003411A4"/>
    <w:rsid w:val="00343BF1"/>
    <w:rsid w:val="003500C2"/>
    <w:rsid w:val="00355E54"/>
    <w:rsid w:val="00362C41"/>
    <w:rsid w:val="003655FA"/>
    <w:rsid w:val="00365684"/>
    <w:rsid w:val="00366590"/>
    <w:rsid w:val="00374ADC"/>
    <w:rsid w:val="003A160B"/>
    <w:rsid w:val="003A5707"/>
    <w:rsid w:val="003A7374"/>
    <w:rsid w:val="003C5618"/>
    <w:rsid w:val="003C6FAF"/>
    <w:rsid w:val="003D39E0"/>
    <w:rsid w:val="003D3AED"/>
    <w:rsid w:val="003D4A56"/>
    <w:rsid w:val="003E79A6"/>
    <w:rsid w:val="003F3764"/>
    <w:rsid w:val="004031A6"/>
    <w:rsid w:val="0041183D"/>
    <w:rsid w:val="00416752"/>
    <w:rsid w:val="00420C20"/>
    <w:rsid w:val="004222F3"/>
    <w:rsid w:val="00426DA0"/>
    <w:rsid w:val="004346E6"/>
    <w:rsid w:val="00435A62"/>
    <w:rsid w:val="00435AAD"/>
    <w:rsid w:val="00435CB3"/>
    <w:rsid w:val="0044262B"/>
    <w:rsid w:val="004435FC"/>
    <w:rsid w:val="00445B48"/>
    <w:rsid w:val="00453619"/>
    <w:rsid w:val="0045407F"/>
    <w:rsid w:val="0046053A"/>
    <w:rsid w:val="00474366"/>
    <w:rsid w:val="004808E5"/>
    <w:rsid w:val="00482260"/>
    <w:rsid w:val="00486161"/>
    <w:rsid w:val="00487251"/>
    <w:rsid w:val="004A1039"/>
    <w:rsid w:val="004A137A"/>
    <w:rsid w:val="004A6EB4"/>
    <w:rsid w:val="004B4CF2"/>
    <w:rsid w:val="004B6610"/>
    <w:rsid w:val="004C090F"/>
    <w:rsid w:val="004C2320"/>
    <w:rsid w:val="004C78A8"/>
    <w:rsid w:val="004C7DC9"/>
    <w:rsid w:val="004E1A6F"/>
    <w:rsid w:val="004E790B"/>
    <w:rsid w:val="004F32B3"/>
    <w:rsid w:val="00500259"/>
    <w:rsid w:val="00505D70"/>
    <w:rsid w:val="00507B57"/>
    <w:rsid w:val="005110EB"/>
    <w:rsid w:val="0051149F"/>
    <w:rsid w:val="0051623F"/>
    <w:rsid w:val="005205BE"/>
    <w:rsid w:val="0052173E"/>
    <w:rsid w:val="00522720"/>
    <w:rsid w:val="0053223B"/>
    <w:rsid w:val="005328FA"/>
    <w:rsid w:val="0053558A"/>
    <w:rsid w:val="005407B3"/>
    <w:rsid w:val="00541655"/>
    <w:rsid w:val="005518D6"/>
    <w:rsid w:val="00552B70"/>
    <w:rsid w:val="005541F4"/>
    <w:rsid w:val="005701B3"/>
    <w:rsid w:val="00570285"/>
    <w:rsid w:val="00573387"/>
    <w:rsid w:val="005778A7"/>
    <w:rsid w:val="00577F73"/>
    <w:rsid w:val="005816EF"/>
    <w:rsid w:val="0058246F"/>
    <w:rsid w:val="00582C61"/>
    <w:rsid w:val="00585F4C"/>
    <w:rsid w:val="005878AA"/>
    <w:rsid w:val="0059284B"/>
    <w:rsid w:val="005943FB"/>
    <w:rsid w:val="005A108C"/>
    <w:rsid w:val="005A3E37"/>
    <w:rsid w:val="005A7064"/>
    <w:rsid w:val="005B0CF6"/>
    <w:rsid w:val="005B123A"/>
    <w:rsid w:val="005B20F8"/>
    <w:rsid w:val="005B481D"/>
    <w:rsid w:val="005B4BD3"/>
    <w:rsid w:val="005B7FAE"/>
    <w:rsid w:val="005D1EED"/>
    <w:rsid w:val="005D21D0"/>
    <w:rsid w:val="005E1198"/>
    <w:rsid w:val="005E4792"/>
    <w:rsid w:val="005E4BF0"/>
    <w:rsid w:val="005E5819"/>
    <w:rsid w:val="005E5E12"/>
    <w:rsid w:val="005E78D9"/>
    <w:rsid w:val="005F007B"/>
    <w:rsid w:val="005F100E"/>
    <w:rsid w:val="005F5C1E"/>
    <w:rsid w:val="005F67F7"/>
    <w:rsid w:val="00603537"/>
    <w:rsid w:val="006058CC"/>
    <w:rsid w:val="0060674A"/>
    <w:rsid w:val="006073C5"/>
    <w:rsid w:val="00607972"/>
    <w:rsid w:val="00613458"/>
    <w:rsid w:val="006142DE"/>
    <w:rsid w:val="00614F67"/>
    <w:rsid w:val="006242B9"/>
    <w:rsid w:val="00626DB8"/>
    <w:rsid w:val="006407D7"/>
    <w:rsid w:val="00642761"/>
    <w:rsid w:val="0064436E"/>
    <w:rsid w:val="006456B6"/>
    <w:rsid w:val="006516F7"/>
    <w:rsid w:val="00656E1A"/>
    <w:rsid w:val="00665CBC"/>
    <w:rsid w:val="006758D0"/>
    <w:rsid w:val="006801F3"/>
    <w:rsid w:val="00690B26"/>
    <w:rsid w:val="00691F66"/>
    <w:rsid w:val="006955CD"/>
    <w:rsid w:val="006969B0"/>
    <w:rsid w:val="006B0B8C"/>
    <w:rsid w:val="006B21D5"/>
    <w:rsid w:val="006C2FB0"/>
    <w:rsid w:val="006C6CEB"/>
    <w:rsid w:val="006C7554"/>
    <w:rsid w:val="006C7A4B"/>
    <w:rsid w:val="006D02D8"/>
    <w:rsid w:val="006D7AD6"/>
    <w:rsid w:val="006E020C"/>
    <w:rsid w:val="006E202C"/>
    <w:rsid w:val="006E5BD4"/>
    <w:rsid w:val="006E69C6"/>
    <w:rsid w:val="006F0B71"/>
    <w:rsid w:val="006F5398"/>
    <w:rsid w:val="00702901"/>
    <w:rsid w:val="00711913"/>
    <w:rsid w:val="00713725"/>
    <w:rsid w:val="0071641A"/>
    <w:rsid w:val="00716477"/>
    <w:rsid w:val="00716B1A"/>
    <w:rsid w:val="00721D94"/>
    <w:rsid w:val="00721EAD"/>
    <w:rsid w:val="007317AA"/>
    <w:rsid w:val="00733812"/>
    <w:rsid w:val="007378C7"/>
    <w:rsid w:val="00740C93"/>
    <w:rsid w:val="00741A20"/>
    <w:rsid w:val="00751523"/>
    <w:rsid w:val="007563D9"/>
    <w:rsid w:val="00756EFA"/>
    <w:rsid w:val="00761791"/>
    <w:rsid w:val="007669F4"/>
    <w:rsid w:val="00766B56"/>
    <w:rsid w:val="00767C01"/>
    <w:rsid w:val="00770836"/>
    <w:rsid w:val="00770C6F"/>
    <w:rsid w:val="00771025"/>
    <w:rsid w:val="007725D7"/>
    <w:rsid w:val="00777CAE"/>
    <w:rsid w:val="0078057B"/>
    <w:rsid w:val="00780F7F"/>
    <w:rsid w:val="00783132"/>
    <w:rsid w:val="00784E7F"/>
    <w:rsid w:val="00791EBA"/>
    <w:rsid w:val="007A36B6"/>
    <w:rsid w:val="007A3932"/>
    <w:rsid w:val="007A4728"/>
    <w:rsid w:val="007B7FFD"/>
    <w:rsid w:val="007C006D"/>
    <w:rsid w:val="007C129A"/>
    <w:rsid w:val="007C198B"/>
    <w:rsid w:val="007C22AC"/>
    <w:rsid w:val="007C33B3"/>
    <w:rsid w:val="007C3F92"/>
    <w:rsid w:val="007D1476"/>
    <w:rsid w:val="007D7BDC"/>
    <w:rsid w:val="007D7CFE"/>
    <w:rsid w:val="007E7484"/>
    <w:rsid w:val="007F63B9"/>
    <w:rsid w:val="00801040"/>
    <w:rsid w:val="0081212E"/>
    <w:rsid w:val="0081221E"/>
    <w:rsid w:val="00813E6E"/>
    <w:rsid w:val="008228AB"/>
    <w:rsid w:val="00824ED3"/>
    <w:rsid w:val="00836DA2"/>
    <w:rsid w:val="00837C2D"/>
    <w:rsid w:val="00841D08"/>
    <w:rsid w:val="00842190"/>
    <w:rsid w:val="00842CB3"/>
    <w:rsid w:val="0084509E"/>
    <w:rsid w:val="00846298"/>
    <w:rsid w:val="00852F08"/>
    <w:rsid w:val="00856495"/>
    <w:rsid w:val="00857E30"/>
    <w:rsid w:val="00872CBE"/>
    <w:rsid w:val="00880E10"/>
    <w:rsid w:val="00881261"/>
    <w:rsid w:val="008927B6"/>
    <w:rsid w:val="00896BF3"/>
    <w:rsid w:val="008A0969"/>
    <w:rsid w:val="008A248F"/>
    <w:rsid w:val="008A4E03"/>
    <w:rsid w:val="008A6258"/>
    <w:rsid w:val="008B0287"/>
    <w:rsid w:val="008B1E4E"/>
    <w:rsid w:val="008B67D3"/>
    <w:rsid w:val="008B6815"/>
    <w:rsid w:val="008C2F02"/>
    <w:rsid w:val="008C5F43"/>
    <w:rsid w:val="008D2DF1"/>
    <w:rsid w:val="008E3D93"/>
    <w:rsid w:val="008E433D"/>
    <w:rsid w:val="008E5778"/>
    <w:rsid w:val="008E5CCC"/>
    <w:rsid w:val="008E7315"/>
    <w:rsid w:val="008F0AEA"/>
    <w:rsid w:val="008F1B1F"/>
    <w:rsid w:val="008F5D46"/>
    <w:rsid w:val="00900B6B"/>
    <w:rsid w:val="00901D1E"/>
    <w:rsid w:val="009076EA"/>
    <w:rsid w:val="00915F7F"/>
    <w:rsid w:val="00917318"/>
    <w:rsid w:val="00920EE4"/>
    <w:rsid w:val="00921E0B"/>
    <w:rsid w:val="00921E6C"/>
    <w:rsid w:val="00931810"/>
    <w:rsid w:val="009353F2"/>
    <w:rsid w:val="00937548"/>
    <w:rsid w:val="009433AB"/>
    <w:rsid w:val="00951D18"/>
    <w:rsid w:val="00951E51"/>
    <w:rsid w:val="00956EF0"/>
    <w:rsid w:val="00964DCD"/>
    <w:rsid w:val="009654DF"/>
    <w:rsid w:val="0097641B"/>
    <w:rsid w:val="00983ACE"/>
    <w:rsid w:val="00985743"/>
    <w:rsid w:val="00991604"/>
    <w:rsid w:val="009925FC"/>
    <w:rsid w:val="009962E9"/>
    <w:rsid w:val="009969A0"/>
    <w:rsid w:val="009B2798"/>
    <w:rsid w:val="009B4ED5"/>
    <w:rsid w:val="009C190A"/>
    <w:rsid w:val="009C4ABA"/>
    <w:rsid w:val="009C53BC"/>
    <w:rsid w:val="009C6C68"/>
    <w:rsid w:val="009D0E36"/>
    <w:rsid w:val="009D7D97"/>
    <w:rsid w:val="009E100F"/>
    <w:rsid w:val="009F2B65"/>
    <w:rsid w:val="009F7EF0"/>
    <w:rsid w:val="00A000D8"/>
    <w:rsid w:val="00A03BA7"/>
    <w:rsid w:val="00A0570B"/>
    <w:rsid w:val="00A15E5C"/>
    <w:rsid w:val="00A1764A"/>
    <w:rsid w:val="00A1793C"/>
    <w:rsid w:val="00A21B2D"/>
    <w:rsid w:val="00A22F45"/>
    <w:rsid w:val="00A2347B"/>
    <w:rsid w:val="00A240BC"/>
    <w:rsid w:val="00A30B2B"/>
    <w:rsid w:val="00A37988"/>
    <w:rsid w:val="00A44060"/>
    <w:rsid w:val="00A464CA"/>
    <w:rsid w:val="00A479B4"/>
    <w:rsid w:val="00A5046B"/>
    <w:rsid w:val="00A567DA"/>
    <w:rsid w:val="00A60BB2"/>
    <w:rsid w:val="00A6417B"/>
    <w:rsid w:val="00A65F61"/>
    <w:rsid w:val="00A674A9"/>
    <w:rsid w:val="00A67C5A"/>
    <w:rsid w:val="00A7415A"/>
    <w:rsid w:val="00A77A29"/>
    <w:rsid w:val="00A84991"/>
    <w:rsid w:val="00A866F3"/>
    <w:rsid w:val="00A935A3"/>
    <w:rsid w:val="00AA0624"/>
    <w:rsid w:val="00AA085D"/>
    <w:rsid w:val="00AA1465"/>
    <w:rsid w:val="00AA2864"/>
    <w:rsid w:val="00AA7669"/>
    <w:rsid w:val="00AB2DEA"/>
    <w:rsid w:val="00AB366A"/>
    <w:rsid w:val="00AB5DBA"/>
    <w:rsid w:val="00AB63E0"/>
    <w:rsid w:val="00AC3430"/>
    <w:rsid w:val="00AC481E"/>
    <w:rsid w:val="00AC4FF5"/>
    <w:rsid w:val="00AC6067"/>
    <w:rsid w:val="00AD052A"/>
    <w:rsid w:val="00AD22FD"/>
    <w:rsid w:val="00AD4B03"/>
    <w:rsid w:val="00AD66BA"/>
    <w:rsid w:val="00AD76CE"/>
    <w:rsid w:val="00AE5B42"/>
    <w:rsid w:val="00AE6BF1"/>
    <w:rsid w:val="00AF0A3A"/>
    <w:rsid w:val="00B0026A"/>
    <w:rsid w:val="00B1065B"/>
    <w:rsid w:val="00B1571E"/>
    <w:rsid w:val="00B15CBC"/>
    <w:rsid w:val="00B23DAB"/>
    <w:rsid w:val="00B264AF"/>
    <w:rsid w:val="00B31B62"/>
    <w:rsid w:val="00B34509"/>
    <w:rsid w:val="00B373FD"/>
    <w:rsid w:val="00B43275"/>
    <w:rsid w:val="00B50FE4"/>
    <w:rsid w:val="00B51572"/>
    <w:rsid w:val="00B519DA"/>
    <w:rsid w:val="00B52D2F"/>
    <w:rsid w:val="00B534F4"/>
    <w:rsid w:val="00B62E74"/>
    <w:rsid w:val="00B64CB7"/>
    <w:rsid w:val="00B71E00"/>
    <w:rsid w:val="00B73AA4"/>
    <w:rsid w:val="00B805D9"/>
    <w:rsid w:val="00B84F56"/>
    <w:rsid w:val="00B94B43"/>
    <w:rsid w:val="00B97A59"/>
    <w:rsid w:val="00BA15A1"/>
    <w:rsid w:val="00BA297F"/>
    <w:rsid w:val="00BA4A51"/>
    <w:rsid w:val="00BA6B12"/>
    <w:rsid w:val="00BA7680"/>
    <w:rsid w:val="00BB3E80"/>
    <w:rsid w:val="00BB6881"/>
    <w:rsid w:val="00BC29CA"/>
    <w:rsid w:val="00BC2E8D"/>
    <w:rsid w:val="00BC38C1"/>
    <w:rsid w:val="00BC53C1"/>
    <w:rsid w:val="00BC644D"/>
    <w:rsid w:val="00BD058B"/>
    <w:rsid w:val="00BD4466"/>
    <w:rsid w:val="00BD7BD6"/>
    <w:rsid w:val="00BE0849"/>
    <w:rsid w:val="00BE243F"/>
    <w:rsid w:val="00BF01AE"/>
    <w:rsid w:val="00BF3ADF"/>
    <w:rsid w:val="00BF5158"/>
    <w:rsid w:val="00C055AE"/>
    <w:rsid w:val="00C058DF"/>
    <w:rsid w:val="00C05FDE"/>
    <w:rsid w:val="00C10EA5"/>
    <w:rsid w:val="00C15264"/>
    <w:rsid w:val="00C15CA1"/>
    <w:rsid w:val="00C253D0"/>
    <w:rsid w:val="00C32CB6"/>
    <w:rsid w:val="00C33A1D"/>
    <w:rsid w:val="00C4288E"/>
    <w:rsid w:val="00C44CE2"/>
    <w:rsid w:val="00C45C1C"/>
    <w:rsid w:val="00C45ECA"/>
    <w:rsid w:val="00C50CF1"/>
    <w:rsid w:val="00C50CF3"/>
    <w:rsid w:val="00C52FEB"/>
    <w:rsid w:val="00C555A8"/>
    <w:rsid w:val="00C6201E"/>
    <w:rsid w:val="00C6532B"/>
    <w:rsid w:val="00C66F14"/>
    <w:rsid w:val="00C71115"/>
    <w:rsid w:val="00C714C6"/>
    <w:rsid w:val="00C71FC8"/>
    <w:rsid w:val="00C72509"/>
    <w:rsid w:val="00C74053"/>
    <w:rsid w:val="00C7607E"/>
    <w:rsid w:val="00C76B45"/>
    <w:rsid w:val="00C82D63"/>
    <w:rsid w:val="00C83DCD"/>
    <w:rsid w:val="00C8792B"/>
    <w:rsid w:val="00C95034"/>
    <w:rsid w:val="00CA208C"/>
    <w:rsid w:val="00CA26C2"/>
    <w:rsid w:val="00CB3D1C"/>
    <w:rsid w:val="00CB5C1B"/>
    <w:rsid w:val="00CB6BBC"/>
    <w:rsid w:val="00CC18B3"/>
    <w:rsid w:val="00CC4979"/>
    <w:rsid w:val="00CC5F7E"/>
    <w:rsid w:val="00CD469B"/>
    <w:rsid w:val="00CD6B3B"/>
    <w:rsid w:val="00CE36BF"/>
    <w:rsid w:val="00CE61FA"/>
    <w:rsid w:val="00CF1534"/>
    <w:rsid w:val="00CF6F75"/>
    <w:rsid w:val="00CF7C02"/>
    <w:rsid w:val="00D05A75"/>
    <w:rsid w:val="00D1397A"/>
    <w:rsid w:val="00D14B3E"/>
    <w:rsid w:val="00D1575C"/>
    <w:rsid w:val="00D17753"/>
    <w:rsid w:val="00D2066A"/>
    <w:rsid w:val="00D30F54"/>
    <w:rsid w:val="00D33E76"/>
    <w:rsid w:val="00D349C9"/>
    <w:rsid w:val="00D440AF"/>
    <w:rsid w:val="00D510FC"/>
    <w:rsid w:val="00D512BF"/>
    <w:rsid w:val="00D614EB"/>
    <w:rsid w:val="00D61709"/>
    <w:rsid w:val="00D63D46"/>
    <w:rsid w:val="00D63FE8"/>
    <w:rsid w:val="00D64BDA"/>
    <w:rsid w:val="00D66BC7"/>
    <w:rsid w:val="00D67603"/>
    <w:rsid w:val="00D7055F"/>
    <w:rsid w:val="00D72DB8"/>
    <w:rsid w:val="00D744DF"/>
    <w:rsid w:val="00D765F1"/>
    <w:rsid w:val="00D76ECA"/>
    <w:rsid w:val="00D900F3"/>
    <w:rsid w:val="00D92E9A"/>
    <w:rsid w:val="00D93BD8"/>
    <w:rsid w:val="00DA1665"/>
    <w:rsid w:val="00DA7BA9"/>
    <w:rsid w:val="00DB3492"/>
    <w:rsid w:val="00DE2C1D"/>
    <w:rsid w:val="00DE365A"/>
    <w:rsid w:val="00DE4277"/>
    <w:rsid w:val="00DE436B"/>
    <w:rsid w:val="00DE55AF"/>
    <w:rsid w:val="00DE612F"/>
    <w:rsid w:val="00DF1441"/>
    <w:rsid w:val="00DF2032"/>
    <w:rsid w:val="00DF6080"/>
    <w:rsid w:val="00E01996"/>
    <w:rsid w:val="00E054E0"/>
    <w:rsid w:val="00E061D6"/>
    <w:rsid w:val="00E11BF2"/>
    <w:rsid w:val="00E11EE9"/>
    <w:rsid w:val="00E13DE8"/>
    <w:rsid w:val="00E13F25"/>
    <w:rsid w:val="00E200EC"/>
    <w:rsid w:val="00E207B8"/>
    <w:rsid w:val="00E34EE4"/>
    <w:rsid w:val="00E358E8"/>
    <w:rsid w:val="00E4235B"/>
    <w:rsid w:val="00E46F44"/>
    <w:rsid w:val="00E477B9"/>
    <w:rsid w:val="00E561F5"/>
    <w:rsid w:val="00E7392A"/>
    <w:rsid w:val="00E77DF1"/>
    <w:rsid w:val="00E857D3"/>
    <w:rsid w:val="00E85A2F"/>
    <w:rsid w:val="00E85BF1"/>
    <w:rsid w:val="00E87113"/>
    <w:rsid w:val="00E87840"/>
    <w:rsid w:val="00E90825"/>
    <w:rsid w:val="00E93521"/>
    <w:rsid w:val="00E93D5E"/>
    <w:rsid w:val="00E94C41"/>
    <w:rsid w:val="00E96E74"/>
    <w:rsid w:val="00E97ED4"/>
    <w:rsid w:val="00EB1B43"/>
    <w:rsid w:val="00EB2C8C"/>
    <w:rsid w:val="00EB37AD"/>
    <w:rsid w:val="00EC0830"/>
    <w:rsid w:val="00EC0EF6"/>
    <w:rsid w:val="00ED2C58"/>
    <w:rsid w:val="00ED6701"/>
    <w:rsid w:val="00ED7100"/>
    <w:rsid w:val="00EE4A43"/>
    <w:rsid w:val="00EF79E0"/>
    <w:rsid w:val="00F017B8"/>
    <w:rsid w:val="00F04BEB"/>
    <w:rsid w:val="00F05E35"/>
    <w:rsid w:val="00F063AD"/>
    <w:rsid w:val="00F10C87"/>
    <w:rsid w:val="00F11E18"/>
    <w:rsid w:val="00F13ADA"/>
    <w:rsid w:val="00F13C83"/>
    <w:rsid w:val="00F1521A"/>
    <w:rsid w:val="00F15F90"/>
    <w:rsid w:val="00F24101"/>
    <w:rsid w:val="00F30332"/>
    <w:rsid w:val="00F317D4"/>
    <w:rsid w:val="00F37480"/>
    <w:rsid w:val="00F411E3"/>
    <w:rsid w:val="00F4249B"/>
    <w:rsid w:val="00F448E5"/>
    <w:rsid w:val="00F45C02"/>
    <w:rsid w:val="00F50B86"/>
    <w:rsid w:val="00F70AF4"/>
    <w:rsid w:val="00F741A3"/>
    <w:rsid w:val="00F74356"/>
    <w:rsid w:val="00F74366"/>
    <w:rsid w:val="00F82A76"/>
    <w:rsid w:val="00F91F1D"/>
    <w:rsid w:val="00F97DCC"/>
    <w:rsid w:val="00FA2F5A"/>
    <w:rsid w:val="00FA43F3"/>
    <w:rsid w:val="00FA4D75"/>
    <w:rsid w:val="00FB3B38"/>
    <w:rsid w:val="00FC0D94"/>
    <w:rsid w:val="00FC573E"/>
    <w:rsid w:val="00FD3A7E"/>
    <w:rsid w:val="00FD5FCE"/>
    <w:rsid w:val="00FD6459"/>
    <w:rsid w:val="00FD6C44"/>
    <w:rsid w:val="00FD7D23"/>
    <w:rsid w:val="00FE0F48"/>
    <w:rsid w:val="00FE1D16"/>
    <w:rsid w:val="00FE4B5E"/>
    <w:rsid w:val="00FE5362"/>
    <w:rsid w:val="00FF078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F544A6"/>
  <w14:defaultImageDpi w14:val="32767"/>
  <w15:chartTrackingRefBased/>
  <w15:docId w15:val="{4FCFA568-D257-7A45-AA2C-46E53BCE4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2F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52FE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52FEB"/>
    <w:rPr>
      <w:rFonts w:ascii="Times New Roman" w:hAnsi="Times New Roman" w:cs="Times New Roman"/>
      <w:sz w:val="18"/>
      <w:szCs w:val="18"/>
    </w:rPr>
  </w:style>
  <w:style w:type="table" w:styleId="TableGrid">
    <w:name w:val="Table Grid"/>
    <w:basedOn w:val="TableNormal"/>
    <w:uiPriority w:val="39"/>
    <w:rsid w:val="00C52F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52FEB"/>
    <w:rPr>
      <w:sz w:val="16"/>
      <w:szCs w:val="16"/>
    </w:rPr>
  </w:style>
  <w:style w:type="paragraph" w:styleId="CommentText">
    <w:name w:val="annotation text"/>
    <w:basedOn w:val="Normal"/>
    <w:link w:val="CommentTextChar"/>
    <w:uiPriority w:val="99"/>
    <w:semiHidden/>
    <w:unhideWhenUsed/>
    <w:rsid w:val="00C52FEB"/>
    <w:rPr>
      <w:sz w:val="20"/>
      <w:szCs w:val="20"/>
    </w:rPr>
  </w:style>
  <w:style w:type="character" w:customStyle="1" w:styleId="CommentTextChar">
    <w:name w:val="Comment Text Char"/>
    <w:basedOn w:val="DefaultParagraphFont"/>
    <w:link w:val="CommentText"/>
    <w:uiPriority w:val="99"/>
    <w:semiHidden/>
    <w:rsid w:val="00C52FEB"/>
    <w:rPr>
      <w:sz w:val="20"/>
      <w:szCs w:val="20"/>
    </w:rPr>
  </w:style>
  <w:style w:type="paragraph" w:styleId="ListParagraph">
    <w:name w:val="List Paragraph"/>
    <w:basedOn w:val="Normal"/>
    <w:uiPriority w:val="34"/>
    <w:qFormat/>
    <w:rsid w:val="00852F08"/>
    <w:pPr>
      <w:ind w:left="720"/>
      <w:contextualSpacing/>
    </w:pPr>
  </w:style>
  <w:style w:type="paragraph" w:styleId="Header">
    <w:name w:val="header"/>
    <w:basedOn w:val="Normal"/>
    <w:link w:val="HeaderChar"/>
    <w:uiPriority w:val="99"/>
    <w:unhideWhenUsed/>
    <w:rsid w:val="00A1793C"/>
    <w:pPr>
      <w:tabs>
        <w:tab w:val="center" w:pos="4680"/>
        <w:tab w:val="right" w:pos="9360"/>
      </w:tabs>
    </w:pPr>
  </w:style>
  <w:style w:type="character" w:customStyle="1" w:styleId="HeaderChar">
    <w:name w:val="Header Char"/>
    <w:basedOn w:val="DefaultParagraphFont"/>
    <w:link w:val="Header"/>
    <w:uiPriority w:val="99"/>
    <w:rsid w:val="00A1793C"/>
  </w:style>
  <w:style w:type="paragraph" w:styleId="Footer">
    <w:name w:val="footer"/>
    <w:basedOn w:val="Normal"/>
    <w:link w:val="FooterChar"/>
    <w:uiPriority w:val="99"/>
    <w:unhideWhenUsed/>
    <w:rsid w:val="00A1793C"/>
    <w:pPr>
      <w:tabs>
        <w:tab w:val="center" w:pos="4680"/>
        <w:tab w:val="right" w:pos="9360"/>
      </w:tabs>
    </w:pPr>
  </w:style>
  <w:style w:type="character" w:customStyle="1" w:styleId="FooterChar">
    <w:name w:val="Footer Char"/>
    <w:basedOn w:val="DefaultParagraphFont"/>
    <w:link w:val="Footer"/>
    <w:uiPriority w:val="99"/>
    <w:rsid w:val="00A1793C"/>
  </w:style>
  <w:style w:type="paragraph" w:styleId="CommentSubject">
    <w:name w:val="annotation subject"/>
    <w:basedOn w:val="CommentText"/>
    <w:next w:val="CommentText"/>
    <w:link w:val="CommentSubjectChar"/>
    <w:uiPriority w:val="99"/>
    <w:semiHidden/>
    <w:unhideWhenUsed/>
    <w:rsid w:val="005A3E37"/>
    <w:rPr>
      <w:b/>
      <w:bCs/>
    </w:rPr>
  </w:style>
  <w:style w:type="character" w:customStyle="1" w:styleId="CommentSubjectChar">
    <w:name w:val="Comment Subject Char"/>
    <w:basedOn w:val="CommentTextChar"/>
    <w:link w:val="CommentSubject"/>
    <w:uiPriority w:val="99"/>
    <w:semiHidden/>
    <w:rsid w:val="005A3E37"/>
    <w:rPr>
      <w:b/>
      <w:bCs/>
      <w:sz w:val="20"/>
      <w:szCs w:val="20"/>
    </w:rPr>
  </w:style>
  <w:style w:type="paragraph" w:styleId="NormalWeb">
    <w:name w:val="Normal (Web)"/>
    <w:basedOn w:val="Normal"/>
    <w:uiPriority w:val="99"/>
    <w:semiHidden/>
    <w:unhideWhenUsed/>
    <w:rsid w:val="005A3E37"/>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C32CB6"/>
    <w:rPr>
      <w:color w:val="0563C1" w:themeColor="hyperlink"/>
      <w:u w:val="single"/>
    </w:rPr>
  </w:style>
  <w:style w:type="character" w:customStyle="1" w:styleId="UnresolvedMention">
    <w:name w:val="Unresolved Mention"/>
    <w:basedOn w:val="DefaultParagraphFont"/>
    <w:uiPriority w:val="99"/>
    <w:rsid w:val="00B97A59"/>
    <w:rPr>
      <w:color w:val="605E5C"/>
      <w:shd w:val="clear" w:color="auto" w:fill="E1DFDD"/>
    </w:rPr>
  </w:style>
  <w:style w:type="character" w:styleId="FollowedHyperlink">
    <w:name w:val="FollowedHyperlink"/>
    <w:basedOn w:val="DefaultParagraphFont"/>
    <w:uiPriority w:val="99"/>
    <w:semiHidden/>
    <w:unhideWhenUsed/>
    <w:rsid w:val="00CD469B"/>
    <w:rPr>
      <w:color w:val="954F72" w:themeColor="followedHyperlink"/>
      <w:u w:val="single"/>
    </w:rPr>
  </w:style>
  <w:style w:type="character" w:customStyle="1" w:styleId="UnresolvedMention1">
    <w:name w:val="Unresolved Mention1"/>
    <w:basedOn w:val="DefaultParagraphFont"/>
    <w:uiPriority w:val="99"/>
    <w:rsid w:val="004B4CF2"/>
    <w:rPr>
      <w:color w:val="605E5C"/>
      <w:shd w:val="clear" w:color="auto" w:fill="E1DFDD"/>
    </w:rPr>
  </w:style>
  <w:style w:type="paragraph" w:styleId="NoSpacing">
    <w:name w:val="No Spacing"/>
    <w:uiPriority w:val="1"/>
    <w:qFormat/>
    <w:rsid w:val="00142947"/>
  </w:style>
  <w:style w:type="paragraph" w:styleId="Revision">
    <w:name w:val="Revision"/>
    <w:hidden/>
    <w:uiPriority w:val="99"/>
    <w:semiHidden/>
    <w:rsid w:val="002430E0"/>
  </w:style>
  <w:style w:type="table" w:customStyle="1" w:styleId="TableGrid1">
    <w:name w:val="Table Grid1"/>
    <w:basedOn w:val="TableNormal"/>
    <w:next w:val="TableGrid"/>
    <w:uiPriority w:val="39"/>
    <w:rsid w:val="00D33E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143946">
      <w:bodyDiv w:val="1"/>
      <w:marLeft w:val="0"/>
      <w:marRight w:val="0"/>
      <w:marTop w:val="0"/>
      <w:marBottom w:val="0"/>
      <w:divBdr>
        <w:top w:val="none" w:sz="0" w:space="0" w:color="auto"/>
        <w:left w:val="none" w:sz="0" w:space="0" w:color="auto"/>
        <w:bottom w:val="none" w:sz="0" w:space="0" w:color="auto"/>
        <w:right w:val="none" w:sz="0" w:space="0" w:color="auto"/>
      </w:divBdr>
    </w:div>
    <w:div w:id="52701585">
      <w:bodyDiv w:val="1"/>
      <w:marLeft w:val="0"/>
      <w:marRight w:val="0"/>
      <w:marTop w:val="0"/>
      <w:marBottom w:val="0"/>
      <w:divBdr>
        <w:top w:val="none" w:sz="0" w:space="0" w:color="auto"/>
        <w:left w:val="none" w:sz="0" w:space="0" w:color="auto"/>
        <w:bottom w:val="none" w:sz="0" w:space="0" w:color="auto"/>
        <w:right w:val="none" w:sz="0" w:space="0" w:color="auto"/>
      </w:divBdr>
    </w:div>
    <w:div w:id="55131997">
      <w:bodyDiv w:val="1"/>
      <w:marLeft w:val="0"/>
      <w:marRight w:val="0"/>
      <w:marTop w:val="0"/>
      <w:marBottom w:val="0"/>
      <w:divBdr>
        <w:top w:val="none" w:sz="0" w:space="0" w:color="auto"/>
        <w:left w:val="none" w:sz="0" w:space="0" w:color="auto"/>
        <w:bottom w:val="none" w:sz="0" w:space="0" w:color="auto"/>
        <w:right w:val="none" w:sz="0" w:space="0" w:color="auto"/>
      </w:divBdr>
    </w:div>
    <w:div w:id="204947694">
      <w:bodyDiv w:val="1"/>
      <w:marLeft w:val="0"/>
      <w:marRight w:val="0"/>
      <w:marTop w:val="0"/>
      <w:marBottom w:val="0"/>
      <w:divBdr>
        <w:top w:val="none" w:sz="0" w:space="0" w:color="auto"/>
        <w:left w:val="none" w:sz="0" w:space="0" w:color="auto"/>
        <w:bottom w:val="none" w:sz="0" w:space="0" w:color="auto"/>
        <w:right w:val="none" w:sz="0" w:space="0" w:color="auto"/>
      </w:divBdr>
    </w:div>
    <w:div w:id="214901870">
      <w:bodyDiv w:val="1"/>
      <w:marLeft w:val="0"/>
      <w:marRight w:val="0"/>
      <w:marTop w:val="0"/>
      <w:marBottom w:val="0"/>
      <w:divBdr>
        <w:top w:val="none" w:sz="0" w:space="0" w:color="auto"/>
        <w:left w:val="none" w:sz="0" w:space="0" w:color="auto"/>
        <w:bottom w:val="none" w:sz="0" w:space="0" w:color="auto"/>
        <w:right w:val="none" w:sz="0" w:space="0" w:color="auto"/>
      </w:divBdr>
    </w:div>
    <w:div w:id="295255471">
      <w:bodyDiv w:val="1"/>
      <w:marLeft w:val="0"/>
      <w:marRight w:val="0"/>
      <w:marTop w:val="0"/>
      <w:marBottom w:val="0"/>
      <w:divBdr>
        <w:top w:val="none" w:sz="0" w:space="0" w:color="auto"/>
        <w:left w:val="none" w:sz="0" w:space="0" w:color="auto"/>
        <w:bottom w:val="none" w:sz="0" w:space="0" w:color="auto"/>
        <w:right w:val="none" w:sz="0" w:space="0" w:color="auto"/>
      </w:divBdr>
    </w:div>
    <w:div w:id="519851786">
      <w:bodyDiv w:val="1"/>
      <w:marLeft w:val="0"/>
      <w:marRight w:val="0"/>
      <w:marTop w:val="0"/>
      <w:marBottom w:val="0"/>
      <w:divBdr>
        <w:top w:val="none" w:sz="0" w:space="0" w:color="auto"/>
        <w:left w:val="none" w:sz="0" w:space="0" w:color="auto"/>
        <w:bottom w:val="none" w:sz="0" w:space="0" w:color="auto"/>
        <w:right w:val="none" w:sz="0" w:space="0" w:color="auto"/>
      </w:divBdr>
    </w:div>
    <w:div w:id="552085536">
      <w:bodyDiv w:val="1"/>
      <w:marLeft w:val="0"/>
      <w:marRight w:val="0"/>
      <w:marTop w:val="0"/>
      <w:marBottom w:val="0"/>
      <w:divBdr>
        <w:top w:val="none" w:sz="0" w:space="0" w:color="auto"/>
        <w:left w:val="none" w:sz="0" w:space="0" w:color="auto"/>
        <w:bottom w:val="none" w:sz="0" w:space="0" w:color="auto"/>
        <w:right w:val="none" w:sz="0" w:space="0" w:color="auto"/>
      </w:divBdr>
    </w:div>
    <w:div w:id="555705911">
      <w:bodyDiv w:val="1"/>
      <w:marLeft w:val="0"/>
      <w:marRight w:val="0"/>
      <w:marTop w:val="0"/>
      <w:marBottom w:val="0"/>
      <w:divBdr>
        <w:top w:val="none" w:sz="0" w:space="0" w:color="auto"/>
        <w:left w:val="none" w:sz="0" w:space="0" w:color="auto"/>
        <w:bottom w:val="none" w:sz="0" w:space="0" w:color="auto"/>
        <w:right w:val="none" w:sz="0" w:space="0" w:color="auto"/>
      </w:divBdr>
    </w:div>
    <w:div w:id="612786224">
      <w:bodyDiv w:val="1"/>
      <w:marLeft w:val="0"/>
      <w:marRight w:val="0"/>
      <w:marTop w:val="0"/>
      <w:marBottom w:val="0"/>
      <w:divBdr>
        <w:top w:val="none" w:sz="0" w:space="0" w:color="auto"/>
        <w:left w:val="none" w:sz="0" w:space="0" w:color="auto"/>
        <w:bottom w:val="none" w:sz="0" w:space="0" w:color="auto"/>
        <w:right w:val="none" w:sz="0" w:space="0" w:color="auto"/>
      </w:divBdr>
    </w:div>
    <w:div w:id="649409310">
      <w:bodyDiv w:val="1"/>
      <w:marLeft w:val="0"/>
      <w:marRight w:val="0"/>
      <w:marTop w:val="0"/>
      <w:marBottom w:val="0"/>
      <w:divBdr>
        <w:top w:val="none" w:sz="0" w:space="0" w:color="auto"/>
        <w:left w:val="none" w:sz="0" w:space="0" w:color="auto"/>
        <w:bottom w:val="none" w:sz="0" w:space="0" w:color="auto"/>
        <w:right w:val="none" w:sz="0" w:space="0" w:color="auto"/>
      </w:divBdr>
    </w:div>
    <w:div w:id="674843997">
      <w:bodyDiv w:val="1"/>
      <w:marLeft w:val="0"/>
      <w:marRight w:val="0"/>
      <w:marTop w:val="0"/>
      <w:marBottom w:val="0"/>
      <w:divBdr>
        <w:top w:val="none" w:sz="0" w:space="0" w:color="auto"/>
        <w:left w:val="none" w:sz="0" w:space="0" w:color="auto"/>
        <w:bottom w:val="none" w:sz="0" w:space="0" w:color="auto"/>
        <w:right w:val="none" w:sz="0" w:space="0" w:color="auto"/>
      </w:divBdr>
    </w:div>
    <w:div w:id="714280337">
      <w:bodyDiv w:val="1"/>
      <w:marLeft w:val="0"/>
      <w:marRight w:val="0"/>
      <w:marTop w:val="0"/>
      <w:marBottom w:val="0"/>
      <w:divBdr>
        <w:top w:val="none" w:sz="0" w:space="0" w:color="auto"/>
        <w:left w:val="none" w:sz="0" w:space="0" w:color="auto"/>
        <w:bottom w:val="none" w:sz="0" w:space="0" w:color="auto"/>
        <w:right w:val="none" w:sz="0" w:space="0" w:color="auto"/>
      </w:divBdr>
    </w:div>
    <w:div w:id="782773664">
      <w:bodyDiv w:val="1"/>
      <w:marLeft w:val="0"/>
      <w:marRight w:val="0"/>
      <w:marTop w:val="0"/>
      <w:marBottom w:val="0"/>
      <w:divBdr>
        <w:top w:val="none" w:sz="0" w:space="0" w:color="auto"/>
        <w:left w:val="none" w:sz="0" w:space="0" w:color="auto"/>
        <w:bottom w:val="none" w:sz="0" w:space="0" w:color="auto"/>
        <w:right w:val="none" w:sz="0" w:space="0" w:color="auto"/>
      </w:divBdr>
      <w:divsChild>
        <w:div w:id="5859189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7022611">
              <w:marLeft w:val="0"/>
              <w:marRight w:val="0"/>
              <w:marTop w:val="0"/>
              <w:marBottom w:val="0"/>
              <w:divBdr>
                <w:top w:val="none" w:sz="0" w:space="0" w:color="auto"/>
                <w:left w:val="none" w:sz="0" w:space="0" w:color="auto"/>
                <w:bottom w:val="none" w:sz="0" w:space="0" w:color="auto"/>
                <w:right w:val="none" w:sz="0" w:space="0" w:color="auto"/>
              </w:divBdr>
              <w:divsChild>
                <w:div w:id="847600659">
                  <w:marLeft w:val="0"/>
                  <w:marRight w:val="0"/>
                  <w:marTop w:val="0"/>
                  <w:marBottom w:val="0"/>
                  <w:divBdr>
                    <w:top w:val="none" w:sz="0" w:space="0" w:color="auto"/>
                    <w:left w:val="none" w:sz="0" w:space="0" w:color="auto"/>
                    <w:bottom w:val="none" w:sz="0" w:space="0" w:color="auto"/>
                    <w:right w:val="none" w:sz="0" w:space="0" w:color="auto"/>
                  </w:divBdr>
                </w:div>
                <w:div w:id="1956060362">
                  <w:marLeft w:val="0"/>
                  <w:marRight w:val="0"/>
                  <w:marTop w:val="0"/>
                  <w:marBottom w:val="0"/>
                  <w:divBdr>
                    <w:top w:val="none" w:sz="0" w:space="0" w:color="auto"/>
                    <w:left w:val="none" w:sz="0" w:space="0" w:color="auto"/>
                    <w:bottom w:val="none" w:sz="0" w:space="0" w:color="auto"/>
                    <w:right w:val="none" w:sz="0" w:space="0" w:color="auto"/>
                  </w:divBdr>
                </w:div>
                <w:div w:id="2076390105">
                  <w:marLeft w:val="0"/>
                  <w:marRight w:val="0"/>
                  <w:marTop w:val="0"/>
                  <w:marBottom w:val="0"/>
                  <w:divBdr>
                    <w:top w:val="none" w:sz="0" w:space="0" w:color="auto"/>
                    <w:left w:val="none" w:sz="0" w:space="0" w:color="auto"/>
                    <w:bottom w:val="none" w:sz="0" w:space="0" w:color="auto"/>
                    <w:right w:val="none" w:sz="0" w:space="0" w:color="auto"/>
                  </w:divBdr>
                </w:div>
                <w:div w:id="1080717845">
                  <w:marLeft w:val="0"/>
                  <w:marRight w:val="0"/>
                  <w:marTop w:val="0"/>
                  <w:marBottom w:val="0"/>
                  <w:divBdr>
                    <w:top w:val="none" w:sz="0" w:space="0" w:color="auto"/>
                    <w:left w:val="none" w:sz="0" w:space="0" w:color="auto"/>
                    <w:bottom w:val="none" w:sz="0" w:space="0" w:color="auto"/>
                    <w:right w:val="none" w:sz="0" w:space="0" w:color="auto"/>
                  </w:divBdr>
                </w:div>
                <w:div w:id="1077942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973456">
      <w:bodyDiv w:val="1"/>
      <w:marLeft w:val="0"/>
      <w:marRight w:val="0"/>
      <w:marTop w:val="0"/>
      <w:marBottom w:val="0"/>
      <w:divBdr>
        <w:top w:val="none" w:sz="0" w:space="0" w:color="auto"/>
        <w:left w:val="none" w:sz="0" w:space="0" w:color="auto"/>
        <w:bottom w:val="none" w:sz="0" w:space="0" w:color="auto"/>
        <w:right w:val="none" w:sz="0" w:space="0" w:color="auto"/>
      </w:divBdr>
      <w:divsChild>
        <w:div w:id="443841757">
          <w:marLeft w:val="0"/>
          <w:marRight w:val="0"/>
          <w:marTop w:val="0"/>
          <w:marBottom w:val="0"/>
          <w:divBdr>
            <w:top w:val="none" w:sz="0" w:space="0" w:color="auto"/>
            <w:left w:val="none" w:sz="0" w:space="0" w:color="auto"/>
            <w:bottom w:val="none" w:sz="0" w:space="0" w:color="auto"/>
            <w:right w:val="none" w:sz="0" w:space="0" w:color="auto"/>
          </w:divBdr>
        </w:div>
        <w:div w:id="1694960862">
          <w:marLeft w:val="0"/>
          <w:marRight w:val="0"/>
          <w:marTop w:val="0"/>
          <w:marBottom w:val="0"/>
          <w:divBdr>
            <w:top w:val="none" w:sz="0" w:space="0" w:color="auto"/>
            <w:left w:val="none" w:sz="0" w:space="0" w:color="auto"/>
            <w:bottom w:val="none" w:sz="0" w:space="0" w:color="auto"/>
            <w:right w:val="none" w:sz="0" w:space="0" w:color="auto"/>
          </w:divBdr>
        </w:div>
      </w:divsChild>
    </w:div>
    <w:div w:id="972783380">
      <w:bodyDiv w:val="1"/>
      <w:marLeft w:val="0"/>
      <w:marRight w:val="0"/>
      <w:marTop w:val="0"/>
      <w:marBottom w:val="0"/>
      <w:divBdr>
        <w:top w:val="none" w:sz="0" w:space="0" w:color="auto"/>
        <w:left w:val="none" w:sz="0" w:space="0" w:color="auto"/>
        <w:bottom w:val="none" w:sz="0" w:space="0" w:color="auto"/>
        <w:right w:val="none" w:sz="0" w:space="0" w:color="auto"/>
      </w:divBdr>
    </w:div>
    <w:div w:id="1029378150">
      <w:bodyDiv w:val="1"/>
      <w:marLeft w:val="0"/>
      <w:marRight w:val="0"/>
      <w:marTop w:val="0"/>
      <w:marBottom w:val="0"/>
      <w:divBdr>
        <w:top w:val="none" w:sz="0" w:space="0" w:color="auto"/>
        <w:left w:val="none" w:sz="0" w:space="0" w:color="auto"/>
        <w:bottom w:val="none" w:sz="0" w:space="0" w:color="auto"/>
        <w:right w:val="none" w:sz="0" w:space="0" w:color="auto"/>
      </w:divBdr>
      <w:divsChild>
        <w:div w:id="878400512">
          <w:marLeft w:val="0"/>
          <w:marRight w:val="0"/>
          <w:marTop w:val="0"/>
          <w:marBottom w:val="0"/>
          <w:divBdr>
            <w:top w:val="none" w:sz="0" w:space="0" w:color="auto"/>
            <w:left w:val="none" w:sz="0" w:space="0" w:color="auto"/>
            <w:bottom w:val="none" w:sz="0" w:space="0" w:color="auto"/>
            <w:right w:val="none" w:sz="0" w:space="0" w:color="auto"/>
          </w:divBdr>
        </w:div>
        <w:div w:id="1935085163">
          <w:marLeft w:val="0"/>
          <w:marRight w:val="0"/>
          <w:marTop w:val="0"/>
          <w:marBottom w:val="0"/>
          <w:divBdr>
            <w:top w:val="none" w:sz="0" w:space="0" w:color="auto"/>
            <w:left w:val="none" w:sz="0" w:space="0" w:color="auto"/>
            <w:bottom w:val="none" w:sz="0" w:space="0" w:color="auto"/>
            <w:right w:val="none" w:sz="0" w:space="0" w:color="auto"/>
          </w:divBdr>
        </w:div>
      </w:divsChild>
    </w:div>
    <w:div w:id="1033581274">
      <w:bodyDiv w:val="1"/>
      <w:marLeft w:val="0"/>
      <w:marRight w:val="0"/>
      <w:marTop w:val="0"/>
      <w:marBottom w:val="0"/>
      <w:divBdr>
        <w:top w:val="none" w:sz="0" w:space="0" w:color="auto"/>
        <w:left w:val="none" w:sz="0" w:space="0" w:color="auto"/>
        <w:bottom w:val="none" w:sz="0" w:space="0" w:color="auto"/>
        <w:right w:val="none" w:sz="0" w:space="0" w:color="auto"/>
      </w:divBdr>
    </w:div>
    <w:div w:id="1064572971">
      <w:bodyDiv w:val="1"/>
      <w:marLeft w:val="0"/>
      <w:marRight w:val="0"/>
      <w:marTop w:val="0"/>
      <w:marBottom w:val="0"/>
      <w:divBdr>
        <w:top w:val="none" w:sz="0" w:space="0" w:color="auto"/>
        <w:left w:val="none" w:sz="0" w:space="0" w:color="auto"/>
        <w:bottom w:val="none" w:sz="0" w:space="0" w:color="auto"/>
        <w:right w:val="none" w:sz="0" w:space="0" w:color="auto"/>
      </w:divBdr>
    </w:div>
    <w:div w:id="1087848385">
      <w:bodyDiv w:val="1"/>
      <w:marLeft w:val="0"/>
      <w:marRight w:val="0"/>
      <w:marTop w:val="0"/>
      <w:marBottom w:val="0"/>
      <w:divBdr>
        <w:top w:val="none" w:sz="0" w:space="0" w:color="auto"/>
        <w:left w:val="none" w:sz="0" w:space="0" w:color="auto"/>
        <w:bottom w:val="none" w:sz="0" w:space="0" w:color="auto"/>
        <w:right w:val="none" w:sz="0" w:space="0" w:color="auto"/>
      </w:divBdr>
    </w:div>
    <w:div w:id="1110320147">
      <w:bodyDiv w:val="1"/>
      <w:marLeft w:val="0"/>
      <w:marRight w:val="0"/>
      <w:marTop w:val="0"/>
      <w:marBottom w:val="0"/>
      <w:divBdr>
        <w:top w:val="none" w:sz="0" w:space="0" w:color="auto"/>
        <w:left w:val="none" w:sz="0" w:space="0" w:color="auto"/>
        <w:bottom w:val="none" w:sz="0" w:space="0" w:color="auto"/>
        <w:right w:val="none" w:sz="0" w:space="0" w:color="auto"/>
      </w:divBdr>
    </w:div>
    <w:div w:id="1124732537">
      <w:bodyDiv w:val="1"/>
      <w:marLeft w:val="0"/>
      <w:marRight w:val="0"/>
      <w:marTop w:val="0"/>
      <w:marBottom w:val="0"/>
      <w:divBdr>
        <w:top w:val="none" w:sz="0" w:space="0" w:color="auto"/>
        <w:left w:val="none" w:sz="0" w:space="0" w:color="auto"/>
        <w:bottom w:val="none" w:sz="0" w:space="0" w:color="auto"/>
        <w:right w:val="none" w:sz="0" w:space="0" w:color="auto"/>
      </w:divBdr>
    </w:div>
    <w:div w:id="1153839051">
      <w:bodyDiv w:val="1"/>
      <w:marLeft w:val="0"/>
      <w:marRight w:val="0"/>
      <w:marTop w:val="0"/>
      <w:marBottom w:val="0"/>
      <w:divBdr>
        <w:top w:val="none" w:sz="0" w:space="0" w:color="auto"/>
        <w:left w:val="none" w:sz="0" w:space="0" w:color="auto"/>
        <w:bottom w:val="none" w:sz="0" w:space="0" w:color="auto"/>
        <w:right w:val="none" w:sz="0" w:space="0" w:color="auto"/>
      </w:divBdr>
    </w:div>
    <w:div w:id="1328630014">
      <w:bodyDiv w:val="1"/>
      <w:marLeft w:val="0"/>
      <w:marRight w:val="0"/>
      <w:marTop w:val="0"/>
      <w:marBottom w:val="0"/>
      <w:divBdr>
        <w:top w:val="none" w:sz="0" w:space="0" w:color="auto"/>
        <w:left w:val="none" w:sz="0" w:space="0" w:color="auto"/>
        <w:bottom w:val="none" w:sz="0" w:space="0" w:color="auto"/>
        <w:right w:val="none" w:sz="0" w:space="0" w:color="auto"/>
      </w:divBdr>
    </w:div>
    <w:div w:id="1462502493">
      <w:bodyDiv w:val="1"/>
      <w:marLeft w:val="0"/>
      <w:marRight w:val="0"/>
      <w:marTop w:val="0"/>
      <w:marBottom w:val="0"/>
      <w:divBdr>
        <w:top w:val="none" w:sz="0" w:space="0" w:color="auto"/>
        <w:left w:val="none" w:sz="0" w:space="0" w:color="auto"/>
        <w:bottom w:val="none" w:sz="0" w:space="0" w:color="auto"/>
        <w:right w:val="none" w:sz="0" w:space="0" w:color="auto"/>
      </w:divBdr>
      <w:divsChild>
        <w:div w:id="1889681838">
          <w:marLeft w:val="0"/>
          <w:marRight w:val="0"/>
          <w:marTop w:val="0"/>
          <w:marBottom w:val="0"/>
          <w:divBdr>
            <w:top w:val="none" w:sz="0" w:space="0" w:color="auto"/>
            <w:left w:val="none" w:sz="0" w:space="0" w:color="auto"/>
            <w:bottom w:val="none" w:sz="0" w:space="0" w:color="auto"/>
            <w:right w:val="none" w:sz="0" w:space="0" w:color="auto"/>
          </w:divBdr>
        </w:div>
        <w:div w:id="29230226">
          <w:marLeft w:val="0"/>
          <w:marRight w:val="0"/>
          <w:marTop w:val="0"/>
          <w:marBottom w:val="0"/>
          <w:divBdr>
            <w:top w:val="none" w:sz="0" w:space="0" w:color="auto"/>
            <w:left w:val="none" w:sz="0" w:space="0" w:color="auto"/>
            <w:bottom w:val="none" w:sz="0" w:space="0" w:color="auto"/>
            <w:right w:val="none" w:sz="0" w:space="0" w:color="auto"/>
          </w:divBdr>
        </w:div>
      </w:divsChild>
    </w:div>
    <w:div w:id="1551460001">
      <w:bodyDiv w:val="1"/>
      <w:marLeft w:val="0"/>
      <w:marRight w:val="0"/>
      <w:marTop w:val="0"/>
      <w:marBottom w:val="0"/>
      <w:divBdr>
        <w:top w:val="none" w:sz="0" w:space="0" w:color="auto"/>
        <w:left w:val="none" w:sz="0" w:space="0" w:color="auto"/>
        <w:bottom w:val="none" w:sz="0" w:space="0" w:color="auto"/>
        <w:right w:val="none" w:sz="0" w:space="0" w:color="auto"/>
      </w:divBdr>
    </w:div>
    <w:div w:id="1584217600">
      <w:bodyDiv w:val="1"/>
      <w:marLeft w:val="0"/>
      <w:marRight w:val="0"/>
      <w:marTop w:val="0"/>
      <w:marBottom w:val="0"/>
      <w:divBdr>
        <w:top w:val="none" w:sz="0" w:space="0" w:color="auto"/>
        <w:left w:val="none" w:sz="0" w:space="0" w:color="auto"/>
        <w:bottom w:val="none" w:sz="0" w:space="0" w:color="auto"/>
        <w:right w:val="none" w:sz="0" w:space="0" w:color="auto"/>
      </w:divBdr>
    </w:div>
    <w:div w:id="1704095733">
      <w:bodyDiv w:val="1"/>
      <w:marLeft w:val="0"/>
      <w:marRight w:val="0"/>
      <w:marTop w:val="0"/>
      <w:marBottom w:val="0"/>
      <w:divBdr>
        <w:top w:val="none" w:sz="0" w:space="0" w:color="auto"/>
        <w:left w:val="none" w:sz="0" w:space="0" w:color="auto"/>
        <w:bottom w:val="none" w:sz="0" w:space="0" w:color="auto"/>
        <w:right w:val="none" w:sz="0" w:space="0" w:color="auto"/>
      </w:divBdr>
    </w:div>
    <w:div w:id="1804421792">
      <w:bodyDiv w:val="1"/>
      <w:marLeft w:val="0"/>
      <w:marRight w:val="0"/>
      <w:marTop w:val="0"/>
      <w:marBottom w:val="0"/>
      <w:divBdr>
        <w:top w:val="none" w:sz="0" w:space="0" w:color="auto"/>
        <w:left w:val="none" w:sz="0" w:space="0" w:color="auto"/>
        <w:bottom w:val="none" w:sz="0" w:space="0" w:color="auto"/>
        <w:right w:val="none" w:sz="0" w:space="0" w:color="auto"/>
      </w:divBdr>
    </w:div>
    <w:div w:id="1844320358">
      <w:bodyDiv w:val="1"/>
      <w:marLeft w:val="0"/>
      <w:marRight w:val="0"/>
      <w:marTop w:val="0"/>
      <w:marBottom w:val="0"/>
      <w:divBdr>
        <w:top w:val="none" w:sz="0" w:space="0" w:color="auto"/>
        <w:left w:val="none" w:sz="0" w:space="0" w:color="auto"/>
        <w:bottom w:val="none" w:sz="0" w:space="0" w:color="auto"/>
        <w:right w:val="none" w:sz="0" w:space="0" w:color="auto"/>
      </w:divBdr>
    </w:div>
    <w:div w:id="1900506987">
      <w:bodyDiv w:val="1"/>
      <w:marLeft w:val="0"/>
      <w:marRight w:val="0"/>
      <w:marTop w:val="0"/>
      <w:marBottom w:val="0"/>
      <w:divBdr>
        <w:top w:val="none" w:sz="0" w:space="0" w:color="auto"/>
        <w:left w:val="none" w:sz="0" w:space="0" w:color="auto"/>
        <w:bottom w:val="none" w:sz="0" w:space="0" w:color="auto"/>
        <w:right w:val="none" w:sz="0" w:space="0" w:color="auto"/>
      </w:divBdr>
    </w:div>
    <w:div w:id="1907255254">
      <w:bodyDiv w:val="1"/>
      <w:marLeft w:val="0"/>
      <w:marRight w:val="0"/>
      <w:marTop w:val="0"/>
      <w:marBottom w:val="0"/>
      <w:divBdr>
        <w:top w:val="none" w:sz="0" w:space="0" w:color="auto"/>
        <w:left w:val="none" w:sz="0" w:space="0" w:color="auto"/>
        <w:bottom w:val="none" w:sz="0" w:space="0" w:color="auto"/>
        <w:right w:val="none" w:sz="0" w:space="0" w:color="auto"/>
      </w:divBdr>
    </w:div>
    <w:div w:id="1922063156">
      <w:bodyDiv w:val="1"/>
      <w:marLeft w:val="0"/>
      <w:marRight w:val="0"/>
      <w:marTop w:val="0"/>
      <w:marBottom w:val="0"/>
      <w:divBdr>
        <w:top w:val="none" w:sz="0" w:space="0" w:color="auto"/>
        <w:left w:val="none" w:sz="0" w:space="0" w:color="auto"/>
        <w:bottom w:val="none" w:sz="0" w:space="0" w:color="auto"/>
        <w:right w:val="none" w:sz="0" w:space="0" w:color="auto"/>
      </w:divBdr>
      <w:divsChild>
        <w:div w:id="986741982">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linicaltrials.gov/ct2/show/NCT02612129" TargetMode="External"/><Relationship Id="rId18" Type="http://schemas.openxmlformats.org/officeDocument/2006/relationships/hyperlink" Target="https://clinicaltrials.gov/ct2/show/NCT03201627"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clinicaltrials.gov/ct2/show/NCT03643562" TargetMode="External"/><Relationship Id="rId7" Type="http://schemas.openxmlformats.org/officeDocument/2006/relationships/settings" Target="settings.xml"/><Relationship Id="rId12" Type="http://schemas.openxmlformats.org/officeDocument/2006/relationships/hyperlink" Target="https://clinicaltrials.gov/ct2/show/NCT02435030" TargetMode="External"/><Relationship Id="rId17" Type="http://schemas.openxmlformats.org/officeDocument/2006/relationships/hyperlink" Target="https://clinicaltrials.gov/ct2/show/NCT02534844"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clinicaltrials.gov/ct2/show/NCT01747135" TargetMode="External"/><Relationship Id="rId20" Type="http://schemas.openxmlformats.org/officeDocument/2006/relationships/hyperlink" Target="https://clinicaltrials.gov/ct2/show/NCT03910621"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linicaltrials.gov/ct2/show/NCT01760564" TargetMode="External"/><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clinicaltrials.gov/ct2/show/NCT03893071"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clinicaltrials.gov/ct2/show/NCT03879655"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chranelibrary.com/central/doi/10.1002/central/CN-01847832/full?highlightAbstract=niemann%7Cdisease%7Cc%7Cpick%7Cdiseas%7Ctype" TargetMode="External"/><Relationship Id="rId22" Type="http://schemas.openxmlformats.org/officeDocument/2006/relationships/hyperlink" Target="https://clinicaltrials.gov/ct2/show/NCT01899950" TargetMode="External"/><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6D41F3D3A9D1F42AE271BFE5B3F0824" ma:contentTypeVersion="12" ma:contentTypeDescription="Create a new document." ma:contentTypeScope="" ma:versionID="4ce2faa4c5f4dbfe1c9cc32cb578d8c3">
  <xsd:schema xmlns:xsd="http://www.w3.org/2001/XMLSchema" xmlns:xs="http://www.w3.org/2001/XMLSchema" xmlns:p="http://schemas.microsoft.com/office/2006/metadata/properties" xmlns:ns2="da33a397-c339-4097-827a-6bb9b7b5d1e9" xmlns:ns3="122a72b3-6b63-414d-9812-91d01d2ca487" targetNamespace="http://schemas.microsoft.com/office/2006/metadata/properties" ma:root="true" ma:fieldsID="60229efdf6ce8803c784f41fc158c003" ns2:_="" ns3:_="">
    <xsd:import namespace="da33a397-c339-4097-827a-6bb9b7b5d1e9"/>
    <xsd:import namespace="122a72b3-6b63-414d-9812-91d01d2ca4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AutoKeyPoints" minOccurs="0"/>
                <xsd:element ref="ns2:MediaServiceKeyPoint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33a397-c339-4097-827a-6bb9b7b5d1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2a72b3-6b63-414d-9812-91d01d2ca487"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A8DCCF-8042-4E64-BE1A-A67BD67906D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5F38666-9A92-4070-946C-D0F38E5925D9}">
  <ds:schemaRefs>
    <ds:schemaRef ds:uri="http://schemas.microsoft.com/sharepoint/v3/contenttype/forms"/>
  </ds:schemaRefs>
</ds:datastoreItem>
</file>

<file path=customXml/itemProps3.xml><?xml version="1.0" encoding="utf-8"?>
<ds:datastoreItem xmlns:ds="http://schemas.openxmlformats.org/officeDocument/2006/customXml" ds:itemID="{ADE56D01-DA9C-4893-BEE0-F24670C0FB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33a397-c339-4097-827a-6bb9b7b5d1e9"/>
    <ds:schemaRef ds:uri="122a72b3-6b63-414d-9812-91d01d2ca4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5C82012-2B78-4BD2-80CA-D0B84865A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1798</Words>
  <Characters>10249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Ellie Collins</dc:creator>
  <cp:keywords/>
  <dc:description/>
  <cp:lastModifiedBy>Poonam Mutha</cp:lastModifiedBy>
  <cp:revision>3</cp:revision>
  <dcterms:created xsi:type="dcterms:W3CDTF">2021-02-11T17:22:00Z</dcterms:created>
  <dcterms:modified xsi:type="dcterms:W3CDTF">2021-02-24T13:39:00Z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0x010100C6D41F3D3A9D1F42AE271BFE5B3F0824</vt:lpwstr>
  </property>
  <property fmtid="{D5CDD505-2E9C-101B-9397-08002B2CF9AE}" pid="3" name="Order">
    <vt:r8>5500</vt:r8>
  </property>
</Properties>
</file>