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int="default" w:ascii="Times New Roman" w:hAnsi="Times New Roman" w:cs="Times New Roman"/>
          <w:b w:val="0"/>
          <w:bCs w:val="0"/>
          <w:sz w:val="20"/>
          <w:szCs w:val="20"/>
          <w:lang w:val="en-US"/>
        </w:rPr>
      </w:pPr>
      <w:bookmarkStart w:id="0" w:name="OLE_LINK16"/>
      <w:bookmarkStart w:id="1" w:name="_Hlk81050932"/>
      <w:bookmarkStart w:id="2" w:name="OLE_LINK13"/>
      <w:bookmarkStart w:id="3" w:name="OLE_LINK25"/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>The risk of Sjogren’s syndrome on immune checkpoint inhibitors</w:t>
      </w:r>
      <w:bookmarkEnd w:id="0"/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>：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>a retrospective pharmacovigilance study in FAERS database</w:t>
      </w:r>
      <w:bookmarkEnd w:id="1"/>
      <w:bookmarkEnd w:id="2"/>
    </w:p>
    <w:bookmarkEnd w:id="3"/>
    <w:p>
      <w:pPr>
        <w:pStyle w:val="2"/>
        <w:rPr>
          <w:rFonts w:hint="default" w:ascii="Times New Roman" w:hAnsi="Times New Roman" w:cs="Times New Roman"/>
          <w:b w:val="0"/>
          <w:bCs w:val="0"/>
          <w:sz w:val="20"/>
          <w:szCs w:val="20"/>
          <w:lang w:val="en-US"/>
        </w:rPr>
      </w:pPr>
    </w:p>
    <w:p>
      <w:pPr>
        <w:rPr>
          <w:rFonts w:hint="default" w:ascii="Times New Roman" w:hAnsi="Times New Roman" w:cs="Times New Roman"/>
          <w:sz w:val="20"/>
          <w:szCs w:val="20"/>
          <w:lang w:val="en-US"/>
        </w:rPr>
      </w:pP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Siyuan Gao</w:t>
      </w:r>
      <w:r>
        <w:rPr>
          <w:rFonts w:hint="default" w:ascii="Times New Roman" w:hAnsi="Times New Roman" w:cs="Times New Roman"/>
          <w:sz w:val="20"/>
          <w:szCs w:val="20"/>
          <w:vertAlign w:val="superscript"/>
          <w:lang w:val="en-US" w:eastAsia="zh-CN"/>
        </w:rPr>
        <w:t>1,2*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, Huaying Ren</w:t>
      </w:r>
      <w:r>
        <w:rPr>
          <w:rFonts w:hint="default" w:ascii="Times New Roman" w:hAnsi="Times New Roman" w:cs="Times New Roman"/>
          <w:sz w:val="20"/>
          <w:szCs w:val="20"/>
          <w:vertAlign w:val="superscript"/>
          <w:lang w:val="en-US" w:eastAsia="zh-CN"/>
        </w:rPr>
        <w:t>3*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, Zhichao He</w:t>
      </w:r>
      <w:r>
        <w:rPr>
          <w:rFonts w:hint="default" w:ascii="Times New Roman" w:hAnsi="Times New Roman" w:cs="Times New Roman"/>
          <w:sz w:val="20"/>
          <w:szCs w:val="20"/>
          <w:vertAlign w:val="superscript"/>
          <w:lang w:val="en-US" w:eastAsia="zh-CN"/>
        </w:rPr>
        <w:t>1,2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, Jie Wu</w:t>
      </w:r>
      <w:r>
        <w:rPr>
          <w:rFonts w:hint="default" w:ascii="Times New Roman" w:hAnsi="Times New Roman" w:cs="Times New Roman"/>
          <w:sz w:val="20"/>
          <w:szCs w:val="20"/>
          <w:vertAlign w:val="superscript"/>
          <w:lang w:val="en-US" w:eastAsia="zh-CN"/>
        </w:rPr>
        <w:t>3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, Mengting Chen</w:t>
      </w:r>
      <w:r>
        <w:rPr>
          <w:rFonts w:hint="default" w:ascii="Times New Roman" w:hAnsi="Times New Roman" w:cs="Times New Roman"/>
          <w:sz w:val="20"/>
          <w:szCs w:val="20"/>
          <w:vertAlign w:val="superscript"/>
          <w:lang w:val="en-US" w:eastAsia="zh-CN"/>
        </w:rPr>
        <w:t>4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, Jianhong Zhu</w:t>
      </w:r>
      <w:r>
        <w:rPr>
          <w:rFonts w:hint="default" w:ascii="Times New Roman" w:hAnsi="Times New Roman" w:cs="Times New Roman"/>
          <w:sz w:val="20"/>
          <w:szCs w:val="20"/>
          <w:vertAlign w:val="superscript"/>
          <w:lang w:val="en-US" w:eastAsia="zh-CN"/>
        </w:rPr>
        <w:t>1,2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, Dan Liang</w:t>
      </w:r>
      <w:r>
        <w:rPr>
          <w:rFonts w:hint="default" w:ascii="Times New Roman" w:hAnsi="Times New Roman" w:cs="Times New Roman"/>
          <w:sz w:val="20"/>
          <w:szCs w:val="20"/>
          <w:vertAlign w:val="superscript"/>
          <w:lang w:val="en-US" w:eastAsia="zh-CN"/>
        </w:rPr>
        <w:t>1,2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, Wei Jiang</w:t>
      </w:r>
      <w:r>
        <w:rPr>
          <w:rFonts w:hint="default" w:ascii="Times New Roman" w:hAnsi="Times New Roman" w:cs="Times New Roman"/>
          <w:sz w:val="20"/>
          <w:szCs w:val="20"/>
          <w:vertAlign w:val="superscript"/>
          <w:lang w:val="en-US" w:eastAsia="zh-CN"/>
        </w:rPr>
        <w:t>1,2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, Shan Yang</w:t>
      </w:r>
      <w:r>
        <w:rPr>
          <w:rFonts w:hint="default" w:ascii="Times New Roman" w:hAnsi="Times New Roman" w:cs="Times New Roman"/>
          <w:sz w:val="20"/>
          <w:szCs w:val="20"/>
          <w:vertAlign w:val="superscript"/>
          <w:lang w:val="en-US" w:eastAsia="zh-CN"/>
        </w:rPr>
        <w:t>1,2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, Xiaoxia Yu</w:t>
      </w:r>
      <w:r>
        <w:rPr>
          <w:rFonts w:hint="default" w:ascii="Times New Roman" w:hAnsi="Times New Roman" w:cs="Times New Roman"/>
          <w:sz w:val="20"/>
          <w:szCs w:val="20"/>
          <w:vertAlign w:val="superscript"/>
          <w:lang w:val="en-US" w:eastAsia="zh-CN"/>
        </w:rPr>
        <w:t>1,2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, Min Huang</w:t>
      </w:r>
      <w:r>
        <w:rPr>
          <w:rFonts w:hint="default" w:ascii="Times New Roman" w:hAnsi="Times New Roman" w:cs="Times New Roman"/>
          <w:sz w:val="20"/>
          <w:szCs w:val="20"/>
          <w:vertAlign w:val="superscript"/>
          <w:lang w:val="en-US" w:eastAsia="zh-CN"/>
        </w:rPr>
        <w:t>3#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, Junyan Wu</w:t>
      </w:r>
      <w:r>
        <w:rPr>
          <w:rFonts w:hint="default" w:ascii="Times New Roman" w:hAnsi="Times New Roman" w:cs="Times New Roman"/>
          <w:sz w:val="20"/>
          <w:szCs w:val="20"/>
          <w:vertAlign w:val="superscript"/>
          <w:lang w:val="en-US" w:eastAsia="zh-CN"/>
        </w:rPr>
        <w:t xml:space="preserve">1,2# </w:t>
      </w:r>
    </w:p>
    <w:p>
      <w:pPr>
        <w:pStyle w:val="2"/>
        <w:rPr>
          <w:rFonts w:hint="default" w:ascii="Times New Roman" w:hAnsi="Times New Roman" w:cs="Times New Roman"/>
          <w:b w:val="0"/>
          <w:bCs w:val="0"/>
          <w:sz w:val="20"/>
          <w:szCs w:val="20"/>
          <w:lang w:val="en-US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left"/>
        <w:textAlignment w:val="auto"/>
        <w:rPr>
          <w:rFonts w:hint="default" w:ascii="Times New Roman" w:hAnsi="Times New Roman" w:cs="Times New Roman"/>
          <w:sz w:val="20"/>
          <w:szCs w:val="20"/>
          <w:lang w:val="en-US"/>
        </w:rPr>
      </w:pPr>
      <w:r>
        <w:rPr>
          <w:rFonts w:hint="default" w:ascii="Times New Roman" w:hAnsi="Times New Roman" w:cs="Times New Roman"/>
          <w:sz w:val="20"/>
          <w:szCs w:val="20"/>
          <w:vertAlign w:val="superscript"/>
          <w:lang w:val="en-US"/>
        </w:rPr>
        <w:t>1</w:t>
      </w:r>
      <w:r>
        <w:rPr>
          <w:rFonts w:hint="default" w:ascii="Times New Roman" w:hAnsi="Times New Roman" w:cs="Times New Roman"/>
          <w:sz w:val="20"/>
          <w:szCs w:val="20"/>
          <w:lang w:val="en-US"/>
        </w:rPr>
        <w:t xml:space="preserve"> Department of Pharmacy, Sun-Yat-Sen Memorial Hospital, Sun Yat-sen University, Guangzhou, China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left"/>
        <w:textAlignment w:val="auto"/>
        <w:rPr>
          <w:rFonts w:hint="default" w:ascii="Times New Roman" w:hAnsi="Times New Roman" w:cs="Times New Roman"/>
          <w:sz w:val="20"/>
          <w:szCs w:val="20"/>
          <w:lang w:val="en-US"/>
        </w:rPr>
      </w:pPr>
      <w:r>
        <w:rPr>
          <w:rFonts w:hint="default" w:ascii="Times New Roman" w:hAnsi="Times New Roman" w:cs="Times New Roman"/>
          <w:sz w:val="20"/>
          <w:szCs w:val="20"/>
          <w:vertAlign w:val="superscript"/>
          <w:lang w:val="en-US"/>
        </w:rPr>
        <w:t>2</w:t>
      </w:r>
      <w:r>
        <w:rPr>
          <w:rFonts w:hint="default" w:ascii="Times New Roman" w:hAnsi="Times New Roman" w:cs="Times New Roman"/>
          <w:sz w:val="20"/>
          <w:szCs w:val="20"/>
          <w:lang w:val="en-US"/>
        </w:rPr>
        <w:t xml:space="preserve"> Guangdong Provincial Key Laboratory of Malignant Tumor Epigenetics and Gene Regulation, Guangzhou, China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left"/>
        <w:textAlignment w:val="auto"/>
        <w:rPr>
          <w:rFonts w:hint="default" w:ascii="Times New Roman" w:hAnsi="Times New Roman" w:cs="Times New Roman"/>
          <w:sz w:val="20"/>
          <w:szCs w:val="20"/>
          <w:lang w:val="en-US"/>
        </w:rPr>
      </w:pPr>
      <w:r>
        <w:rPr>
          <w:rFonts w:hint="default" w:ascii="Times New Roman" w:hAnsi="Times New Roman" w:cs="Times New Roman"/>
          <w:sz w:val="20"/>
          <w:szCs w:val="20"/>
          <w:vertAlign w:val="superscript"/>
          <w:lang w:val="en-US"/>
        </w:rPr>
        <w:t>3</w:t>
      </w:r>
      <w:r>
        <w:rPr>
          <w:rFonts w:hint="default" w:ascii="Times New Roman" w:hAnsi="Times New Roman" w:cs="Times New Roman"/>
          <w:sz w:val="20"/>
          <w:szCs w:val="20"/>
          <w:lang w:val="en-US"/>
        </w:rPr>
        <w:t xml:space="preserve"> School of Pharmaceutical Sciences, Sun Yat-Sen University, Guangzhou, China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left"/>
        <w:textAlignment w:val="auto"/>
        <w:rPr>
          <w:rFonts w:hint="default" w:ascii="Times New Roman" w:hAnsi="Times New Roman" w:cs="Times New Roman"/>
          <w:sz w:val="20"/>
          <w:szCs w:val="20"/>
          <w:lang w:val="en-US"/>
        </w:rPr>
      </w:pPr>
      <w:r>
        <w:rPr>
          <w:rFonts w:hint="default" w:ascii="Times New Roman" w:hAnsi="Times New Roman" w:cs="Times New Roman"/>
          <w:sz w:val="20"/>
          <w:szCs w:val="20"/>
          <w:vertAlign w:val="superscript"/>
          <w:lang w:val="en-US"/>
        </w:rPr>
        <w:t>4</w:t>
      </w:r>
      <w:r>
        <w:rPr>
          <w:rFonts w:hint="default" w:ascii="Times New Roman" w:hAnsi="Times New Roman" w:cs="Times New Roman"/>
          <w:sz w:val="20"/>
          <w:szCs w:val="20"/>
          <w:lang w:val="en-US"/>
        </w:rPr>
        <w:t xml:space="preserve"> School of Pharmacy, Guangdong Medical University, Zhanjiang, China</w:t>
      </w:r>
    </w:p>
    <w:p>
      <w:pPr>
        <w:pStyle w:val="2"/>
        <w:rPr>
          <w:rFonts w:hint="default" w:ascii="Times New Roman" w:hAnsi="Times New Roman" w:cs="Times New Roman"/>
          <w:b w:val="0"/>
          <w:bCs w:val="0"/>
          <w:sz w:val="20"/>
          <w:szCs w:val="20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>* These authors contributed equally to this work</w:t>
      </w:r>
    </w:p>
    <w:p>
      <w:pPr>
        <w:pStyle w:val="2"/>
        <w:rPr>
          <w:rFonts w:hint="default" w:ascii="Times New Roman" w:hAnsi="Times New Roman" w:cs="Times New Roman"/>
          <w:b w:val="0"/>
          <w:bCs w:val="0"/>
          <w:sz w:val="20"/>
          <w:szCs w:val="20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>#Correspondence:</w:t>
      </w:r>
    </w:p>
    <w:p>
      <w:pPr>
        <w:pStyle w:val="2"/>
        <w:rPr>
          <w:rFonts w:hint="default" w:ascii="Times New Roman" w:hAnsi="Times New Roman" w:cs="Times New Roman"/>
          <w:b w:val="0"/>
          <w:bCs w:val="0"/>
          <w:sz w:val="20"/>
          <w:szCs w:val="20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>Junyan Wu</w:t>
      </w:r>
    </w:p>
    <w:p>
      <w:pPr>
        <w:pStyle w:val="2"/>
        <w:rPr>
          <w:rFonts w:hint="default" w:ascii="Times New Roman" w:hAnsi="Times New Roman" w:cs="Times New Roman"/>
          <w:b w:val="0"/>
          <w:bCs w:val="0"/>
          <w:sz w:val="20"/>
          <w:szCs w:val="20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>E-mail: wujunyan@mail.sysu.edu.cn</w:t>
      </w:r>
    </w:p>
    <w:p>
      <w:pPr>
        <w:pStyle w:val="2"/>
        <w:rPr>
          <w:rFonts w:hint="default" w:ascii="Times New Roman" w:hAnsi="Times New Roman" w:cs="Times New Roman"/>
          <w:b w:val="0"/>
          <w:bCs w:val="0"/>
          <w:sz w:val="20"/>
          <w:szCs w:val="20"/>
          <w:lang w:val="en-US"/>
        </w:rPr>
      </w:pPr>
      <w:bookmarkStart w:id="4" w:name="OLE_LINK23"/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>Ad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>d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ress: </w:t>
      </w:r>
      <w:bookmarkEnd w:id="4"/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>Department of pharmacy, Sun-Yat-Sen Memorial Hospital, Sun Yat-sen University, Guangzhou, China</w:t>
      </w:r>
    </w:p>
    <w:p>
      <w:pPr>
        <w:pStyle w:val="2"/>
        <w:rPr>
          <w:rFonts w:hint="default" w:ascii="Times New Roman" w:hAnsi="Times New Roman" w:cs="Times New Roman"/>
          <w:b w:val="0"/>
          <w:bCs w:val="0"/>
          <w:sz w:val="20"/>
          <w:szCs w:val="20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Min Huang </w:t>
      </w:r>
    </w:p>
    <w:p>
      <w:pPr>
        <w:pStyle w:val="2"/>
        <w:rPr>
          <w:rFonts w:hint="default" w:ascii="Times New Roman" w:hAnsi="Times New Roman" w:cs="Times New Roman"/>
          <w:b w:val="0"/>
          <w:bCs w:val="0"/>
          <w:sz w:val="20"/>
          <w:szCs w:val="20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>E-mail: huangmin@mail.sysu.edu.cn</w:t>
      </w:r>
    </w:p>
    <w:p>
      <w:pPr>
        <w:pStyle w:val="2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>Ad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>d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>ress: School of Pharmaceutical Sciences, Sun Yat-Sen University, Guangzhou, China</w:t>
      </w:r>
    </w:p>
    <w:p>
      <w:pPr>
        <w:pStyle w:val="2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>
      <w:pPr>
        <w:pStyle w:val="2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Supplement Table 1 Characteristics of the </w:t>
      </w:r>
      <w:r>
        <w:rPr>
          <w:rFonts w:hint="eastAsia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>onset</w:t>
      </w:r>
      <w:r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>time to</w:t>
      </w:r>
      <w:r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ICIs-related Sjogren’s syndrome</w:t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sz w:val="20"/>
          <w:szCs w:val="20"/>
        </w:rPr>
        <w:t>N</w:t>
      </w:r>
      <w:r>
        <w:rPr>
          <w:rFonts w:ascii="Times New Roman" w:hAnsi="Times New Roman" w:cs="Times New Roman"/>
          <w:sz w:val="20"/>
          <w:szCs w:val="20"/>
        </w:rPr>
        <w:t>o statistically significant difference in latency of SS by ICIs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regimens, gender, age, and cancer type groups.</w:t>
      </w:r>
    </w:p>
    <w:p>
      <w:pPr>
        <w:rPr>
          <w:rFonts w:ascii="Times New Roman" w:hAnsi="Times New Roman" w:cs="Times New Roman"/>
          <w:sz w:val="20"/>
          <w:szCs w:val="20"/>
        </w:rPr>
      </w:pPr>
    </w:p>
    <w:p>
      <w:pPr>
        <w:rPr>
          <w:rFonts w:ascii="Times New Roman" w:hAnsi="Times New Roman" w:cs="Times New Roman"/>
          <w:sz w:val="20"/>
          <w:szCs w:val="20"/>
        </w:rPr>
      </w:pPr>
    </w:p>
    <w:p>
      <w:pPr>
        <w:pStyle w:val="2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Supplement Table 2 Disproportionality analysis </w:t>
      </w:r>
      <w:r>
        <w:rPr>
          <w:rFonts w:hint="eastAsia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>between</w:t>
      </w:r>
      <w:r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ICIs and </w:t>
      </w:r>
      <w:bookmarkStart w:id="5" w:name="OLE_LINK5"/>
      <w:r>
        <w:rPr>
          <w:rFonts w:ascii="Times New Roman" w:hAnsi="Times New Roman" w:cs="Times New Roman"/>
          <w:b w:val="0"/>
          <w:bCs w:val="0"/>
          <w:sz w:val="20"/>
          <w:szCs w:val="20"/>
        </w:rPr>
        <w:t>Sjogren’s syndrome</w:t>
      </w:r>
      <w:bookmarkEnd w:id="5"/>
      <w:r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(age)</w:t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Overall,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ICI-</w:t>
      </w:r>
      <w:r>
        <w:rPr>
          <w:rFonts w:hint="eastAsia" w:ascii="Times New Roman" w:hAnsi="Times New Roman" w:cs="Times New Roman"/>
          <w:sz w:val="20"/>
          <w:szCs w:val="20"/>
        </w:rPr>
        <w:t>SS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hint="eastAsia" w:ascii="Times New Roman" w:hAnsi="Times New Roman" w:cs="Times New Roman"/>
          <w:sz w:val="20"/>
          <w:szCs w:val="20"/>
        </w:rPr>
        <w:t>signal</w:t>
      </w:r>
      <w:r>
        <w:rPr>
          <w:rFonts w:ascii="Times New Roman" w:hAnsi="Times New Roman" w:cs="Times New Roman"/>
          <w:sz w:val="20"/>
          <w:szCs w:val="20"/>
        </w:rPr>
        <w:t xml:space="preserve"> was stronger in patients over 65 years of age. In this table,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ICI-</w:t>
      </w:r>
      <w:r>
        <w:rPr>
          <w:rFonts w:ascii="Times New Roman" w:hAnsi="Times New Roman" w:cs="Times New Roman"/>
          <w:sz w:val="20"/>
          <w:szCs w:val="20"/>
        </w:rPr>
        <w:t>SS signals were stroger in patients age of 18 to 65 years with pembrolizumab alone, anti-PD-L1 alone, and the combination regimen of nivolumab and ipilimumab.</w:t>
      </w:r>
    </w:p>
    <w:p>
      <w:pPr>
        <w:rPr>
          <w:rFonts w:ascii="Times New Roman" w:hAnsi="Times New Roman" w:cs="Times New Roman"/>
          <w:sz w:val="20"/>
          <w:szCs w:val="20"/>
        </w:rPr>
      </w:pPr>
    </w:p>
    <w:p>
      <w:pPr>
        <w:rPr>
          <w:rFonts w:ascii="Times New Roman" w:hAnsi="Times New Roman" w:cs="Times New Roman"/>
          <w:sz w:val="20"/>
          <w:szCs w:val="20"/>
        </w:rPr>
      </w:pPr>
    </w:p>
    <w:p>
      <w:pPr>
        <w:pStyle w:val="2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Supplement Table 3 Disproportionality analysis </w:t>
      </w:r>
      <w:r>
        <w:rPr>
          <w:rFonts w:hint="eastAsia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>between</w:t>
      </w:r>
      <w:r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ICIs and Sjogren’s syndrome (</w:t>
      </w:r>
      <w:r>
        <w:rPr>
          <w:rFonts w:hint="eastAsia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>sex</w:t>
      </w:r>
      <w:r>
        <w:rPr>
          <w:rFonts w:ascii="Times New Roman" w:hAnsi="Times New Roman" w:cs="Times New Roman"/>
          <w:b w:val="0"/>
          <w:bCs w:val="0"/>
          <w:sz w:val="20"/>
          <w:szCs w:val="20"/>
        </w:rPr>
        <w:t>)</w:t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Overall,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ICI-</w:t>
      </w:r>
      <w:r>
        <w:rPr>
          <w:rFonts w:ascii="Times New Roman" w:hAnsi="Times New Roman" w:cs="Times New Roman"/>
          <w:sz w:val="20"/>
          <w:szCs w:val="20"/>
        </w:rPr>
        <w:t>SS signal was stronger in the males. In this table, the signal trend was consistent among different ICIs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treatment regimens.</w:t>
      </w:r>
    </w:p>
    <w:p>
      <w:pPr>
        <w:rPr>
          <w:rFonts w:ascii="Times New Roman" w:hAnsi="Times New Roman" w:cs="Times New Roman"/>
          <w:sz w:val="20"/>
          <w:szCs w:val="20"/>
        </w:rPr>
      </w:pPr>
    </w:p>
    <w:p>
      <w:pPr>
        <w:pStyle w:val="2"/>
        <w:rPr>
          <w:rFonts w:ascii="Times New Roman" w:hAnsi="Times New Roman" w:cs="Times New Roman" w:eastAsiaTheme="minorEastAsia"/>
          <w:b w:val="0"/>
          <w:bCs w:val="0"/>
          <w:sz w:val="20"/>
          <w:szCs w:val="20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</w:rPr>
        <w:t>Supplement Table 4 Disproportionality analysis of ICIs and Sjogren’s syndrome (reporting year)</w:t>
      </w:r>
    </w:p>
    <w:p>
      <w:pPr>
        <w:rPr>
          <w:rFonts w:hint="eastAsia"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The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ICI-</w:t>
      </w:r>
      <w:bookmarkStart w:id="6" w:name="_GoBack"/>
      <w:bookmarkEnd w:id="6"/>
      <w:r>
        <w:rPr>
          <w:rFonts w:hint="eastAsia" w:ascii="Times New Roman" w:hAnsi="Times New Roman" w:cs="Times New Roman"/>
          <w:sz w:val="20"/>
          <w:szCs w:val="20"/>
        </w:rPr>
        <w:t xml:space="preserve">SS signals of </w:t>
      </w:r>
      <w:r>
        <w:rPr>
          <w:rFonts w:ascii="Times New Roman" w:hAnsi="Times New Roman" w:cs="Times New Roman"/>
          <w:sz w:val="20"/>
          <w:szCs w:val="20"/>
        </w:rPr>
        <w:t>anti-</w:t>
      </w:r>
      <w:r>
        <w:rPr>
          <w:rFonts w:hint="eastAsia" w:ascii="Times New Roman" w:hAnsi="Times New Roman" w:cs="Times New Roman"/>
          <w:sz w:val="20"/>
          <w:szCs w:val="20"/>
        </w:rPr>
        <w:t xml:space="preserve">PD-1, </w:t>
      </w:r>
      <w:r>
        <w:rPr>
          <w:rFonts w:ascii="Times New Roman" w:hAnsi="Times New Roman" w:cs="Times New Roman"/>
          <w:sz w:val="20"/>
          <w:szCs w:val="20"/>
        </w:rPr>
        <w:t>anti-</w:t>
      </w:r>
      <w:r>
        <w:rPr>
          <w:rFonts w:hint="eastAsia" w:ascii="Times New Roman" w:hAnsi="Times New Roman" w:cs="Times New Roman"/>
          <w:sz w:val="20"/>
          <w:szCs w:val="20"/>
        </w:rPr>
        <w:t xml:space="preserve">PD-L1 and </w:t>
      </w:r>
      <w:r>
        <w:rPr>
          <w:rFonts w:ascii="Times New Roman" w:hAnsi="Times New Roman" w:cs="Times New Roman"/>
          <w:sz w:val="20"/>
          <w:szCs w:val="20"/>
        </w:rPr>
        <w:t>anti-</w:t>
      </w:r>
      <w:r>
        <w:rPr>
          <w:rFonts w:hint="eastAsia" w:ascii="Times New Roman" w:hAnsi="Times New Roman" w:cs="Times New Roman"/>
          <w:sz w:val="20"/>
          <w:szCs w:val="20"/>
        </w:rPr>
        <w:t>CTLA-4 showed an obvious upward trend</w:t>
      </w:r>
      <w:r>
        <w:rPr>
          <w:rFonts w:ascii="Times New Roman" w:hAnsi="Times New Roman" w:cs="Times New Roman"/>
          <w:sz w:val="20"/>
          <w:szCs w:val="20"/>
        </w:rPr>
        <w:t xml:space="preserve"> by ROR and IC algorithms.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Q3YmQ1ZjFmMjBlMzA3ODE1NGI5Y2ZjNDVlZjk5NmUifQ=="/>
  </w:docVars>
  <w:rsids>
    <w:rsidRoot w:val="007D1861"/>
    <w:rsid w:val="00397B19"/>
    <w:rsid w:val="004A5445"/>
    <w:rsid w:val="006A5F2F"/>
    <w:rsid w:val="00742067"/>
    <w:rsid w:val="007D1861"/>
    <w:rsid w:val="00853239"/>
    <w:rsid w:val="008C6DEC"/>
    <w:rsid w:val="00947A1A"/>
    <w:rsid w:val="009B3F14"/>
    <w:rsid w:val="00C97F89"/>
    <w:rsid w:val="00D75774"/>
    <w:rsid w:val="05BE2A00"/>
    <w:rsid w:val="1E343F44"/>
    <w:rsid w:val="2A514708"/>
    <w:rsid w:val="3C1F271F"/>
    <w:rsid w:val="3F393B0E"/>
    <w:rsid w:val="58F05189"/>
    <w:rsid w:val="607C3265"/>
    <w:rsid w:val="7CFE1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5"/>
    <w:unhideWhenUsed/>
    <w:qFormat/>
    <w:uiPriority w:val="9"/>
    <w:pPr>
      <w:keepNext/>
      <w:keepLines/>
      <w:spacing w:before="20" w:after="20"/>
      <w:outlineLvl w:val="1"/>
    </w:pPr>
    <w:rPr>
      <w:rFonts w:eastAsia="Times New Roman" w:asciiTheme="majorHAnsi" w:hAnsiTheme="majorHAnsi" w:cstheme="majorBidi"/>
      <w:b/>
      <w:bCs/>
      <w:szCs w:val="32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2 字符"/>
    <w:basedOn w:val="4"/>
    <w:link w:val="2"/>
    <w:qFormat/>
    <w:uiPriority w:val="9"/>
    <w:rPr>
      <w:rFonts w:eastAsia="Times New Roman" w:asciiTheme="majorHAnsi" w:hAnsiTheme="majorHAnsi" w:cstheme="majorBidi"/>
      <w:b/>
      <w:bCs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268</Words>
  <Characters>1698</Characters>
  <Lines>15</Lines>
  <Paragraphs>4</Paragraphs>
  <TotalTime>2</TotalTime>
  <ScaleCrop>false</ScaleCrop>
  <LinksUpToDate>false</LinksUpToDate>
  <CharactersWithSpaces>1944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2022-07-26T02:25:00Z</dcterms:created>
  <dc:creator>阳光</dc:creator>
  <cp:lastModifiedBy>Lccy</cp:lastModifiedBy>
  <dcterms:modified xsi:type="dcterms:W3CDTF">2022-10-22T03:23:35Z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E6FD943DC70A4E74B3ED26833117AF41</vt:lpwstr>
  </property>
</Properties>
</file>