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bookmarkStart w:id="0" w:name="OLE_LINK16"/>
      <w:bookmarkStart w:id="1" w:name="_Hlk81050932"/>
      <w:bookmarkStart w:id="2" w:name="OLE_LINK13"/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The risk of Sjogren’s syndrome on immune checkpoint inhibitors</w:t>
      </w:r>
      <w:bookmarkEnd w:id="0"/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a retrospective pharmacovigilance study in FAERS database</w:t>
      </w:r>
      <w:bookmarkEnd w:id="1"/>
      <w:bookmarkEnd w:id="2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Siyuan Gao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1,2*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Huaying Ren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3*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Zhichao He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1,2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Jie Wu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Mengting Chen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Jianhong Zhu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1,2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Dan Liang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1,2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Wei Jiang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1,2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Shan Yang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1,2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Xiaoxia Yu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1,2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Min Huang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3#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Junyan Wu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1,2#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/>
        </w:rPr>
        <w:t>1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Department of Pharmacy, Sun-Yat-Sen Memorial Hospital, Sun Yat-sen University, Guangzhou, China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/>
        </w:rPr>
        <w:t>2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Guangdong Provincial Key Laboratory of Malignant Tumor Epigenetics and Gene Regulation, Guangzhou, China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/>
        </w:rPr>
        <w:t>3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School of Pharmaceutical Sciences, Sun Yat-Sen University, Guangzhou, China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/>
        </w:rPr>
        <w:t>4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School of Pharmacy, Guangdong Medical University, Zhanjiang, China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* These authors contributed equally to this work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#Correspondence: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Junyan Wu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E-mail: wujunyan@mail.sysu.edu.cn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bookmarkStart w:id="3" w:name="OLE_LINK23"/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Ad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ress: </w:t>
      </w:r>
      <w:bookmarkEnd w:id="3"/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Department of pharmacy, Sun-Yat-Sen Memorial Hospital, Sun Yat-sen University, Guangzhou, China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Min Huang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E-mail: huangmin@mail.sysu.edu.cn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Ad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ress: School of Pharmaceutical Sciences, Sun Yat-Sen University, Guangzhou, China</w:t>
      </w:r>
    </w:p>
    <w:p/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</w:t>
      </w:r>
    </w:p>
    <w:p>
      <w:pPr>
        <w:pStyle w:val="2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>
      <w:pPr>
        <w:pStyle w:val="2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Supplement Table 1 Characteristics of the 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onset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time to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ICIs-related Sjogren’s syndrome</w:t>
      </w:r>
    </w:p>
    <w:tbl>
      <w:tblPr>
        <w:tblStyle w:val="6"/>
        <w:tblW w:w="838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747"/>
        <w:gridCol w:w="484"/>
        <w:gridCol w:w="1250"/>
        <w:gridCol w:w="1244"/>
        <w:gridCol w:w="1163"/>
        <w:gridCol w:w="9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  <w:tcBorders>
              <w:bottom w:val="single" w:color="auto" w:sz="6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1747" w:type="dxa"/>
            <w:tcBorders>
              <w:bottom w:val="single" w:color="auto" w:sz="6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484" w:type="dxa"/>
            <w:tcBorders>
              <w:bottom w:val="single" w:color="auto" w:sz="6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50" w:type="dxa"/>
            <w:tcBorders>
              <w:bottom w:val="single" w:color="auto" w:sz="6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Median, days</w:t>
            </w:r>
          </w:p>
        </w:tc>
        <w:tc>
          <w:tcPr>
            <w:tcW w:w="1244" w:type="dxa"/>
            <w:tcBorders>
              <w:bottom w:val="single" w:color="auto" w:sz="6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QR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  <w:lang w:val="en-US" w:eastAsia="zh-CN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days</w:t>
            </w:r>
          </w:p>
        </w:tc>
        <w:tc>
          <w:tcPr>
            <w:tcW w:w="1163" w:type="dxa"/>
            <w:tcBorders>
              <w:bottom w:val="single" w:color="auto" w:sz="6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ange, days</w:t>
            </w:r>
          </w:p>
        </w:tc>
        <w:tc>
          <w:tcPr>
            <w:tcW w:w="918" w:type="dxa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  <w:lang w:val="en-US" w:eastAsia="zh-CN"/>
              </w:rPr>
              <w:t>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  <w:tcBorders>
              <w:top w:val="single" w:color="auto" w:sz="6" w:space="0"/>
              <w:bottom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CIs</w:t>
            </w:r>
          </w:p>
        </w:tc>
        <w:tc>
          <w:tcPr>
            <w:tcW w:w="1747" w:type="dxa"/>
            <w:tcBorders>
              <w:top w:val="single" w:color="auto" w:sz="6" w:space="0"/>
              <w:bottom w:val="nil"/>
            </w:tcBorders>
          </w:tcPr>
          <w:p>
            <w:pP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 ICIs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vertAlign w:val="superscript"/>
                <w:lang w:val="en-US" w:eastAsia="zh-CN"/>
              </w:rPr>
              <w:t>b</w:t>
            </w:r>
          </w:p>
        </w:tc>
        <w:tc>
          <w:tcPr>
            <w:tcW w:w="484" w:type="dxa"/>
            <w:tcBorders>
              <w:top w:val="single" w:color="auto" w:sz="6" w:space="0"/>
              <w:bottom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0" w:type="dxa"/>
            <w:tcBorders>
              <w:top w:val="single" w:color="auto" w:sz="6" w:space="0"/>
              <w:bottom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45.0</w:t>
            </w:r>
          </w:p>
        </w:tc>
        <w:tc>
          <w:tcPr>
            <w:tcW w:w="1244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17.3-94.8</w:t>
            </w:r>
          </w:p>
        </w:tc>
        <w:tc>
          <w:tcPr>
            <w:tcW w:w="1163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sym w:font="Symbol" w:char="003C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24h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-238</w:t>
            </w:r>
          </w:p>
        </w:tc>
        <w:tc>
          <w:tcPr>
            <w:tcW w:w="918" w:type="dxa"/>
            <w:tcBorders>
              <w:top w:val="single" w:color="auto" w:sz="6" w:space="0"/>
              <w:bottom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D-1 monotherapy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vertAlign w:val="superscript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4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0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56.0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12.5-102.0</w:t>
            </w:r>
          </w:p>
        </w:tc>
        <w:tc>
          <w:tcPr>
            <w:tcW w:w="1163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sym w:font="Symbol" w:char="003C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24h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-190</w:t>
            </w:r>
          </w:p>
        </w:tc>
        <w:tc>
          <w:tcPr>
            <w:tcW w:w="918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ender</w:t>
            </w:r>
          </w:p>
        </w:tc>
        <w:tc>
          <w:tcPr>
            <w:tcW w:w="1747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48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124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0.5-94.5</w:t>
            </w:r>
          </w:p>
        </w:tc>
        <w:tc>
          <w:tcPr>
            <w:tcW w:w="1163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-238</w:t>
            </w:r>
          </w:p>
        </w:tc>
        <w:tc>
          <w:tcPr>
            <w:tcW w:w="91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48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24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.0-131.5</w:t>
            </w:r>
          </w:p>
        </w:tc>
        <w:tc>
          <w:tcPr>
            <w:tcW w:w="1163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003C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24h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91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Age group, years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1747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48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5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124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4.8-152.3</w:t>
            </w:r>
          </w:p>
        </w:tc>
        <w:tc>
          <w:tcPr>
            <w:tcW w:w="1163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-218</w:t>
            </w:r>
          </w:p>
        </w:tc>
        <w:tc>
          <w:tcPr>
            <w:tcW w:w="91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5-85</w:t>
            </w:r>
          </w:p>
        </w:tc>
        <w:tc>
          <w:tcPr>
            <w:tcW w:w="48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5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124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2.5-84.5</w:t>
            </w:r>
          </w:p>
        </w:tc>
        <w:tc>
          <w:tcPr>
            <w:tcW w:w="1163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sym w:font="Symbol" w:char="003C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24h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-238</w:t>
            </w:r>
          </w:p>
        </w:tc>
        <w:tc>
          <w:tcPr>
            <w:tcW w:w="91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Cancer type</w:t>
            </w:r>
          </w:p>
        </w:tc>
        <w:tc>
          <w:tcPr>
            <w:tcW w:w="1747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Lung Cancer</w:t>
            </w:r>
          </w:p>
        </w:tc>
        <w:tc>
          <w:tcPr>
            <w:tcW w:w="48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124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3.0-87.5</w:t>
            </w:r>
          </w:p>
        </w:tc>
        <w:tc>
          <w:tcPr>
            <w:tcW w:w="1163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sym w:font="Symbol" w:char="003C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24h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-190</w:t>
            </w:r>
          </w:p>
        </w:tc>
        <w:tc>
          <w:tcPr>
            <w:tcW w:w="91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7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Melanoma</w:t>
            </w:r>
          </w:p>
        </w:tc>
        <w:tc>
          <w:tcPr>
            <w:tcW w:w="48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124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.0-152.3</w:t>
            </w:r>
          </w:p>
        </w:tc>
        <w:tc>
          <w:tcPr>
            <w:tcW w:w="1163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-238</w:t>
            </w:r>
          </w:p>
        </w:tc>
        <w:tc>
          <w:tcPr>
            <w:tcW w:w="91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7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Renal Cancer</w:t>
            </w:r>
          </w:p>
        </w:tc>
        <w:tc>
          <w:tcPr>
            <w:tcW w:w="48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124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3.0-70.0</w:t>
            </w:r>
          </w:p>
        </w:tc>
        <w:tc>
          <w:tcPr>
            <w:tcW w:w="1163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-84</w:t>
            </w:r>
          </w:p>
        </w:tc>
        <w:tc>
          <w:tcPr>
            <w:tcW w:w="91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7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Others</w:t>
            </w:r>
          </w:p>
        </w:tc>
        <w:tc>
          <w:tcPr>
            <w:tcW w:w="484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1244" w:type="dxa"/>
          </w:tcPr>
          <w:p>
            <w:pPr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63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91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bookmarkStart w:id="4" w:name="_Hlk81054431"/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 xml:space="preserve">a  </w:t>
      </w:r>
      <w:r>
        <w:rPr>
          <w:rFonts w:ascii="Times New Roman" w:hAnsi="Times New Roman" w:cs="Times New Roman"/>
          <w:sz w:val="20"/>
          <w:szCs w:val="20"/>
        </w:rPr>
        <w:t>No cases below 18 years and over 85 years.</w:t>
      </w:r>
    </w:p>
    <w:p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0"/>
          <w:szCs w:val="20"/>
          <w:vertAlign w:val="superscript"/>
          <w:lang w:val="en-US" w:eastAsia="zh-CN"/>
        </w:rPr>
        <w:t>b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ICIs immune checkpoint inhibitors</w:t>
      </w:r>
    </w:p>
    <w:p>
      <w:pPr>
        <w:rPr>
          <w:rFonts w:hint="eastAsia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0"/>
          <w:szCs w:val="20"/>
          <w:vertAlign w:val="superscript"/>
          <w:lang w:val="en-US" w:eastAsia="zh-CN"/>
        </w:rPr>
        <w:t xml:space="preserve">c  </w:t>
      </w:r>
      <w:r>
        <w:rPr>
          <w:rFonts w:hint="eastAsia" w:ascii="Times New Roman" w:hAnsi="Times New Roman" w:cs="Times New Roman"/>
          <w:sz w:val="20"/>
          <w:szCs w:val="20"/>
        </w:rPr>
        <w:t>PD-1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programmed cell death-1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receptor</w:t>
      </w:r>
    </w:p>
    <w:bookmarkEnd w:id="4"/>
    <w:p>
      <w:pPr>
        <w:rPr>
          <w:rFonts w:ascii="Times New Roman" w:hAnsi="Times New Roman" w:cs="Times New Roman"/>
          <w:sz w:val="20"/>
          <w:szCs w:val="20"/>
        </w:rPr>
      </w:pPr>
      <w:bookmarkStart w:id="5" w:name="OLE_LINK3"/>
      <w:r>
        <w:rPr>
          <w:rFonts w:hint="eastAsia" w:ascii="Times New Roman" w:hAnsi="Times New Roman" w:cs="Times New Roman"/>
          <w:i w:val="0"/>
          <w:iCs w:val="0"/>
          <w:sz w:val="20"/>
          <w:szCs w:val="20"/>
          <w:vertAlign w:val="superscript"/>
          <w:lang w:val="en-US" w:eastAsia="zh-CN"/>
        </w:rPr>
        <w:t xml:space="preserve">d </w:t>
      </w:r>
      <w:bookmarkEnd w:id="5"/>
      <w:r>
        <w:rPr>
          <w:rFonts w:hint="eastAsia" w:ascii="Times New Roman" w:hAnsi="Times New Roman" w:cs="Times New Roman"/>
          <w:i w:val="0"/>
          <w:iCs w:val="0"/>
          <w:sz w:val="20"/>
          <w:szCs w:val="20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IQR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interquartile range</w:t>
      </w:r>
    </w:p>
    <w:p>
      <w:pPr>
        <w:rPr>
          <w:rFonts w:hint="eastAsia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 xml:space="preserve">e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non-parametric </w:t>
      </w:r>
      <w:r>
        <w:rPr>
          <w:rFonts w:ascii="Times New Roman" w:hAnsi="Times New Roman" w:cs="Times New Roman"/>
          <w:i/>
          <w:iCs/>
          <w:sz w:val="20"/>
          <w:szCs w:val="20"/>
        </w:rPr>
        <w:t>Kruskal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</w:rPr>
        <w:t>Wallis</w:t>
      </w:r>
      <w:r>
        <w:rPr>
          <w:rFonts w:ascii="Times New Roman" w:hAnsi="Times New Roman" w:cs="Times New Roman"/>
          <w:sz w:val="20"/>
          <w:szCs w:val="20"/>
        </w:rPr>
        <w:t xml:space="preserve"> test was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used</w:t>
      </w:r>
      <w:r>
        <w:rPr>
          <w:rFonts w:ascii="Times New Roman" w:hAnsi="Times New Roman" w:cs="Times New Roman"/>
          <w:sz w:val="20"/>
          <w:szCs w:val="20"/>
        </w:rPr>
        <w:t xml:space="preserve"> to compare group differences, when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 &lt; </w:t>
      </w:r>
      <w:r>
        <w:rPr>
          <w:rFonts w:ascii="Times New Roman" w:hAnsi="Times New Roman" w:cs="Times New Roman"/>
          <w:i/>
          <w:iCs/>
          <w:sz w:val="20"/>
          <w:szCs w:val="20"/>
        </w:rPr>
        <w:t>0.05</w:t>
      </w:r>
      <w:r>
        <w:rPr>
          <w:rFonts w:ascii="Times New Roman" w:hAnsi="Times New Roman" w:cs="Times New Roman"/>
          <w:sz w:val="20"/>
          <w:szCs w:val="20"/>
        </w:rPr>
        <w:t> was considered statistically significant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pStyle w:val="2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Supplement Table 2 Disproportionality analysis 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between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ICIs and </w:t>
      </w:r>
      <w:bookmarkStart w:id="6" w:name="OLE_LINK5"/>
      <w:r>
        <w:rPr>
          <w:rFonts w:ascii="Times New Roman" w:hAnsi="Times New Roman" w:cs="Times New Roman"/>
          <w:b w:val="0"/>
          <w:bCs w:val="0"/>
          <w:sz w:val="20"/>
          <w:szCs w:val="20"/>
        </w:rPr>
        <w:t>Sjogren’s syndrome</w:t>
      </w:r>
      <w:bookmarkEnd w:id="6"/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(age)</w:t>
      </w:r>
    </w:p>
    <w:tbl>
      <w:tblPr>
        <w:tblStyle w:val="5"/>
        <w:tblW w:w="899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6"/>
        <w:gridCol w:w="1036"/>
        <w:gridCol w:w="547"/>
        <w:gridCol w:w="825"/>
        <w:gridCol w:w="804"/>
        <w:gridCol w:w="921"/>
        <w:gridCol w:w="607"/>
        <w:gridCol w:w="702"/>
        <w:gridCol w:w="7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Category</w:t>
            </w:r>
          </w:p>
        </w:tc>
        <w:tc>
          <w:tcPr>
            <w:tcW w:w="1036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ge group, years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547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</w:p>
        </w:tc>
        <w:tc>
          <w:tcPr>
            <w:tcW w:w="825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ROR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c</w:t>
            </w:r>
          </w:p>
        </w:tc>
        <w:tc>
          <w:tcPr>
            <w:tcW w:w="804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025</w:t>
            </w:r>
          </w:p>
        </w:tc>
        <w:tc>
          <w:tcPr>
            <w:tcW w:w="921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975</w:t>
            </w:r>
          </w:p>
        </w:tc>
        <w:tc>
          <w:tcPr>
            <w:tcW w:w="607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d</w:t>
            </w:r>
          </w:p>
        </w:tc>
        <w:tc>
          <w:tcPr>
            <w:tcW w:w="702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025</w:t>
            </w:r>
          </w:p>
        </w:tc>
        <w:tc>
          <w:tcPr>
            <w:tcW w:w="736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975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994" w:type="dxa"/>
            <w:gridSpan w:val="9"/>
            <w:tcBorders>
              <w:top w:val="single" w:color="auto" w:sz="6" w:space="0"/>
              <w:bottom w:val="nil"/>
            </w:tcBorders>
            <w:shd w:val="clear" w:color="auto" w:fill="auto"/>
            <w:noWrap/>
          </w:tcPr>
          <w:p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PD-1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ind w:firstLine="360" w:firstLineChars="2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Pembrolizumab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547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825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18.47</w:t>
            </w:r>
          </w:p>
        </w:tc>
        <w:tc>
          <w:tcPr>
            <w:tcW w:w="804" w:type="dxa"/>
            <w:tcBorders>
              <w:top w:val="nil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12.50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27.28</w:t>
            </w:r>
          </w:p>
        </w:tc>
        <w:tc>
          <w:tcPr>
            <w:tcW w:w="607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3.77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2.55</w:t>
            </w:r>
          </w:p>
        </w:tc>
        <w:tc>
          <w:tcPr>
            <w:tcW w:w="736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65-85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15.75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10.35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23.96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3.53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2.32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ind w:firstLine="360" w:firstLineChars="2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Nivolumab</w:t>
            </w: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6.39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3.70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2.40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1.39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65-85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14.43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9.71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21.44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3.46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2.33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ind w:firstLine="360" w:firstLineChars="2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11.55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8.38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15.92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3.30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2.40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65-85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15.82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11.77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21.27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3.65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2.72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994" w:type="dxa"/>
            <w:gridSpan w:val="9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PD-L1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ind w:firstLine="360" w:firstLineChars="2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Atezolizumab</w:t>
            </w: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2.72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10.89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1.02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65-85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ind w:firstLine="360" w:firstLineChars="2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Avelumab</w:t>
            </w: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59.11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26.36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132.56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3.43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1.53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65-85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9.98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71.13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1.32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ind w:firstLine="360" w:firstLineChars="2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Durvalumab</w:t>
            </w: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65-85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7.97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32.01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1.73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ind w:firstLine="360" w:firstLineChars="2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7.65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15.35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2.45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1.22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65-85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3.19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9.92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1.28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994" w:type="dxa"/>
            <w:gridSpan w:val="9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CTLA-4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Ipilimumab</w:t>
            </w: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65-85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6.05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1.51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24.26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1.59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0.40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994" w:type="dxa"/>
            <w:gridSpan w:val="9"/>
            <w:shd w:val="clear" w:color="auto" w:fill="auto"/>
            <w:noWrap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PD-1 plus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CTLA-4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ind w:firstLine="360" w:firstLineChars="2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Pembrolizumab</w:t>
            </w:r>
            <w:bookmarkStart w:id="7" w:name="OLE_LINK1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+ </w:t>
            </w:r>
            <w:bookmarkEnd w:id="7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Ipilimumab</w:t>
            </w: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34.57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4.83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247.43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1.50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65-85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257.06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94.16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701.77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3.12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1.14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ind w:firstLine="360" w:firstLineChars="2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Nivolumab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+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Ipilimumab</w:t>
            </w: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18.14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11.37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28.93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3.61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2.26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65-85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9.74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4.35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21.81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2.53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1.13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</w:tcPr>
          <w:p>
            <w:pPr>
              <w:widowControl/>
              <w:ind w:firstLine="360" w:firstLineChars="2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18-64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18.63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11.82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29.36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3.66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2.32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1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65-85</w:t>
            </w:r>
          </w:p>
        </w:tc>
        <w:tc>
          <w:tcPr>
            <w:tcW w:w="54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25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15.97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8.53</w:t>
            </w:r>
          </w:p>
        </w:tc>
        <w:tc>
          <w:tcPr>
            <w:tcW w:w="921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29.91</w:t>
            </w:r>
          </w:p>
        </w:tc>
        <w:tc>
          <w:tcPr>
            <w:tcW w:w="607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3.20</w:t>
            </w:r>
          </w:p>
        </w:tc>
        <w:tc>
          <w:tcPr>
            <w:tcW w:w="702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1.71</w:t>
            </w:r>
          </w:p>
        </w:tc>
        <w:tc>
          <w:tcPr>
            <w:tcW w:w="736" w:type="dxa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6.00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These case reports only contain corresponding monotherapy.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CTLA-4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cytotoxic T-lymphocyte-associated protein 4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;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PD-1, programmed death-1 receptor; PD-L1, programmed death-ligand 1.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b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No cases below 18 years and over 85 years.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c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ROR r</w:t>
      </w:r>
      <w:r>
        <w:rPr>
          <w:rFonts w:ascii="Times New Roman" w:hAnsi="Times New Roman" w:cs="Times New Roman"/>
        </w:rPr>
        <w:t>eporting odds ratio</w:t>
      </w:r>
    </w:p>
    <w:p>
      <w:pPr>
        <w:rPr>
          <w:rFonts w:hint="default" w:ascii="Times New Roman" w:hAnsi="Times New Roman" w:cs="Times New Roman"/>
          <w:lang w:val="en-US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d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IC i</w:t>
      </w:r>
      <w:r>
        <w:rPr>
          <w:rFonts w:ascii="Times New Roman" w:hAnsi="Times New Roman" w:cs="Times New Roman"/>
        </w:rPr>
        <w:t>nformation component</w:t>
      </w:r>
    </w:p>
    <w:p>
      <w:pPr>
        <w:rPr>
          <w:rFonts w:hint="default" w:ascii="Times New Roman" w:hAnsi="Times New Roman" w:cs="Times New Roman"/>
          <w:lang w:val="en-US"/>
        </w:rPr>
      </w:pPr>
    </w:p>
    <w:p>
      <w:pPr>
        <w:pStyle w:val="2"/>
        <w:rPr>
          <w:rFonts w:ascii="Times New Roman" w:hAnsi="Times New Roman" w:cs="Times New Roman"/>
          <w:b w:val="0"/>
          <w:bCs w:val="0"/>
          <w:sz w:val="20"/>
          <w:szCs w:val="20"/>
        </w:rPr>
      </w:pPr>
      <w:bookmarkStart w:id="8" w:name="OLE_LINK2"/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Supplement Table 3 Disproportionality analysis 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between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ICIs and Sjogren’s syndrome (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sex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)</w:t>
      </w:r>
    </w:p>
    <w:bookmarkEnd w:id="8"/>
    <w:tbl>
      <w:tblPr>
        <w:tblStyle w:val="5"/>
        <w:tblW w:w="895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805"/>
        <w:gridCol w:w="661"/>
        <w:gridCol w:w="818"/>
        <w:gridCol w:w="873"/>
        <w:gridCol w:w="873"/>
        <w:gridCol w:w="703"/>
        <w:gridCol w:w="708"/>
        <w:gridCol w:w="70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801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Category</w:t>
            </w:r>
          </w:p>
        </w:tc>
        <w:tc>
          <w:tcPr>
            <w:tcW w:w="805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Sex</w:t>
            </w:r>
          </w:p>
        </w:tc>
        <w:tc>
          <w:tcPr>
            <w:tcW w:w="661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</w:p>
        </w:tc>
        <w:tc>
          <w:tcPr>
            <w:tcW w:w="818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ROR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873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025</w:t>
            </w:r>
          </w:p>
        </w:tc>
        <w:tc>
          <w:tcPr>
            <w:tcW w:w="873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975</w:t>
            </w:r>
          </w:p>
        </w:tc>
        <w:tc>
          <w:tcPr>
            <w:tcW w:w="703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IC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708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025</w:t>
            </w:r>
          </w:p>
        </w:tc>
        <w:tc>
          <w:tcPr>
            <w:tcW w:w="70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975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1" w:type="dxa"/>
            <w:gridSpan w:val="9"/>
            <w:tcBorders>
              <w:top w:val="single" w:color="auto" w:sz="6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PD-1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Pembrolizumab</w:t>
            </w:r>
          </w:p>
        </w:tc>
        <w:tc>
          <w:tcPr>
            <w:tcW w:w="805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61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11.03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7.37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16.50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51.13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34.89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74.94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3.21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Nivolumab</w:t>
            </w: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6.87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10.93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28.15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18.62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42.58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4.10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8.85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6.51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12.02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42.60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31.56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57.50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4.69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3.47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951" w:type="dxa"/>
            <w:gridSpan w:val="9"/>
            <w:shd w:val="clear" w:color="auto" w:fill="auto"/>
            <w:noWrap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PD-L1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Atezolizumab</w:t>
            </w: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31.01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Avelumab</w:t>
            </w: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17.54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70.40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125.04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51.44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303.95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3.35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Durvalumab</w:t>
            </w: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28.33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88.52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7.08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0.30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24.63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12.66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47.94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951" w:type="dxa"/>
            <w:gridSpan w:val="9"/>
            <w:shd w:val="clear" w:color="auto" w:fill="auto"/>
            <w:noWrap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CTLA-4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Ipilimumab</w:t>
            </w: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11.62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4.66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33.19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951" w:type="dxa"/>
            <w:gridSpan w:val="9"/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PD-1 plus CTLA-4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Pembrolizumab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 Ipilimumab</w:t>
            </w: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666.13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270.86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1638.23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Nivolumab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 Ipilimumab</w:t>
            </w: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14.57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8.61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24.68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3.30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40.27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23.02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70.43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ind w:firstLine="360" w:firstLineChars="2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14.17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8.37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24.00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1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61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1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55.72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34.46</w:t>
            </w:r>
          </w:p>
        </w:tc>
        <w:tc>
          <w:tcPr>
            <w:tcW w:w="87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90.08</w:t>
            </w:r>
          </w:p>
        </w:tc>
        <w:tc>
          <w:tcPr>
            <w:tcW w:w="703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709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7.19</w:t>
            </w:r>
          </w:p>
        </w:tc>
      </w:tr>
    </w:tbl>
    <w:p>
      <w:pPr>
        <w:rPr>
          <w:rFonts w:hint="default" w:ascii="Times New Roman" w:hAnsi="Times New Roman" w:cs="Times New Roman"/>
          <w:sz w:val="20"/>
          <w:szCs w:val="20"/>
          <w:vertAlign w:val="superscript"/>
          <w:lang w:val="en-US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These case reports only contain corresponding monotherapy.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CTLA-4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cytotoxic T-lymphocyte-associated protein 4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;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PD-1, programmed death-1 receptor; PD-L1, programmed death-ligand 1. 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b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ROR r</w:t>
      </w:r>
      <w:r>
        <w:rPr>
          <w:rFonts w:ascii="Times New Roman" w:hAnsi="Times New Roman" w:cs="Times New Roman"/>
        </w:rPr>
        <w:t>eporting odds ratio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c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IC i</w:t>
      </w:r>
      <w:r>
        <w:rPr>
          <w:rFonts w:ascii="Times New Roman" w:hAnsi="Times New Roman" w:cs="Times New Roman"/>
        </w:rPr>
        <w:t>nformation component</w:t>
      </w:r>
    </w:p>
    <w:p>
      <w:pPr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 w:eastAsiaTheme="minorEastAsia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Supplement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Ta</w:t>
      </w:r>
      <w:bookmarkStart w:id="9" w:name="_GoBack"/>
      <w:bookmarkEnd w:id="9"/>
      <w:r>
        <w:rPr>
          <w:rFonts w:ascii="Times New Roman" w:hAnsi="Times New Roman" w:cs="Times New Roman"/>
          <w:b w:val="0"/>
          <w:bCs w:val="0"/>
          <w:sz w:val="20"/>
          <w:szCs w:val="20"/>
        </w:rPr>
        <w:t>ble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 4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Disproportionality analysis 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between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ICIs and Sjogren’s syndrome (reporting year)</w:t>
      </w:r>
    </w:p>
    <w:tbl>
      <w:tblPr>
        <w:tblStyle w:val="5"/>
        <w:tblW w:w="832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85"/>
        <w:gridCol w:w="988"/>
        <w:gridCol w:w="1009"/>
        <w:gridCol w:w="969"/>
        <w:gridCol w:w="852"/>
        <w:gridCol w:w="791"/>
        <w:gridCol w:w="80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Category</w:t>
            </w:r>
          </w:p>
        </w:tc>
        <w:tc>
          <w:tcPr>
            <w:tcW w:w="785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</w:p>
        </w:tc>
        <w:tc>
          <w:tcPr>
            <w:tcW w:w="988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ROR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zh-CN"/>
              </w:rPr>
              <w:t>f</w:t>
            </w:r>
          </w:p>
        </w:tc>
        <w:tc>
          <w:tcPr>
            <w:tcW w:w="100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ROR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025</w:t>
            </w:r>
          </w:p>
        </w:tc>
        <w:tc>
          <w:tcPr>
            <w:tcW w:w="96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ROR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975</w:t>
            </w:r>
          </w:p>
        </w:tc>
        <w:tc>
          <w:tcPr>
            <w:tcW w:w="852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IC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zh-CN"/>
              </w:rPr>
              <w:t>g</w:t>
            </w:r>
          </w:p>
        </w:tc>
        <w:tc>
          <w:tcPr>
            <w:tcW w:w="79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025</w:t>
            </w:r>
          </w:p>
        </w:tc>
        <w:tc>
          <w:tcPr>
            <w:tcW w:w="804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975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Reporting year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zh-CN"/>
              </w:rPr>
              <w:t>a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Total PD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zh-CN"/>
              </w:rPr>
              <w:t>b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2.77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0.69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11.10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1.03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4.13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5.74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3.24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10.15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2.26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1.28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3.99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8.15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5.80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11.47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2.85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2.03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4.01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11.21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8.80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14.28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3.32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2.61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4.23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15.00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12.52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17.96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3.74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3.12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4.47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13.44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11.35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15.90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3.60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3.04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4.26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Total PD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L1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zh-CN"/>
              </w:rPr>
              <w:t>c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2.14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0.30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15.18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0.63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0.09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4.49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3.07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0.99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9.53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1.24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0.40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3.86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6.01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3.23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11.19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2.27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1.22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4.23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6.50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3.97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10.63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2.47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1.51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4.04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Total CTLA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1.36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0.19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9.66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0.28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1.98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2.92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0.94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9.07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1.19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0.38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3.71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6.92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3.82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12.54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2.45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1.35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4.44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10.13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6.58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15.59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3.05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1.98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4.69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12.73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9.07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17.88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3.42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2.44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4.80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13.06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9.62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17.73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3.49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2.57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4.74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All ICIs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zh-CN"/>
              </w:rPr>
              <w:t>e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1.50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0.37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5.99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0.11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1.78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4.40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2.55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7.61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1.95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1.13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3.38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6.42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4.60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8.94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2.54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1.82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3.54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8.97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7.08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11.35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3.03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2.39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3.83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12.52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10.53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14.89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3.49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2.93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4.14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11.22 </w:t>
            </w:r>
          </w:p>
        </w:tc>
        <w:tc>
          <w:tcPr>
            <w:tcW w:w="10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9.55 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13.17 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3.35 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2.85 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3.93 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These case reports contain monotherapy and combination therapy. There are no cases for anti-PD-1 and anti-CTLA-4 group in 2013-2014, and no cases for anti-PD-L1 group in 2013-2016.</w:t>
      </w:r>
    </w:p>
    <w:p>
      <w:pPr>
        <w:jc w:val="left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PD-1 programmed death-1 receptor</w:t>
      </w:r>
    </w:p>
    <w:p>
      <w:pPr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PD-L1 programmed death-ligand 1</w:t>
      </w:r>
    </w:p>
    <w:p>
      <w:pPr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CTLA-4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cytotoxic T-lymphocyte-associated protein 4</w:t>
      </w:r>
    </w:p>
    <w:p>
      <w:pPr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ICIs immune checkpoint inhibitors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f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ROR r</w:t>
      </w:r>
      <w:r>
        <w:rPr>
          <w:rFonts w:ascii="Times New Roman" w:hAnsi="Times New Roman" w:cs="Times New Roman"/>
        </w:rPr>
        <w:t>eporting odds ratio</w:t>
      </w:r>
    </w:p>
    <w:p>
      <w:pPr>
        <w:rPr>
          <w:rFonts w:hint="default" w:ascii="Times New Roman" w:hAnsi="Times New Roman" w:cs="Times New Roman"/>
          <w:lang w:val="en-US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g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IC i</w:t>
      </w:r>
      <w:r>
        <w:rPr>
          <w:rFonts w:ascii="Times New Roman" w:hAnsi="Times New Roman" w:cs="Times New Roman"/>
        </w:rPr>
        <w:t>nformation component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3NbAAAmNzS2NjUyUdpeDU4uLM/DyQApNaAPjC7ZEsAAAA"/>
    <w:docVar w:name="commondata" w:val="eyJoZGlkIjoiNTQ3YmQ1ZjFmMjBlMzA3ODE1NGI5Y2ZjNDVlZjk5NmUifQ=="/>
  </w:docVars>
  <w:rsids>
    <w:rsidRoot w:val="004C2B14"/>
    <w:rsid w:val="00012A36"/>
    <w:rsid w:val="0010180F"/>
    <w:rsid w:val="001A44F2"/>
    <w:rsid w:val="001A5974"/>
    <w:rsid w:val="00205794"/>
    <w:rsid w:val="0023772E"/>
    <w:rsid w:val="002570FC"/>
    <w:rsid w:val="003740BF"/>
    <w:rsid w:val="003868B2"/>
    <w:rsid w:val="00446514"/>
    <w:rsid w:val="004676B3"/>
    <w:rsid w:val="00475C25"/>
    <w:rsid w:val="004A737B"/>
    <w:rsid w:val="004C2B14"/>
    <w:rsid w:val="005448A9"/>
    <w:rsid w:val="005659D6"/>
    <w:rsid w:val="00570B1A"/>
    <w:rsid w:val="0058301C"/>
    <w:rsid w:val="00642B57"/>
    <w:rsid w:val="00743351"/>
    <w:rsid w:val="00757BA2"/>
    <w:rsid w:val="00770847"/>
    <w:rsid w:val="00776B01"/>
    <w:rsid w:val="007C5C37"/>
    <w:rsid w:val="00866CA1"/>
    <w:rsid w:val="008D5827"/>
    <w:rsid w:val="0096570C"/>
    <w:rsid w:val="009800AC"/>
    <w:rsid w:val="00A46F3F"/>
    <w:rsid w:val="00A87A99"/>
    <w:rsid w:val="00AE205E"/>
    <w:rsid w:val="00B05B8C"/>
    <w:rsid w:val="00B2756A"/>
    <w:rsid w:val="00B929B4"/>
    <w:rsid w:val="00BA43D8"/>
    <w:rsid w:val="00BB18A5"/>
    <w:rsid w:val="00BC7AEF"/>
    <w:rsid w:val="00BD7816"/>
    <w:rsid w:val="00BE048C"/>
    <w:rsid w:val="00BF6608"/>
    <w:rsid w:val="00C03736"/>
    <w:rsid w:val="00D21F47"/>
    <w:rsid w:val="00D23198"/>
    <w:rsid w:val="00D264AB"/>
    <w:rsid w:val="00D322F5"/>
    <w:rsid w:val="00D33D9F"/>
    <w:rsid w:val="00D3616A"/>
    <w:rsid w:val="00DD6DA1"/>
    <w:rsid w:val="00DE6EB7"/>
    <w:rsid w:val="00E0082D"/>
    <w:rsid w:val="00E016A3"/>
    <w:rsid w:val="00E3548D"/>
    <w:rsid w:val="00E457D2"/>
    <w:rsid w:val="00F450EF"/>
    <w:rsid w:val="00FA1A56"/>
    <w:rsid w:val="00FB5CFB"/>
    <w:rsid w:val="00FD37FB"/>
    <w:rsid w:val="04E90853"/>
    <w:rsid w:val="09AF23DD"/>
    <w:rsid w:val="0B0F57CE"/>
    <w:rsid w:val="15080900"/>
    <w:rsid w:val="16753478"/>
    <w:rsid w:val="19376BC4"/>
    <w:rsid w:val="1A3D38E1"/>
    <w:rsid w:val="1E2616FD"/>
    <w:rsid w:val="376B1D4A"/>
    <w:rsid w:val="4AA20A60"/>
    <w:rsid w:val="4E4F6846"/>
    <w:rsid w:val="5BFD605A"/>
    <w:rsid w:val="61F17D54"/>
    <w:rsid w:val="68AB4C28"/>
    <w:rsid w:val="6D882E34"/>
    <w:rsid w:val="70761FC0"/>
    <w:rsid w:val="75404271"/>
    <w:rsid w:val="78F53D8B"/>
    <w:rsid w:val="7BBF56E5"/>
    <w:rsid w:val="7DA45DAB"/>
    <w:rsid w:val="7E3832F8"/>
    <w:rsid w:val="BB6FF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9"/>
    <w:pPr>
      <w:keepNext/>
      <w:keepLines/>
      <w:spacing w:before="20" w:after="20"/>
      <w:outlineLvl w:val="1"/>
    </w:pPr>
    <w:rPr>
      <w:rFonts w:eastAsia="Times New Roman" w:asciiTheme="majorHAnsi" w:hAnsiTheme="majorHAnsi" w:cstheme="majorBidi"/>
      <w:b/>
      <w:bCs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字符"/>
    <w:basedOn w:val="7"/>
    <w:link w:val="2"/>
    <w:qFormat/>
    <w:uiPriority w:val="9"/>
    <w:rPr>
      <w:rFonts w:eastAsia="Times New Roman" w:asciiTheme="majorHAnsi" w:hAnsiTheme="majorHAnsi" w:cstheme="majorBidi"/>
      <w:b/>
      <w:bCs/>
      <w:szCs w:val="32"/>
    </w:rPr>
  </w:style>
  <w:style w:type="character" w:customStyle="1" w:styleId="9">
    <w:name w:val="font0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0">
    <w:name w:val="font2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bscript"/>
    </w:rPr>
  </w:style>
  <w:style w:type="character" w:customStyle="1" w:styleId="11">
    <w:name w:val="font4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786</Words>
  <Characters>3924</Characters>
  <Lines>61</Lines>
  <Paragraphs>17</Paragraphs>
  <TotalTime>1</TotalTime>
  <ScaleCrop>false</ScaleCrop>
  <LinksUpToDate>false</LinksUpToDate>
  <CharactersWithSpaces>4224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2022-07-22T16:49:00Z</dcterms:created>
  <dc:creator>一米 阳光</dc:creator>
  <cp:lastModifiedBy>Lccy</cp:lastModifiedBy>
  <dcterms:modified xsi:type="dcterms:W3CDTF">2022-10-22T03:17:35Z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4BC7C50D8CE745159FA05C0AF132DEC8</vt:lpwstr>
  </property>
</Properties>
</file>