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71D1D" w14:textId="015D49AF" w:rsidR="00525441" w:rsidRPr="00AA0363" w:rsidRDefault="00AA0363" w:rsidP="00525441">
      <w:pPr>
        <w:tabs>
          <w:tab w:val="right" w:leader="dot" w:pos="9101"/>
          <w:tab w:val="right" w:pos="9288"/>
        </w:tabs>
        <w:spacing w:line="276" w:lineRule="auto"/>
        <w:rPr>
          <w:rFonts w:ascii="Glacial Indifference" w:hAnsi="Glacial Indifference"/>
          <w:b/>
          <w:color w:val="171A1E" w:themeColor="text1" w:themeShade="80"/>
        </w:rPr>
      </w:pPr>
      <w:r w:rsidRPr="00AA0363">
        <w:rPr>
          <w:rFonts w:ascii="Glacial Indifference" w:hAnsi="Glacial Indifference"/>
          <w:b/>
          <w:noProof/>
        </w:rPr>
        <w:t>SUPPLEMENTARY MATERIAL</w:t>
      </w:r>
    </w:p>
    <w:p w14:paraId="311487AD" w14:textId="77777777" w:rsidR="00525441" w:rsidRPr="00AC1ECC" w:rsidRDefault="00525441" w:rsidP="00525441">
      <w:pPr>
        <w:tabs>
          <w:tab w:val="right" w:leader="dot" w:pos="9101"/>
          <w:tab w:val="right" w:pos="9288"/>
        </w:tabs>
        <w:spacing w:line="276" w:lineRule="auto"/>
        <w:rPr>
          <w:rFonts w:ascii="Glacial Indifference" w:hAnsi="Glacial Indifference"/>
          <w:b/>
          <w:color w:val="171A1E" w:themeColor="text1" w:themeShade="80"/>
          <w:sz w:val="32"/>
          <w:szCs w:val="32"/>
        </w:rPr>
      </w:pPr>
    </w:p>
    <w:p w14:paraId="7BA5BCC7" w14:textId="5FBFFE7E" w:rsidR="00525441" w:rsidRPr="00AA0363" w:rsidRDefault="00525441" w:rsidP="00525441">
      <w:pPr>
        <w:tabs>
          <w:tab w:val="right" w:leader="dot" w:pos="9101"/>
          <w:tab w:val="right" w:pos="9288"/>
        </w:tabs>
        <w:spacing w:line="360" w:lineRule="auto"/>
        <w:rPr>
          <w:rFonts w:ascii="Glacial Indifference" w:hAnsi="Glacial Indifference"/>
          <w:b/>
          <w:sz w:val="22"/>
          <w:szCs w:val="22"/>
        </w:rPr>
      </w:pPr>
      <w:r w:rsidRPr="00AA0363">
        <w:rPr>
          <w:rFonts w:ascii="Glacial Indifference" w:hAnsi="Glacial Indifference"/>
          <w:b/>
          <w:sz w:val="22"/>
          <w:szCs w:val="22"/>
        </w:rPr>
        <w:t>Summary of Content</w:t>
      </w:r>
    </w:p>
    <w:p w14:paraId="012B9416" w14:textId="77777777" w:rsidR="00AA0363" w:rsidRPr="002D0FBE" w:rsidRDefault="00AA0363" w:rsidP="00AA0363">
      <w:pPr>
        <w:spacing w:line="480" w:lineRule="auto"/>
        <w:rPr>
          <w:rFonts w:ascii="Glacial Indifference" w:hAnsi="Glacial Indifference"/>
          <w:bCs/>
          <w:color w:val="171A1E" w:themeColor="text1" w:themeShade="80"/>
          <w:sz w:val="22"/>
          <w:szCs w:val="22"/>
        </w:rPr>
      </w:pPr>
      <w:r w:rsidRPr="002D0FBE">
        <w:rPr>
          <w:rFonts w:ascii="Glacial Indifference" w:hAnsi="Glacial Indifference"/>
          <w:bCs/>
          <w:color w:val="171A1E" w:themeColor="text1" w:themeShade="80"/>
          <w:sz w:val="22"/>
          <w:szCs w:val="22"/>
        </w:rPr>
        <w:t xml:space="preserve">Supplementary material </w:t>
      </w:r>
      <w:r>
        <w:rPr>
          <w:rFonts w:ascii="Glacial Indifference" w:hAnsi="Glacial Indifference"/>
          <w:bCs/>
          <w:color w:val="171A1E" w:themeColor="text1" w:themeShade="80"/>
          <w:sz w:val="22"/>
          <w:szCs w:val="22"/>
        </w:rPr>
        <w:t xml:space="preserve">1 </w:t>
      </w:r>
      <w:r w:rsidRPr="002D0FBE">
        <w:rPr>
          <w:rFonts w:ascii="Glacial Indifference" w:hAnsi="Glacial Indifference"/>
          <w:bCs/>
          <w:color w:val="171A1E" w:themeColor="text1" w:themeShade="80"/>
          <w:sz w:val="22"/>
          <w:szCs w:val="22"/>
        </w:rPr>
        <w:t>– Outcomes excluded from Round 2</w:t>
      </w:r>
    </w:p>
    <w:p w14:paraId="7FDCD286" w14:textId="77777777" w:rsidR="00AA0363" w:rsidRPr="002D0FBE" w:rsidRDefault="00AA0363" w:rsidP="00AA0363">
      <w:pPr>
        <w:spacing w:line="480" w:lineRule="auto"/>
        <w:rPr>
          <w:rFonts w:ascii="Glacial Indifference" w:hAnsi="Glacial Indifference"/>
          <w:bCs/>
          <w:color w:val="171A1E" w:themeColor="text1" w:themeShade="80"/>
          <w:sz w:val="22"/>
          <w:szCs w:val="22"/>
        </w:rPr>
      </w:pPr>
      <w:r w:rsidRPr="002D0FBE">
        <w:rPr>
          <w:rFonts w:ascii="Glacial Indifference" w:hAnsi="Glacial Indifference"/>
          <w:bCs/>
          <w:color w:val="171A1E" w:themeColor="text1" w:themeShade="80"/>
          <w:sz w:val="22"/>
          <w:szCs w:val="22"/>
        </w:rPr>
        <w:t xml:space="preserve">Supplementary material </w:t>
      </w:r>
      <w:r>
        <w:rPr>
          <w:rFonts w:ascii="Glacial Indifference" w:hAnsi="Glacial Indifference"/>
          <w:bCs/>
          <w:color w:val="171A1E" w:themeColor="text1" w:themeShade="80"/>
          <w:sz w:val="22"/>
          <w:szCs w:val="22"/>
        </w:rPr>
        <w:t>2</w:t>
      </w:r>
      <w:r w:rsidRPr="002D0FBE">
        <w:rPr>
          <w:rFonts w:ascii="Glacial Indifference" w:hAnsi="Glacial Indifference"/>
          <w:bCs/>
          <w:color w:val="171A1E" w:themeColor="text1" w:themeShade="80"/>
          <w:sz w:val="22"/>
          <w:szCs w:val="22"/>
        </w:rPr>
        <w:t xml:space="preserve"> – Outcomes eligible for inclusion in Round 2</w:t>
      </w:r>
    </w:p>
    <w:p w14:paraId="55856A45" w14:textId="77777777" w:rsidR="00AA0363" w:rsidRPr="002D0FBE" w:rsidRDefault="00AA0363" w:rsidP="00AA0363">
      <w:pPr>
        <w:spacing w:line="480" w:lineRule="auto"/>
        <w:rPr>
          <w:rFonts w:ascii="Glacial Indifference" w:hAnsi="Glacial Indifference"/>
          <w:bCs/>
          <w:color w:val="171A1E" w:themeColor="text1" w:themeShade="80"/>
          <w:sz w:val="22"/>
          <w:szCs w:val="22"/>
        </w:rPr>
      </w:pPr>
      <w:r w:rsidRPr="002D0FBE">
        <w:rPr>
          <w:rFonts w:ascii="Glacial Indifference" w:hAnsi="Glacial Indifference"/>
          <w:bCs/>
          <w:color w:val="171A1E" w:themeColor="text1" w:themeShade="80"/>
          <w:sz w:val="22"/>
          <w:szCs w:val="22"/>
        </w:rPr>
        <w:t xml:space="preserve">Supplementary material </w:t>
      </w:r>
      <w:r>
        <w:rPr>
          <w:rFonts w:ascii="Glacial Indifference" w:hAnsi="Glacial Indifference"/>
          <w:bCs/>
          <w:color w:val="171A1E" w:themeColor="text1" w:themeShade="80"/>
          <w:sz w:val="22"/>
          <w:szCs w:val="22"/>
        </w:rPr>
        <w:t xml:space="preserve">3 </w:t>
      </w:r>
      <w:r w:rsidRPr="002D0FBE">
        <w:rPr>
          <w:rFonts w:ascii="Glacial Indifference" w:hAnsi="Glacial Indifference"/>
          <w:bCs/>
          <w:color w:val="171A1E" w:themeColor="text1" w:themeShade="80"/>
          <w:sz w:val="22"/>
          <w:szCs w:val="22"/>
        </w:rPr>
        <w:t>– Outcomes combined for Round 2</w:t>
      </w:r>
    </w:p>
    <w:p w14:paraId="7A4ACDBA" w14:textId="77777777" w:rsidR="00AA0363" w:rsidRDefault="00AA0363" w:rsidP="00AA0363">
      <w:pPr>
        <w:spacing w:line="480" w:lineRule="auto"/>
        <w:rPr>
          <w:rFonts w:ascii="Glacial Indifference" w:hAnsi="Glacial Indifference"/>
          <w:bCs/>
          <w:color w:val="171A1E" w:themeColor="text1" w:themeShade="80"/>
          <w:sz w:val="22"/>
          <w:szCs w:val="22"/>
        </w:rPr>
      </w:pPr>
      <w:r w:rsidRPr="002D0FBE">
        <w:rPr>
          <w:rFonts w:ascii="Glacial Indifference" w:hAnsi="Glacial Indifference"/>
          <w:bCs/>
          <w:color w:val="171A1E" w:themeColor="text1" w:themeShade="80"/>
          <w:sz w:val="22"/>
          <w:szCs w:val="22"/>
        </w:rPr>
        <w:t xml:space="preserve">Supplementary material </w:t>
      </w:r>
      <w:r>
        <w:rPr>
          <w:rFonts w:ascii="Glacial Indifference" w:hAnsi="Glacial Indifference"/>
          <w:bCs/>
          <w:color w:val="171A1E" w:themeColor="text1" w:themeShade="80"/>
          <w:sz w:val="22"/>
          <w:szCs w:val="22"/>
        </w:rPr>
        <w:t>4</w:t>
      </w:r>
      <w:r w:rsidRPr="002D0FBE">
        <w:rPr>
          <w:rFonts w:ascii="Glacial Indifference" w:hAnsi="Glacial Indifference"/>
          <w:bCs/>
          <w:color w:val="171A1E" w:themeColor="text1" w:themeShade="80"/>
          <w:sz w:val="22"/>
          <w:szCs w:val="22"/>
        </w:rPr>
        <w:t xml:space="preserve"> – List of outcomes per tier following Round 2</w:t>
      </w:r>
    </w:p>
    <w:p w14:paraId="1F39ACFE" w14:textId="77777777" w:rsidR="006458CC" w:rsidRDefault="006458CC" w:rsidP="00AB2A58">
      <w:pPr>
        <w:tabs>
          <w:tab w:val="right" w:leader="dot" w:pos="9101"/>
          <w:tab w:val="right" w:pos="9288"/>
        </w:tabs>
        <w:spacing w:line="276" w:lineRule="auto"/>
        <w:rPr>
          <w:rFonts w:ascii="Glacial Indifference" w:hAnsi="Glacial Indifference"/>
          <w:sz w:val="22"/>
          <w:szCs w:val="22"/>
        </w:rPr>
      </w:pPr>
    </w:p>
    <w:p w14:paraId="3EEB18C4" w14:textId="77777777" w:rsidR="00AB2A58" w:rsidRPr="00AC1ECC" w:rsidRDefault="00AB2A58" w:rsidP="00B97AA0">
      <w:pPr>
        <w:tabs>
          <w:tab w:val="right" w:leader="dot" w:pos="9101"/>
          <w:tab w:val="right" w:pos="9288"/>
        </w:tabs>
        <w:spacing w:line="276" w:lineRule="auto"/>
        <w:rPr>
          <w:rFonts w:ascii="Glacial Indifference" w:hAnsi="Glacial Indifference"/>
          <w:color w:val="F75F00" w:themeColor="accent3" w:themeShade="BF"/>
          <w:sz w:val="22"/>
          <w:szCs w:val="22"/>
        </w:rPr>
      </w:pPr>
    </w:p>
    <w:p w14:paraId="501B23B0" w14:textId="3C34F546" w:rsidR="00F73D21" w:rsidRPr="00AC1ECC" w:rsidRDefault="00F73D21">
      <w:pPr>
        <w:rPr>
          <w:rFonts w:ascii="Glacial Indifference" w:hAnsi="Glacial Indifference"/>
        </w:rPr>
      </w:pPr>
    </w:p>
    <w:p w14:paraId="56B24C34" w14:textId="11225590" w:rsidR="00F73D21" w:rsidRPr="00AC1ECC" w:rsidRDefault="00F73D21">
      <w:pPr>
        <w:rPr>
          <w:rFonts w:ascii="Glacial Indifference" w:hAnsi="Glacial Indifference"/>
        </w:rPr>
      </w:pPr>
    </w:p>
    <w:p w14:paraId="6D3933A7" w14:textId="467F6C4D" w:rsidR="00F73D21" w:rsidRPr="00AC1ECC" w:rsidRDefault="00F73D21">
      <w:pPr>
        <w:rPr>
          <w:rFonts w:ascii="Glacial Indifference" w:hAnsi="Glacial Indifference"/>
        </w:rPr>
      </w:pPr>
    </w:p>
    <w:p w14:paraId="2DDFD1BD" w14:textId="7E7E10CE" w:rsidR="00F73D21" w:rsidRPr="00AC1ECC" w:rsidRDefault="00F73D21">
      <w:pPr>
        <w:rPr>
          <w:rFonts w:ascii="Glacial Indifference" w:hAnsi="Glacial Indifference"/>
        </w:rPr>
      </w:pPr>
    </w:p>
    <w:p w14:paraId="4557A42C" w14:textId="4E421735" w:rsidR="00F73D21" w:rsidRPr="00AC1ECC" w:rsidRDefault="00F73D21">
      <w:pPr>
        <w:rPr>
          <w:rFonts w:ascii="Glacial Indifference" w:hAnsi="Glacial Indifference"/>
        </w:rPr>
      </w:pPr>
    </w:p>
    <w:p w14:paraId="58812352" w14:textId="6D34DD2C" w:rsidR="00F73D21" w:rsidRPr="00AC1ECC" w:rsidRDefault="00F73D21">
      <w:pPr>
        <w:rPr>
          <w:rFonts w:ascii="Glacial Indifference" w:hAnsi="Glacial Indifference"/>
        </w:rPr>
      </w:pPr>
    </w:p>
    <w:p w14:paraId="2015DFC4" w14:textId="02362292" w:rsidR="00F73D21" w:rsidRPr="00AC1ECC" w:rsidRDefault="00F73D21">
      <w:pPr>
        <w:rPr>
          <w:rFonts w:ascii="Glacial Indifference" w:hAnsi="Glacial Indifference"/>
        </w:rPr>
      </w:pPr>
    </w:p>
    <w:p w14:paraId="2807D8D7" w14:textId="77777777" w:rsidR="003F0F78" w:rsidRDefault="003F0F78">
      <w:pPr>
        <w:rPr>
          <w:rFonts w:ascii="Glacial Indifference" w:hAnsi="Glacial Indifference"/>
        </w:rPr>
        <w:sectPr w:rsidR="003F0F78" w:rsidSect="007E7340">
          <w:footerReference w:type="default" r:id="rId8"/>
          <w:pgSz w:w="11906" w:h="16838"/>
          <w:pgMar w:top="1701" w:right="1134" w:bottom="1134" w:left="2268" w:header="709" w:footer="709" w:gutter="0"/>
          <w:cols w:space="708"/>
          <w:docGrid w:linePitch="360"/>
        </w:sectPr>
      </w:pPr>
    </w:p>
    <w:p w14:paraId="7C016FE0" w14:textId="1E8C7512" w:rsidR="00E5332B" w:rsidRPr="006673A8" w:rsidRDefault="00374F61" w:rsidP="00E5332B">
      <w:pPr>
        <w:rPr>
          <w:rFonts w:ascii="Glacial Indifference" w:hAnsi="Glacial Indifference"/>
          <w:b/>
          <w:bCs/>
          <w:sz w:val="22"/>
          <w:szCs w:val="22"/>
        </w:rPr>
      </w:pPr>
      <w:r w:rsidRPr="006673A8">
        <w:rPr>
          <w:rFonts w:ascii="Glacial Indifference" w:hAnsi="Glacial Indifference" w:cs="Arial"/>
          <w:b/>
          <w:bCs/>
          <w:sz w:val="22"/>
          <w:szCs w:val="22"/>
        </w:rPr>
        <w:lastRenderedPageBreak/>
        <w:t xml:space="preserve">Supplementary material </w:t>
      </w:r>
      <w:r w:rsidR="00AA0363">
        <w:rPr>
          <w:rFonts w:ascii="Glacial Indifference" w:hAnsi="Glacial Indifference" w:cs="Arial"/>
          <w:b/>
          <w:bCs/>
          <w:sz w:val="22"/>
          <w:szCs w:val="22"/>
        </w:rPr>
        <w:t>1</w:t>
      </w:r>
      <w:r w:rsidR="00E5332B" w:rsidRPr="006673A8">
        <w:rPr>
          <w:rFonts w:ascii="Glacial Indifference" w:hAnsi="Glacial Indifference"/>
          <w:b/>
          <w:bCs/>
          <w:sz w:val="22"/>
          <w:szCs w:val="22"/>
        </w:rPr>
        <w:t>: Outcomes excluded from Round 2 (n=36)</w:t>
      </w:r>
    </w:p>
    <w:p w14:paraId="24D94D5B" w14:textId="77777777" w:rsidR="00E5332B" w:rsidRDefault="00E5332B">
      <w:pPr>
        <w:rPr>
          <w:rFonts w:ascii="Glacial Indifference" w:hAnsi="Glacial Indifference"/>
        </w:rPr>
      </w:pPr>
    </w:p>
    <w:tbl>
      <w:tblPr>
        <w:tblStyle w:val="TableGrid"/>
        <w:tblW w:w="5000" w:type="pct"/>
        <w:tblLook w:val="04A0" w:firstRow="1" w:lastRow="0" w:firstColumn="1" w:lastColumn="0" w:noHBand="0" w:noVBand="1"/>
      </w:tblPr>
      <w:tblGrid>
        <w:gridCol w:w="797"/>
        <w:gridCol w:w="8831"/>
      </w:tblGrid>
      <w:tr w:rsidR="00E5332B" w14:paraId="399D06B0" w14:textId="77777777" w:rsidTr="00DA01E1">
        <w:tc>
          <w:tcPr>
            <w:tcW w:w="414" w:type="pct"/>
            <w:shd w:val="clear" w:color="auto" w:fill="171A1E" w:themeFill="text1" w:themeFillShade="80"/>
          </w:tcPr>
          <w:p w14:paraId="039EE6B9" w14:textId="45159289" w:rsidR="00E5332B" w:rsidRDefault="00E5332B" w:rsidP="00E5332B">
            <w:pPr>
              <w:rPr>
                <w:rFonts w:ascii="Glacial Indifference" w:hAnsi="Glacial Indifference"/>
              </w:rPr>
            </w:pPr>
            <w:r w:rsidRPr="003F0F78">
              <w:rPr>
                <w:rFonts w:ascii="Glacial Indifference" w:hAnsi="Glacial Indifference"/>
                <w:b/>
                <w:bCs/>
                <w:sz w:val="22"/>
                <w:szCs w:val="22"/>
              </w:rPr>
              <w:t>ID</w:t>
            </w:r>
          </w:p>
        </w:tc>
        <w:tc>
          <w:tcPr>
            <w:tcW w:w="4586" w:type="pct"/>
            <w:shd w:val="clear" w:color="auto" w:fill="171A1E" w:themeFill="text1" w:themeFillShade="80"/>
          </w:tcPr>
          <w:p w14:paraId="0205F538" w14:textId="67A36922" w:rsidR="00E5332B" w:rsidRDefault="00E5332B" w:rsidP="00E5332B">
            <w:pPr>
              <w:rPr>
                <w:rFonts w:ascii="Glacial Indifference" w:hAnsi="Glacial Indifference"/>
              </w:rPr>
            </w:pPr>
            <w:r w:rsidRPr="003F0F78">
              <w:rPr>
                <w:rFonts w:ascii="Glacial Indifference" w:hAnsi="Glacial Indifference"/>
                <w:b/>
                <w:bCs/>
                <w:sz w:val="22"/>
                <w:szCs w:val="22"/>
              </w:rPr>
              <w:t>Outcome description</w:t>
            </w:r>
          </w:p>
        </w:tc>
      </w:tr>
      <w:tr w:rsidR="00E5332B" w14:paraId="64076EED" w14:textId="77777777" w:rsidTr="00DA01E1">
        <w:tc>
          <w:tcPr>
            <w:tcW w:w="414" w:type="pct"/>
          </w:tcPr>
          <w:p w14:paraId="58166142" w14:textId="0305359E" w:rsidR="00E5332B" w:rsidRDefault="00E5332B" w:rsidP="00E5332B">
            <w:pPr>
              <w:rPr>
                <w:rFonts w:ascii="Glacial Indifference" w:hAnsi="Glacial Indifference"/>
              </w:rPr>
            </w:pPr>
            <w:r w:rsidRPr="005B2C51">
              <w:rPr>
                <w:rFonts w:ascii="Glacial Indifference" w:hAnsi="Glacial Indifference"/>
                <w:sz w:val="22"/>
                <w:szCs w:val="22"/>
              </w:rPr>
              <w:t>2.2</w:t>
            </w:r>
          </w:p>
        </w:tc>
        <w:tc>
          <w:tcPr>
            <w:tcW w:w="4586" w:type="pct"/>
          </w:tcPr>
          <w:p w14:paraId="6D9E1137" w14:textId="79E68FF7" w:rsidR="00E5332B" w:rsidRDefault="00E5332B" w:rsidP="00E5332B">
            <w:pPr>
              <w:rPr>
                <w:rFonts w:ascii="Glacial Indifference" w:hAnsi="Glacial Indifference"/>
              </w:rPr>
            </w:pPr>
            <w:r w:rsidRPr="005B2C51">
              <w:rPr>
                <w:rFonts w:ascii="Glacial Indifference" w:hAnsi="Glacial Indifference"/>
                <w:sz w:val="22"/>
                <w:szCs w:val="22"/>
              </w:rPr>
              <w:t>Identification of variants where the association with disease risk is unclear – studies should report the number of variants of uncertain significance identified through RGCS.</w:t>
            </w:r>
          </w:p>
        </w:tc>
      </w:tr>
      <w:tr w:rsidR="00E5332B" w14:paraId="34FA1F8C" w14:textId="77777777" w:rsidTr="00DA01E1">
        <w:tc>
          <w:tcPr>
            <w:tcW w:w="414" w:type="pct"/>
          </w:tcPr>
          <w:p w14:paraId="0C37755C" w14:textId="1D2DDEF6" w:rsidR="00E5332B" w:rsidRDefault="00E5332B" w:rsidP="00E5332B">
            <w:pPr>
              <w:rPr>
                <w:rFonts w:ascii="Glacial Indifference" w:hAnsi="Glacial Indifference"/>
              </w:rPr>
            </w:pPr>
            <w:r w:rsidRPr="005B2C51">
              <w:rPr>
                <w:rFonts w:ascii="Glacial Indifference" w:hAnsi="Glacial Indifference"/>
                <w:sz w:val="22"/>
                <w:szCs w:val="22"/>
              </w:rPr>
              <w:t>4.3</w:t>
            </w:r>
          </w:p>
        </w:tc>
        <w:tc>
          <w:tcPr>
            <w:tcW w:w="4586" w:type="pct"/>
          </w:tcPr>
          <w:p w14:paraId="469DF62E" w14:textId="03CF40E3" w:rsidR="00E5332B" w:rsidRDefault="00E5332B" w:rsidP="00E5332B">
            <w:pPr>
              <w:rPr>
                <w:rFonts w:ascii="Glacial Indifference" w:hAnsi="Glacial Indifference"/>
              </w:rPr>
            </w:pPr>
            <w:r w:rsidRPr="005B2C51">
              <w:rPr>
                <w:rFonts w:ascii="Glacial Indifference" w:hAnsi="Glacial Indifference"/>
                <w:sz w:val="22"/>
                <w:szCs w:val="22"/>
              </w:rPr>
              <w:t>Decline of RGCS – studies should report the number of patients offered RGCS who decline the offer.</w:t>
            </w:r>
          </w:p>
        </w:tc>
      </w:tr>
      <w:tr w:rsidR="00E5332B" w14:paraId="6D817A8A" w14:textId="77777777" w:rsidTr="00DA01E1">
        <w:tc>
          <w:tcPr>
            <w:tcW w:w="414" w:type="pct"/>
          </w:tcPr>
          <w:p w14:paraId="7A9919B8" w14:textId="40F8FCD0" w:rsidR="00E5332B" w:rsidRDefault="00E5332B" w:rsidP="00E5332B">
            <w:pPr>
              <w:rPr>
                <w:rFonts w:ascii="Glacial Indifference" w:hAnsi="Glacial Indifference"/>
              </w:rPr>
            </w:pPr>
            <w:r w:rsidRPr="005B2C51">
              <w:rPr>
                <w:rFonts w:ascii="Glacial Indifference" w:hAnsi="Glacial Indifference"/>
                <w:sz w:val="22"/>
                <w:szCs w:val="22"/>
              </w:rPr>
              <w:t>5.1</w:t>
            </w:r>
          </w:p>
        </w:tc>
        <w:tc>
          <w:tcPr>
            <w:tcW w:w="4586" w:type="pct"/>
          </w:tcPr>
          <w:p w14:paraId="5E7C9C35" w14:textId="2B0781D1" w:rsidR="00E5332B" w:rsidRDefault="00E5332B" w:rsidP="00E5332B">
            <w:pPr>
              <w:rPr>
                <w:rFonts w:ascii="Glacial Indifference" w:hAnsi="Glacial Indifference"/>
              </w:rPr>
            </w:pPr>
            <w:r w:rsidRPr="005B2C51">
              <w:rPr>
                <w:rFonts w:ascii="Glacial Indifference" w:hAnsi="Glacial Indifference"/>
                <w:sz w:val="22"/>
                <w:szCs w:val="22"/>
              </w:rPr>
              <w:t>Uptake of pre-test genetic counselling – studies should report the number of patients that elect to discuss RGCS with their healthcare provider when offered.</w:t>
            </w:r>
          </w:p>
        </w:tc>
      </w:tr>
      <w:tr w:rsidR="00E5332B" w14:paraId="7F3DB865" w14:textId="77777777" w:rsidTr="00DA01E1">
        <w:tc>
          <w:tcPr>
            <w:tcW w:w="414" w:type="pct"/>
          </w:tcPr>
          <w:p w14:paraId="1B46DF72" w14:textId="5A0C08FD" w:rsidR="00E5332B" w:rsidRDefault="00E5332B" w:rsidP="00E5332B">
            <w:pPr>
              <w:rPr>
                <w:rFonts w:ascii="Glacial Indifference" w:hAnsi="Glacial Indifference"/>
              </w:rPr>
            </w:pPr>
            <w:r w:rsidRPr="005B2C51">
              <w:rPr>
                <w:rFonts w:ascii="Glacial Indifference" w:hAnsi="Glacial Indifference"/>
                <w:sz w:val="22"/>
                <w:szCs w:val="22"/>
              </w:rPr>
              <w:t>5.2</w:t>
            </w:r>
          </w:p>
        </w:tc>
        <w:tc>
          <w:tcPr>
            <w:tcW w:w="4586" w:type="pct"/>
          </w:tcPr>
          <w:p w14:paraId="08F6CDB1" w14:textId="1AC1B87D" w:rsidR="00E5332B" w:rsidRDefault="00E5332B" w:rsidP="00E5332B">
            <w:pPr>
              <w:rPr>
                <w:rFonts w:ascii="Glacial Indifference" w:hAnsi="Glacial Indifference"/>
              </w:rPr>
            </w:pPr>
            <w:r w:rsidRPr="005B2C51">
              <w:rPr>
                <w:rFonts w:ascii="Glacial Indifference" w:hAnsi="Glacial Indifference"/>
                <w:sz w:val="22"/>
                <w:szCs w:val="22"/>
              </w:rPr>
              <w:t>Time required for pre-test genetic counselling – studies should report the length of time taken to explain and consent a patient for RGCS.</w:t>
            </w:r>
          </w:p>
        </w:tc>
      </w:tr>
      <w:tr w:rsidR="00E5332B" w14:paraId="2B7090A4" w14:textId="77777777" w:rsidTr="00DA01E1">
        <w:tc>
          <w:tcPr>
            <w:tcW w:w="414" w:type="pct"/>
          </w:tcPr>
          <w:p w14:paraId="7DD7E443" w14:textId="14CF6070" w:rsidR="00E5332B" w:rsidRDefault="00E5332B" w:rsidP="00E5332B">
            <w:pPr>
              <w:rPr>
                <w:rFonts w:ascii="Glacial Indifference" w:hAnsi="Glacial Indifference"/>
              </w:rPr>
            </w:pPr>
            <w:r w:rsidRPr="005B2C51">
              <w:rPr>
                <w:rFonts w:ascii="Glacial Indifference" w:hAnsi="Glacial Indifference"/>
                <w:sz w:val="22"/>
                <w:szCs w:val="22"/>
              </w:rPr>
              <w:t>5.4</w:t>
            </w:r>
          </w:p>
        </w:tc>
        <w:tc>
          <w:tcPr>
            <w:tcW w:w="4586" w:type="pct"/>
          </w:tcPr>
          <w:p w14:paraId="5E5CDBFE" w14:textId="72B37809" w:rsidR="00E5332B" w:rsidRDefault="00E5332B" w:rsidP="00E5332B">
            <w:pPr>
              <w:rPr>
                <w:rFonts w:ascii="Glacial Indifference" w:hAnsi="Glacial Indifference"/>
              </w:rPr>
            </w:pPr>
            <w:r w:rsidRPr="005B2C51">
              <w:rPr>
                <w:rFonts w:ascii="Glacial Indifference" w:hAnsi="Glacial Indifference"/>
                <w:sz w:val="22"/>
                <w:szCs w:val="22"/>
              </w:rPr>
              <w:t>Mode of genetic counselling – studies should report the number of patients utilising face-to-face, telephone, or telehealth service.</w:t>
            </w:r>
          </w:p>
        </w:tc>
      </w:tr>
      <w:tr w:rsidR="00E5332B" w14:paraId="487FA0D6" w14:textId="77777777" w:rsidTr="00DA01E1">
        <w:tc>
          <w:tcPr>
            <w:tcW w:w="414" w:type="pct"/>
          </w:tcPr>
          <w:p w14:paraId="1869B69A" w14:textId="6A10D8D1" w:rsidR="00E5332B" w:rsidRDefault="00E5332B" w:rsidP="00E5332B">
            <w:pPr>
              <w:rPr>
                <w:rFonts w:ascii="Glacial Indifference" w:hAnsi="Glacial Indifference"/>
              </w:rPr>
            </w:pPr>
            <w:r w:rsidRPr="005B2C51">
              <w:rPr>
                <w:rFonts w:ascii="Glacial Indifference" w:hAnsi="Glacial Indifference"/>
                <w:sz w:val="22"/>
                <w:szCs w:val="22"/>
              </w:rPr>
              <w:t>8.1</w:t>
            </w:r>
          </w:p>
        </w:tc>
        <w:tc>
          <w:tcPr>
            <w:tcW w:w="4586" w:type="pct"/>
          </w:tcPr>
          <w:p w14:paraId="2A8EEF50" w14:textId="235ACB54" w:rsidR="00E5332B" w:rsidRDefault="00E5332B" w:rsidP="00E5332B">
            <w:pPr>
              <w:rPr>
                <w:rFonts w:ascii="Glacial Indifference" w:hAnsi="Glacial Indifference"/>
              </w:rPr>
            </w:pPr>
            <w:r w:rsidRPr="005B2C51">
              <w:rPr>
                <w:rFonts w:ascii="Glacial Indifference" w:hAnsi="Glacial Indifference"/>
                <w:sz w:val="22"/>
                <w:szCs w:val="22"/>
              </w:rPr>
              <w:t>Results influences lifestyle changes – studies should report whether patients make any lifestyle changes based on RGCS results, such as weight loss, quitting smoking, or reducing alcohol intake.</w:t>
            </w:r>
          </w:p>
        </w:tc>
      </w:tr>
      <w:tr w:rsidR="00E5332B" w14:paraId="4BBB1C94" w14:textId="77777777" w:rsidTr="00DA01E1">
        <w:tc>
          <w:tcPr>
            <w:tcW w:w="414" w:type="pct"/>
          </w:tcPr>
          <w:p w14:paraId="634A043D" w14:textId="6D372397" w:rsidR="00E5332B" w:rsidRDefault="00E5332B" w:rsidP="00E5332B">
            <w:pPr>
              <w:rPr>
                <w:rFonts w:ascii="Glacial Indifference" w:hAnsi="Glacial Indifference"/>
              </w:rPr>
            </w:pPr>
            <w:r w:rsidRPr="005B2C51">
              <w:rPr>
                <w:rFonts w:ascii="Glacial Indifference" w:hAnsi="Glacial Indifference"/>
                <w:sz w:val="22"/>
                <w:szCs w:val="22"/>
              </w:rPr>
              <w:t>8.2</w:t>
            </w:r>
          </w:p>
        </w:tc>
        <w:tc>
          <w:tcPr>
            <w:tcW w:w="4586" w:type="pct"/>
          </w:tcPr>
          <w:p w14:paraId="2991717A" w14:textId="775D3C08" w:rsidR="00E5332B" w:rsidRDefault="00E5332B" w:rsidP="00E5332B">
            <w:pPr>
              <w:rPr>
                <w:rFonts w:ascii="Glacial Indifference" w:hAnsi="Glacial Indifference"/>
              </w:rPr>
            </w:pPr>
            <w:r w:rsidRPr="005B2C51">
              <w:rPr>
                <w:rFonts w:ascii="Glacial Indifference" w:hAnsi="Glacial Indifference"/>
                <w:sz w:val="22"/>
                <w:szCs w:val="22"/>
              </w:rPr>
              <w:t>Results influenced decision-making regarding an insurance policy – studies should report whether patients make decisions about long-term care, disability, life insurance, or private health insurance (that covers IVF) based on RGCS results.</w:t>
            </w:r>
          </w:p>
        </w:tc>
      </w:tr>
      <w:tr w:rsidR="00E5332B" w14:paraId="268A7D1E" w14:textId="77777777" w:rsidTr="00DA01E1">
        <w:tc>
          <w:tcPr>
            <w:tcW w:w="414" w:type="pct"/>
          </w:tcPr>
          <w:p w14:paraId="644429A3" w14:textId="4ED4F990" w:rsidR="00E5332B" w:rsidRDefault="00E5332B" w:rsidP="00E5332B">
            <w:pPr>
              <w:rPr>
                <w:rFonts w:ascii="Glacial Indifference" w:hAnsi="Glacial Indifference"/>
              </w:rPr>
            </w:pPr>
            <w:r w:rsidRPr="005B2C51">
              <w:rPr>
                <w:rFonts w:ascii="Glacial Indifference" w:hAnsi="Glacial Indifference"/>
                <w:sz w:val="22"/>
                <w:szCs w:val="22"/>
              </w:rPr>
              <w:t>9.1</w:t>
            </w:r>
          </w:p>
        </w:tc>
        <w:tc>
          <w:tcPr>
            <w:tcW w:w="4586" w:type="pct"/>
          </w:tcPr>
          <w:p w14:paraId="25FE442F" w14:textId="5B76F07D" w:rsidR="00E5332B" w:rsidRDefault="00E5332B" w:rsidP="00E5332B">
            <w:pPr>
              <w:rPr>
                <w:rFonts w:ascii="Glacial Indifference" w:hAnsi="Glacial Indifference"/>
              </w:rPr>
            </w:pPr>
            <w:r w:rsidRPr="005B2C51">
              <w:rPr>
                <w:rFonts w:ascii="Glacial Indifference" w:hAnsi="Glacial Indifference"/>
                <w:sz w:val="22"/>
                <w:szCs w:val="22"/>
              </w:rPr>
              <w:t>Turnaround times – studies should report the average and range (shortest and longest) turnaround time between sample collection and results return.</w:t>
            </w:r>
          </w:p>
        </w:tc>
      </w:tr>
      <w:tr w:rsidR="00E5332B" w14:paraId="179ECCF2" w14:textId="77777777" w:rsidTr="00DA01E1">
        <w:tc>
          <w:tcPr>
            <w:tcW w:w="414" w:type="pct"/>
          </w:tcPr>
          <w:p w14:paraId="29EEAAA9" w14:textId="7CF4C9D1" w:rsidR="00E5332B" w:rsidRDefault="00E5332B" w:rsidP="00E5332B">
            <w:pPr>
              <w:rPr>
                <w:rFonts w:ascii="Glacial Indifference" w:hAnsi="Glacial Indifference"/>
              </w:rPr>
            </w:pPr>
            <w:r w:rsidRPr="005B2C51">
              <w:rPr>
                <w:rFonts w:ascii="Glacial Indifference" w:hAnsi="Glacial Indifference"/>
                <w:sz w:val="22"/>
                <w:szCs w:val="22"/>
              </w:rPr>
              <w:t>9.2</w:t>
            </w:r>
          </w:p>
        </w:tc>
        <w:tc>
          <w:tcPr>
            <w:tcW w:w="4586" w:type="pct"/>
          </w:tcPr>
          <w:p w14:paraId="4415E92A" w14:textId="55EF5208" w:rsidR="00E5332B" w:rsidRDefault="00E5332B" w:rsidP="00E5332B">
            <w:pPr>
              <w:rPr>
                <w:rFonts w:ascii="Glacial Indifference" w:hAnsi="Glacial Indifference"/>
              </w:rPr>
            </w:pPr>
            <w:r w:rsidRPr="005B2C51">
              <w:rPr>
                <w:rFonts w:ascii="Glacial Indifference" w:hAnsi="Glacial Indifference"/>
                <w:sz w:val="22"/>
                <w:szCs w:val="22"/>
              </w:rPr>
              <w:t>Gestational age in the prenatal setting – studies should report the average and range (earliest and latest) gestational age at which specific tasks were completed, including gestational age when offered RGCS, gestational age when the sample was provided for RGCS, gestational age at the time of results, and gestational age when offered prenatal diagnosis (in increased risk couples), gestational age at the time of termination of pregnancy.</w:t>
            </w:r>
          </w:p>
        </w:tc>
      </w:tr>
      <w:tr w:rsidR="00E5332B" w14:paraId="16199DCC" w14:textId="77777777" w:rsidTr="00DA01E1">
        <w:tc>
          <w:tcPr>
            <w:tcW w:w="414" w:type="pct"/>
          </w:tcPr>
          <w:p w14:paraId="42292DD7" w14:textId="592AE787" w:rsidR="00E5332B" w:rsidRDefault="00E5332B" w:rsidP="00E5332B">
            <w:pPr>
              <w:rPr>
                <w:rFonts w:ascii="Glacial Indifference" w:hAnsi="Glacial Indifference"/>
              </w:rPr>
            </w:pPr>
            <w:r w:rsidRPr="005B2C51">
              <w:rPr>
                <w:rFonts w:ascii="Glacial Indifference" w:hAnsi="Glacial Indifference"/>
                <w:sz w:val="22"/>
                <w:szCs w:val="22"/>
              </w:rPr>
              <w:t>9.3</w:t>
            </w:r>
          </w:p>
        </w:tc>
        <w:tc>
          <w:tcPr>
            <w:tcW w:w="4586" w:type="pct"/>
          </w:tcPr>
          <w:p w14:paraId="40D06759" w14:textId="5E011217" w:rsidR="00E5332B" w:rsidRDefault="00E5332B" w:rsidP="00E5332B">
            <w:pPr>
              <w:rPr>
                <w:rFonts w:ascii="Glacial Indifference" w:hAnsi="Glacial Indifference"/>
              </w:rPr>
            </w:pPr>
            <w:r w:rsidRPr="005B2C51">
              <w:rPr>
                <w:rFonts w:ascii="Glacial Indifference" w:hAnsi="Glacial Indifference"/>
                <w:sz w:val="22"/>
                <w:szCs w:val="22"/>
              </w:rPr>
              <w:t>Proportion of RGCS conducted with an ideal timeframe – studies should report the proportion of women that were screened preconception or by 12 weeks gestation.</w:t>
            </w:r>
          </w:p>
        </w:tc>
      </w:tr>
      <w:tr w:rsidR="00E5332B" w14:paraId="2E9A9A8F" w14:textId="77777777" w:rsidTr="00DA01E1">
        <w:tc>
          <w:tcPr>
            <w:tcW w:w="414" w:type="pct"/>
          </w:tcPr>
          <w:p w14:paraId="6FC75421" w14:textId="6A1FD358" w:rsidR="00E5332B" w:rsidRDefault="00E5332B" w:rsidP="00E5332B">
            <w:pPr>
              <w:rPr>
                <w:rFonts w:ascii="Glacial Indifference" w:hAnsi="Glacial Indifference"/>
              </w:rPr>
            </w:pPr>
            <w:r w:rsidRPr="005B2C51">
              <w:rPr>
                <w:rFonts w:ascii="Glacial Indifference" w:hAnsi="Glacial Indifference"/>
                <w:sz w:val="22"/>
                <w:szCs w:val="22"/>
              </w:rPr>
              <w:t>9.4</w:t>
            </w:r>
          </w:p>
        </w:tc>
        <w:tc>
          <w:tcPr>
            <w:tcW w:w="4586" w:type="pct"/>
          </w:tcPr>
          <w:p w14:paraId="4CF35898" w14:textId="61FBD2C0" w:rsidR="00E5332B" w:rsidRDefault="00E5332B" w:rsidP="00E5332B">
            <w:pPr>
              <w:rPr>
                <w:rFonts w:ascii="Glacial Indifference" w:hAnsi="Glacial Indifference"/>
              </w:rPr>
            </w:pPr>
            <w:r w:rsidRPr="005B2C51">
              <w:rPr>
                <w:rFonts w:ascii="Glacial Indifference" w:hAnsi="Glacial Indifference"/>
                <w:sz w:val="22"/>
                <w:szCs w:val="22"/>
              </w:rPr>
              <w:t>Time intervals between steps of the RGCS process – studies should report the time intervals between key steps of the RGCS process, including time between being offered RGCS and consenting to screening, time between consent and receiving results, time between maternal results and arranging partner testing (for sequential offers), and time between results and arrangement of follow-up genetic counselling with a specialist for increased risk couples, time between receipt of results and access to IVF/PGD.</w:t>
            </w:r>
          </w:p>
        </w:tc>
      </w:tr>
      <w:tr w:rsidR="00E5332B" w14:paraId="24193507" w14:textId="77777777" w:rsidTr="00DA01E1">
        <w:tc>
          <w:tcPr>
            <w:tcW w:w="414" w:type="pct"/>
          </w:tcPr>
          <w:p w14:paraId="7C282388" w14:textId="14D0EC4A" w:rsidR="00E5332B" w:rsidRDefault="00E5332B" w:rsidP="00E5332B">
            <w:pPr>
              <w:rPr>
                <w:rFonts w:ascii="Glacial Indifference" w:hAnsi="Glacial Indifference"/>
              </w:rPr>
            </w:pPr>
            <w:r w:rsidRPr="005B2C51">
              <w:rPr>
                <w:rFonts w:ascii="Glacial Indifference" w:hAnsi="Glacial Indifference"/>
                <w:sz w:val="22"/>
                <w:szCs w:val="22"/>
              </w:rPr>
              <w:t>10.1</w:t>
            </w:r>
          </w:p>
        </w:tc>
        <w:tc>
          <w:tcPr>
            <w:tcW w:w="4586" w:type="pct"/>
          </w:tcPr>
          <w:p w14:paraId="2AE81277" w14:textId="2E0592DF" w:rsidR="00E5332B" w:rsidRDefault="00E5332B" w:rsidP="00E5332B">
            <w:pPr>
              <w:rPr>
                <w:rFonts w:ascii="Glacial Indifference" w:hAnsi="Glacial Indifference"/>
              </w:rPr>
            </w:pPr>
            <w:r w:rsidRPr="005B2C51">
              <w:rPr>
                <w:rFonts w:ascii="Glacial Indifference" w:hAnsi="Glacial Indifference"/>
                <w:sz w:val="22"/>
                <w:szCs w:val="22"/>
              </w:rPr>
              <w:t>Perceived chance of carrier finding and preparedness for an increased risk finding – studies should report patients perceived chance that they will have an increased risk finding on a scale from low to high, at the time of accepting screening.</w:t>
            </w:r>
          </w:p>
        </w:tc>
      </w:tr>
      <w:tr w:rsidR="00E5332B" w14:paraId="6EFE7E13" w14:textId="77777777" w:rsidTr="00DA01E1">
        <w:tc>
          <w:tcPr>
            <w:tcW w:w="414" w:type="pct"/>
          </w:tcPr>
          <w:p w14:paraId="76140031" w14:textId="26E05380" w:rsidR="00E5332B" w:rsidRDefault="00E5332B" w:rsidP="00E5332B">
            <w:pPr>
              <w:rPr>
                <w:rFonts w:ascii="Glacial Indifference" w:hAnsi="Glacial Indifference"/>
              </w:rPr>
            </w:pPr>
            <w:r w:rsidRPr="005B2C51">
              <w:rPr>
                <w:rFonts w:ascii="Glacial Indifference" w:hAnsi="Glacial Indifference"/>
                <w:sz w:val="22"/>
                <w:szCs w:val="22"/>
              </w:rPr>
              <w:t>10.2</w:t>
            </w:r>
          </w:p>
        </w:tc>
        <w:tc>
          <w:tcPr>
            <w:tcW w:w="4586" w:type="pct"/>
          </w:tcPr>
          <w:p w14:paraId="78584FE8" w14:textId="06F00ADA" w:rsidR="00E5332B" w:rsidRDefault="00E5332B" w:rsidP="00E5332B">
            <w:pPr>
              <w:rPr>
                <w:rFonts w:ascii="Glacial Indifference" w:hAnsi="Glacial Indifference"/>
              </w:rPr>
            </w:pPr>
            <w:r w:rsidRPr="005B2C51">
              <w:rPr>
                <w:rFonts w:ascii="Glacial Indifference" w:hAnsi="Glacial Indifference"/>
                <w:sz w:val="22"/>
                <w:szCs w:val="22"/>
              </w:rPr>
              <w:t>Patient attitude towards RGCS (at the time of the screening offer) – studies should report patients attitude regarding how they value the information that RGCS can provide on a scale from positive to negative, at the time of accepting screening.</w:t>
            </w:r>
          </w:p>
        </w:tc>
      </w:tr>
      <w:tr w:rsidR="00E5332B" w14:paraId="2A374CA1" w14:textId="77777777" w:rsidTr="00DA01E1">
        <w:tc>
          <w:tcPr>
            <w:tcW w:w="414" w:type="pct"/>
          </w:tcPr>
          <w:p w14:paraId="3437966A" w14:textId="41DD0D42" w:rsidR="00E5332B" w:rsidRDefault="00E5332B" w:rsidP="00E5332B">
            <w:pPr>
              <w:rPr>
                <w:rFonts w:ascii="Glacial Indifference" w:hAnsi="Glacial Indifference"/>
              </w:rPr>
            </w:pPr>
            <w:r w:rsidRPr="005B2C51">
              <w:rPr>
                <w:rFonts w:ascii="Glacial Indifference" w:hAnsi="Glacial Indifference"/>
                <w:sz w:val="22"/>
                <w:szCs w:val="22"/>
              </w:rPr>
              <w:t>10.3</w:t>
            </w:r>
          </w:p>
        </w:tc>
        <w:tc>
          <w:tcPr>
            <w:tcW w:w="4586" w:type="pct"/>
          </w:tcPr>
          <w:p w14:paraId="53922F8E" w14:textId="5852826E" w:rsidR="00E5332B" w:rsidRDefault="00E5332B" w:rsidP="00E5332B">
            <w:pPr>
              <w:rPr>
                <w:rFonts w:ascii="Glacial Indifference" w:hAnsi="Glacial Indifference"/>
              </w:rPr>
            </w:pPr>
            <w:r w:rsidRPr="005B2C51">
              <w:rPr>
                <w:rFonts w:ascii="Glacial Indifference" w:hAnsi="Glacial Indifference"/>
                <w:sz w:val="22"/>
                <w:szCs w:val="22"/>
              </w:rPr>
              <w:t>Patient attitude towards RGCS (after results) – studies should report patients attitude regarding the value of RGCS on a scale from positive to negative, after receiving results.</w:t>
            </w:r>
          </w:p>
        </w:tc>
      </w:tr>
      <w:tr w:rsidR="00E5332B" w14:paraId="45569B39" w14:textId="77777777" w:rsidTr="00DA01E1">
        <w:tc>
          <w:tcPr>
            <w:tcW w:w="414" w:type="pct"/>
          </w:tcPr>
          <w:p w14:paraId="26838180" w14:textId="70628D8D" w:rsidR="00E5332B" w:rsidRDefault="00E5332B" w:rsidP="00E5332B">
            <w:pPr>
              <w:rPr>
                <w:rFonts w:ascii="Glacial Indifference" w:hAnsi="Glacial Indifference"/>
              </w:rPr>
            </w:pPr>
            <w:r w:rsidRPr="005B2C51">
              <w:rPr>
                <w:rFonts w:ascii="Glacial Indifference" w:hAnsi="Glacial Indifference"/>
                <w:sz w:val="22"/>
                <w:szCs w:val="22"/>
              </w:rPr>
              <w:t>11.1</w:t>
            </w:r>
          </w:p>
        </w:tc>
        <w:tc>
          <w:tcPr>
            <w:tcW w:w="4586" w:type="pct"/>
          </w:tcPr>
          <w:p w14:paraId="1E0BCA24" w14:textId="0FDD4107" w:rsidR="00E5332B" w:rsidRDefault="00E5332B" w:rsidP="00E5332B">
            <w:pPr>
              <w:rPr>
                <w:rFonts w:ascii="Glacial Indifference" w:hAnsi="Glacial Indifference"/>
              </w:rPr>
            </w:pPr>
            <w:r w:rsidRPr="005B2C51">
              <w:rPr>
                <w:rFonts w:ascii="Glacial Indifference" w:hAnsi="Glacial Indifference"/>
                <w:sz w:val="22"/>
                <w:szCs w:val="22"/>
              </w:rPr>
              <w:t>Patients spend time deliberating on the decision to accept or decline – studies should report patient perception that they had the opportunity to think about the screening offer before making a final decision to accept or decline the offer of RGCS.</w:t>
            </w:r>
          </w:p>
        </w:tc>
      </w:tr>
      <w:tr w:rsidR="00E5332B" w14:paraId="099F28C9" w14:textId="77777777" w:rsidTr="00DA01E1">
        <w:tc>
          <w:tcPr>
            <w:tcW w:w="414" w:type="pct"/>
          </w:tcPr>
          <w:p w14:paraId="268DB2E0" w14:textId="3614651D" w:rsidR="00E5332B" w:rsidRDefault="00E5332B" w:rsidP="00E5332B">
            <w:pPr>
              <w:rPr>
                <w:rFonts w:ascii="Glacial Indifference" w:hAnsi="Glacial Indifference"/>
              </w:rPr>
            </w:pPr>
            <w:r w:rsidRPr="005B2C51">
              <w:rPr>
                <w:rFonts w:ascii="Glacial Indifference" w:hAnsi="Glacial Indifference"/>
                <w:sz w:val="22"/>
                <w:szCs w:val="22"/>
              </w:rPr>
              <w:t>11.5</w:t>
            </w:r>
          </w:p>
        </w:tc>
        <w:tc>
          <w:tcPr>
            <w:tcW w:w="4586" w:type="pct"/>
          </w:tcPr>
          <w:p w14:paraId="2513F4B2" w14:textId="4777CC85" w:rsidR="00E5332B" w:rsidRDefault="00E5332B" w:rsidP="00E5332B">
            <w:pPr>
              <w:rPr>
                <w:rFonts w:ascii="Glacial Indifference" w:hAnsi="Glacial Indifference"/>
              </w:rPr>
            </w:pPr>
            <w:r w:rsidRPr="005B2C51">
              <w:rPr>
                <w:rFonts w:ascii="Glacial Indifference" w:hAnsi="Glacial Indifference"/>
                <w:sz w:val="22"/>
                <w:szCs w:val="22"/>
              </w:rPr>
              <w:t>Patients demonstrated that their knowledge, attitudes and decision to accept or decline RGCS were congruent – studies should report if patients made an informed choice as defined by the multi-dimensional measure of informed choice (MMIC). Example 1: a patient that has a good understanding of RGCS and the implications of an increased risk result, has a positive attitude that RGCS can provide valuable information, and accepts testing is considered to have made an informed choice. Example 2: If the patient has poor understanding or a negative attitude about RGCS but accepts testing anyway, they are not considered to have made an informed choice.</w:t>
            </w:r>
          </w:p>
        </w:tc>
      </w:tr>
      <w:tr w:rsidR="00E5332B" w14:paraId="27F5A375" w14:textId="77777777" w:rsidTr="00DA01E1">
        <w:tc>
          <w:tcPr>
            <w:tcW w:w="414" w:type="pct"/>
          </w:tcPr>
          <w:p w14:paraId="39EC4B83" w14:textId="59EDF2FD" w:rsidR="00E5332B" w:rsidRDefault="00E5332B" w:rsidP="00E5332B">
            <w:pPr>
              <w:rPr>
                <w:rFonts w:ascii="Glacial Indifference" w:hAnsi="Glacial Indifference"/>
              </w:rPr>
            </w:pPr>
            <w:r w:rsidRPr="005B2C51">
              <w:rPr>
                <w:rFonts w:ascii="Glacial Indifference" w:hAnsi="Glacial Indifference"/>
                <w:sz w:val="22"/>
                <w:szCs w:val="22"/>
              </w:rPr>
              <w:lastRenderedPageBreak/>
              <w:t>12.3</w:t>
            </w:r>
          </w:p>
        </w:tc>
        <w:tc>
          <w:tcPr>
            <w:tcW w:w="4586" w:type="pct"/>
          </w:tcPr>
          <w:p w14:paraId="3919A5AD" w14:textId="188FCA99" w:rsidR="00E5332B" w:rsidRDefault="00E5332B" w:rsidP="00E5332B">
            <w:pPr>
              <w:rPr>
                <w:rFonts w:ascii="Glacial Indifference" w:hAnsi="Glacial Indifference"/>
              </w:rPr>
            </w:pPr>
            <w:r w:rsidRPr="005B2C51">
              <w:rPr>
                <w:rFonts w:ascii="Glacial Indifference" w:hAnsi="Glacial Indifference"/>
                <w:sz w:val="22"/>
                <w:szCs w:val="22"/>
              </w:rPr>
              <w:t>Timing and method of information provision promoted understanding – studies should report whether patients felt that the timing and method of information provided was adequate or could be improved to enhance understanding.</w:t>
            </w:r>
          </w:p>
        </w:tc>
      </w:tr>
      <w:tr w:rsidR="00E5332B" w14:paraId="410EBB4A" w14:textId="77777777" w:rsidTr="00DA01E1">
        <w:tc>
          <w:tcPr>
            <w:tcW w:w="414" w:type="pct"/>
          </w:tcPr>
          <w:p w14:paraId="158C8F88" w14:textId="5F5C1EA1" w:rsidR="00E5332B" w:rsidRDefault="00E5332B" w:rsidP="00E5332B">
            <w:pPr>
              <w:rPr>
                <w:rFonts w:ascii="Glacial Indifference" w:hAnsi="Glacial Indifference"/>
              </w:rPr>
            </w:pPr>
            <w:r w:rsidRPr="005B2C51">
              <w:rPr>
                <w:rFonts w:ascii="Glacial Indifference" w:hAnsi="Glacial Indifference"/>
                <w:sz w:val="22"/>
                <w:szCs w:val="22"/>
              </w:rPr>
              <w:t>12.5</w:t>
            </w:r>
          </w:p>
        </w:tc>
        <w:tc>
          <w:tcPr>
            <w:tcW w:w="4586" w:type="pct"/>
          </w:tcPr>
          <w:p w14:paraId="4C6B0795" w14:textId="6C0FF887" w:rsidR="00E5332B" w:rsidRDefault="00E5332B" w:rsidP="00E5332B">
            <w:pPr>
              <w:rPr>
                <w:rFonts w:ascii="Glacial Indifference" w:hAnsi="Glacial Indifference"/>
              </w:rPr>
            </w:pPr>
            <w:r w:rsidRPr="005B2C51">
              <w:rPr>
                <w:rFonts w:ascii="Glacial Indifference" w:hAnsi="Glacial Indifference"/>
                <w:sz w:val="22"/>
                <w:szCs w:val="22"/>
              </w:rPr>
              <w:t>Genetic counselling provider was knowledgeable and empathetic – studies should report whether patients felt that the healthcare provider was able to answer all their questions, and demonstrated an empathetic manner.</w:t>
            </w:r>
          </w:p>
        </w:tc>
      </w:tr>
      <w:tr w:rsidR="00E5332B" w14:paraId="169E4EBC" w14:textId="77777777" w:rsidTr="00DA01E1">
        <w:tc>
          <w:tcPr>
            <w:tcW w:w="414" w:type="pct"/>
          </w:tcPr>
          <w:p w14:paraId="6D33EFC1" w14:textId="3BBE3E6A" w:rsidR="00E5332B" w:rsidRDefault="00E5332B" w:rsidP="00E5332B">
            <w:pPr>
              <w:rPr>
                <w:rFonts w:ascii="Glacial Indifference" w:hAnsi="Glacial Indifference"/>
              </w:rPr>
            </w:pPr>
            <w:r w:rsidRPr="005B2C51">
              <w:rPr>
                <w:rFonts w:ascii="Glacial Indifference" w:hAnsi="Glacial Indifference"/>
                <w:sz w:val="22"/>
                <w:szCs w:val="22"/>
              </w:rPr>
              <w:t>14.1</w:t>
            </w:r>
          </w:p>
        </w:tc>
        <w:tc>
          <w:tcPr>
            <w:tcW w:w="4586" w:type="pct"/>
          </w:tcPr>
          <w:p w14:paraId="7C81B233" w14:textId="0C6D4D97" w:rsidR="00E5332B" w:rsidRDefault="00E5332B" w:rsidP="00E5332B">
            <w:pPr>
              <w:rPr>
                <w:rFonts w:ascii="Glacial Indifference" w:hAnsi="Glacial Indifference"/>
              </w:rPr>
            </w:pPr>
            <w:r w:rsidRPr="005B2C51">
              <w:rPr>
                <w:rFonts w:ascii="Glacial Indifference" w:hAnsi="Glacial Indifference"/>
                <w:sz w:val="22"/>
                <w:szCs w:val="22"/>
              </w:rPr>
              <w:t>Patients personal preferences regarding prenatal diagnosis (PND), IVF with preimplantation genetic diagnosis (PGD), and termination of pregnancy (TOP) – studies should report patients personal values regarding PND, PGD and TOP.</w:t>
            </w:r>
          </w:p>
        </w:tc>
      </w:tr>
      <w:tr w:rsidR="00E5332B" w14:paraId="0B2E4726" w14:textId="77777777" w:rsidTr="00DA01E1">
        <w:tc>
          <w:tcPr>
            <w:tcW w:w="414" w:type="pct"/>
          </w:tcPr>
          <w:p w14:paraId="523F2DAE" w14:textId="58464E9B" w:rsidR="00E5332B" w:rsidRDefault="00E5332B" w:rsidP="00E5332B">
            <w:pPr>
              <w:rPr>
                <w:rFonts w:ascii="Glacial Indifference" w:hAnsi="Glacial Indifference"/>
              </w:rPr>
            </w:pPr>
            <w:r w:rsidRPr="005B2C51">
              <w:rPr>
                <w:rFonts w:ascii="Glacial Indifference" w:hAnsi="Glacial Indifference"/>
                <w:sz w:val="22"/>
                <w:szCs w:val="22"/>
              </w:rPr>
              <w:t>14.2</w:t>
            </w:r>
          </w:p>
        </w:tc>
        <w:tc>
          <w:tcPr>
            <w:tcW w:w="4586" w:type="pct"/>
          </w:tcPr>
          <w:p w14:paraId="5CC84C91" w14:textId="1C42655B" w:rsidR="00E5332B" w:rsidRDefault="00E5332B" w:rsidP="00E5332B">
            <w:pPr>
              <w:rPr>
                <w:rFonts w:ascii="Glacial Indifference" w:hAnsi="Glacial Indifference"/>
              </w:rPr>
            </w:pPr>
            <w:r w:rsidRPr="005B2C51">
              <w:rPr>
                <w:rFonts w:ascii="Glacial Indifference" w:hAnsi="Glacial Indifference"/>
                <w:sz w:val="22"/>
                <w:szCs w:val="22"/>
              </w:rPr>
              <w:t>Patients religious views regarding prenatal diagnosis (PND), IVF with preimplantation genetic diagnosis (PGD), and termination of pregnancy (TOP) – studies should report patients religious views regarding PND, PGD and TOP.</w:t>
            </w:r>
          </w:p>
        </w:tc>
      </w:tr>
      <w:tr w:rsidR="00E5332B" w14:paraId="34CDEB6A" w14:textId="77777777" w:rsidTr="00DA01E1">
        <w:tc>
          <w:tcPr>
            <w:tcW w:w="414" w:type="pct"/>
          </w:tcPr>
          <w:p w14:paraId="096C2292" w14:textId="3A370DC1" w:rsidR="00E5332B" w:rsidRDefault="00E5332B" w:rsidP="00E5332B">
            <w:pPr>
              <w:rPr>
                <w:rFonts w:ascii="Glacial Indifference" w:hAnsi="Glacial Indifference"/>
              </w:rPr>
            </w:pPr>
            <w:r w:rsidRPr="005B2C51">
              <w:rPr>
                <w:rFonts w:ascii="Glacial Indifference" w:hAnsi="Glacial Indifference"/>
                <w:sz w:val="22"/>
                <w:szCs w:val="22"/>
              </w:rPr>
              <w:t>14.3</w:t>
            </w:r>
          </w:p>
        </w:tc>
        <w:tc>
          <w:tcPr>
            <w:tcW w:w="4586" w:type="pct"/>
          </w:tcPr>
          <w:p w14:paraId="1477037F" w14:textId="6D1779B4" w:rsidR="00E5332B" w:rsidRDefault="00E5332B" w:rsidP="00E5332B">
            <w:pPr>
              <w:rPr>
                <w:rFonts w:ascii="Glacial Indifference" w:hAnsi="Glacial Indifference"/>
              </w:rPr>
            </w:pPr>
            <w:r w:rsidRPr="005B2C51">
              <w:rPr>
                <w:rFonts w:ascii="Glacial Indifference" w:hAnsi="Glacial Indifference"/>
                <w:sz w:val="22"/>
                <w:szCs w:val="22"/>
              </w:rPr>
              <w:t>Patients perception of the societal acceptability of prenatal diagnosis (PND), IVF with preimplantation genetic diagnosis (PGD), and termination of pregnancy (TOP) – studies should report how the patient feels their decisions regarding PND, PGD and TOP are viewed by their wider social networks.</w:t>
            </w:r>
          </w:p>
        </w:tc>
      </w:tr>
      <w:tr w:rsidR="00E5332B" w14:paraId="61CFB3C8" w14:textId="77777777" w:rsidTr="00DA01E1">
        <w:tc>
          <w:tcPr>
            <w:tcW w:w="414" w:type="pct"/>
          </w:tcPr>
          <w:p w14:paraId="5ACD17E6" w14:textId="38A4F15E" w:rsidR="00E5332B" w:rsidRDefault="00E5332B" w:rsidP="00E5332B">
            <w:pPr>
              <w:rPr>
                <w:rFonts w:ascii="Glacial Indifference" w:hAnsi="Glacial Indifference"/>
              </w:rPr>
            </w:pPr>
            <w:r w:rsidRPr="005B2C51">
              <w:rPr>
                <w:rFonts w:ascii="Glacial Indifference" w:hAnsi="Glacial Indifference"/>
                <w:sz w:val="22"/>
                <w:szCs w:val="22"/>
              </w:rPr>
              <w:t>15.1</w:t>
            </w:r>
          </w:p>
        </w:tc>
        <w:tc>
          <w:tcPr>
            <w:tcW w:w="4586" w:type="pct"/>
          </w:tcPr>
          <w:p w14:paraId="091ABCF5" w14:textId="2ACC6A1B" w:rsidR="00E5332B" w:rsidRDefault="00E5332B" w:rsidP="00E5332B">
            <w:pPr>
              <w:rPr>
                <w:rFonts w:ascii="Glacial Indifference" w:hAnsi="Glacial Indifference"/>
              </w:rPr>
            </w:pPr>
            <w:r w:rsidRPr="005B2C51">
              <w:rPr>
                <w:rFonts w:ascii="Glacial Indifference" w:hAnsi="Glacial Indifference"/>
                <w:sz w:val="22"/>
                <w:szCs w:val="22"/>
              </w:rPr>
              <w:t>Impact of results to parental prenatal attachment – studies should report patients feelings of parental attachment to current pregnancy (in prenatal setting) or future pregnancies (in preconception setting).</w:t>
            </w:r>
          </w:p>
        </w:tc>
      </w:tr>
      <w:tr w:rsidR="00E5332B" w14:paraId="3A719CC7" w14:textId="77777777" w:rsidTr="00DA01E1">
        <w:tc>
          <w:tcPr>
            <w:tcW w:w="414" w:type="pct"/>
          </w:tcPr>
          <w:p w14:paraId="7830E302" w14:textId="7F0F682B" w:rsidR="00E5332B" w:rsidRDefault="00E5332B" w:rsidP="00E5332B">
            <w:pPr>
              <w:rPr>
                <w:rFonts w:ascii="Glacial Indifference" w:hAnsi="Glacial Indifference"/>
              </w:rPr>
            </w:pPr>
            <w:r w:rsidRPr="005B2C51">
              <w:rPr>
                <w:rFonts w:ascii="Glacial Indifference" w:hAnsi="Glacial Indifference"/>
                <w:sz w:val="22"/>
                <w:szCs w:val="22"/>
              </w:rPr>
              <w:t>17.1</w:t>
            </w:r>
          </w:p>
        </w:tc>
        <w:tc>
          <w:tcPr>
            <w:tcW w:w="4586" w:type="pct"/>
          </w:tcPr>
          <w:p w14:paraId="0681BE63" w14:textId="0D1C3C13" w:rsidR="00E5332B" w:rsidRDefault="00E5332B" w:rsidP="00E5332B">
            <w:pPr>
              <w:rPr>
                <w:rFonts w:ascii="Glacial Indifference" w:hAnsi="Glacial Indifference"/>
              </w:rPr>
            </w:pPr>
            <w:r w:rsidRPr="005B2C51">
              <w:rPr>
                <w:rFonts w:ascii="Glacial Indifference" w:hAnsi="Glacial Indifference"/>
                <w:sz w:val="22"/>
                <w:szCs w:val="22"/>
              </w:rPr>
              <w:t>Patient concerns regarding stigmatisation – studies should report patients feelings of potential or actual stigmatisation based on RGCS results.</w:t>
            </w:r>
          </w:p>
        </w:tc>
      </w:tr>
      <w:tr w:rsidR="00E5332B" w14:paraId="03A814E7" w14:textId="77777777" w:rsidTr="00DA01E1">
        <w:tc>
          <w:tcPr>
            <w:tcW w:w="414" w:type="pct"/>
          </w:tcPr>
          <w:p w14:paraId="33985CB4" w14:textId="0F396186" w:rsidR="00E5332B" w:rsidRDefault="00E5332B" w:rsidP="00E5332B">
            <w:pPr>
              <w:rPr>
                <w:rFonts w:ascii="Glacial Indifference" w:hAnsi="Glacial Indifference"/>
              </w:rPr>
            </w:pPr>
            <w:r w:rsidRPr="005B2C51">
              <w:rPr>
                <w:rFonts w:ascii="Glacial Indifference" w:hAnsi="Glacial Indifference"/>
                <w:sz w:val="22"/>
                <w:szCs w:val="22"/>
              </w:rPr>
              <w:t>17.2</w:t>
            </w:r>
          </w:p>
        </w:tc>
        <w:tc>
          <w:tcPr>
            <w:tcW w:w="4586" w:type="pct"/>
          </w:tcPr>
          <w:p w14:paraId="77293A22" w14:textId="275F0322" w:rsidR="00E5332B" w:rsidRDefault="00E5332B" w:rsidP="00E5332B">
            <w:pPr>
              <w:rPr>
                <w:rFonts w:ascii="Glacial Indifference" w:hAnsi="Glacial Indifference"/>
              </w:rPr>
            </w:pPr>
            <w:r w:rsidRPr="005B2C51">
              <w:rPr>
                <w:rFonts w:ascii="Glacial Indifference" w:hAnsi="Glacial Indifference"/>
                <w:sz w:val="22"/>
                <w:szCs w:val="22"/>
              </w:rPr>
              <w:t>Patient concerns regarding privacy and confidentiality – studies should report patients concern regarding the privacy and confidentiality of their RGCS results.</w:t>
            </w:r>
          </w:p>
        </w:tc>
      </w:tr>
      <w:tr w:rsidR="00E5332B" w14:paraId="2825498F" w14:textId="77777777" w:rsidTr="00DA01E1">
        <w:tc>
          <w:tcPr>
            <w:tcW w:w="414" w:type="pct"/>
          </w:tcPr>
          <w:p w14:paraId="6236A0C8" w14:textId="030804B3" w:rsidR="00E5332B" w:rsidRDefault="00E5332B" w:rsidP="00E5332B">
            <w:pPr>
              <w:rPr>
                <w:rFonts w:ascii="Glacial Indifference" w:hAnsi="Glacial Indifference"/>
              </w:rPr>
            </w:pPr>
            <w:r w:rsidRPr="005B2C51">
              <w:rPr>
                <w:rFonts w:ascii="Glacial Indifference" w:hAnsi="Glacial Indifference"/>
                <w:sz w:val="22"/>
                <w:szCs w:val="22"/>
              </w:rPr>
              <w:t>17.3</w:t>
            </w:r>
          </w:p>
        </w:tc>
        <w:tc>
          <w:tcPr>
            <w:tcW w:w="4586" w:type="pct"/>
          </w:tcPr>
          <w:p w14:paraId="64C301B4" w14:textId="65A8F63B" w:rsidR="00E5332B" w:rsidRDefault="00E5332B" w:rsidP="00E5332B">
            <w:pPr>
              <w:rPr>
                <w:rFonts w:ascii="Glacial Indifference" w:hAnsi="Glacial Indifference"/>
              </w:rPr>
            </w:pPr>
            <w:r w:rsidRPr="005B2C51">
              <w:rPr>
                <w:rFonts w:ascii="Glacial Indifference" w:hAnsi="Glacial Indifference"/>
                <w:sz w:val="22"/>
                <w:szCs w:val="22"/>
              </w:rPr>
              <w:t>Patient concerns regarding insurance – studies should report patients feelings of potential or actual discrimination by insurance companies based on RGCS results.</w:t>
            </w:r>
          </w:p>
        </w:tc>
      </w:tr>
      <w:tr w:rsidR="00E5332B" w14:paraId="0BF8294B" w14:textId="77777777" w:rsidTr="00DA01E1">
        <w:tc>
          <w:tcPr>
            <w:tcW w:w="414" w:type="pct"/>
          </w:tcPr>
          <w:p w14:paraId="3983AD65" w14:textId="1DFB1FE9" w:rsidR="00E5332B" w:rsidRDefault="00E5332B" w:rsidP="00E5332B">
            <w:pPr>
              <w:rPr>
                <w:rFonts w:ascii="Glacial Indifference" w:hAnsi="Glacial Indifference"/>
              </w:rPr>
            </w:pPr>
            <w:r w:rsidRPr="005B2C51">
              <w:rPr>
                <w:rFonts w:ascii="Glacial Indifference" w:hAnsi="Glacial Indifference"/>
                <w:sz w:val="22"/>
                <w:szCs w:val="22"/>
              </w:rPr>
              <w:t>18.1</w:t>
            </w:r>
          </w:p>
        </w:tc>
        <w:tc>
          <w:tcPr>
            <w:tcW w:w="4586" w:type="pct"/>
          </w:tcPr>
          <w:p w14:paraId="0B9FC93F" w14:textId="4603FC65" w:rsidR="00E5332B" w:rsidRDefault="00E5332B" w:rsidP="00E5332B">
            <w:pPr>
              <w:rPr>
                <w:rFonts w:ascii="Glacial Indifference" w:hAnsi="Glacial Indifference"/>
              </w:rPr>
            </w:pPr>
            <w:r w:rsidRPr="005B2C51">
              <w:rPr>
                <w:rFonts w:ascii="Glacial Indifference" w:hAnsi="Glacial Indifference"/>
                <w:sz w:val="22"/>
                <w:szCs w:val="22"/>
              </w:rPr>
              <w:t>Patient preference regarding which conditions are included in RGCS – studies should report patient preference for specific conditions to be included or excluded from RGCS.</w:t>
            </w:r>
          </w:p>
        </w:tc>
      </w:tr>
      <w:tr w:rsidR="00E5332B" w14:paraId="62B16236" w14:textId="77777777" w:rsidTr="00DA01E1">
        <w:tc>
          <w:tcPr>
            <w:tcW w:w="414" w:type="pct"/>
          </w:tcPr>
          <w:p w14:paraId="4A54C696" w14:textId="21F684DC" w:rsidR="00E5332B" w:rsidRDefault="00E5332B" w:rsidP="00E5332B">
            <w:pPr>
              <w:rPr>
                <w:rFonts w:ascii="Glacial Indifference" w:hAnsi="Glacial Indifference"/>
              </w:rPr>
            </w:pPr>
            <w:r w:rsidRPr="005B2C51">
              <w:rPr>
                <w:rFonts w:ascii="Glacial Indifference" w:hAnsi="Glacial Indifference"/>
                <w:sz w:val="22"/>
                <w:szCs w:val="22"/>
              </w:rPr>
              <w:t>18.2</w:t>
            </w:r>
          </w:p>
        </w:tc>
        <w:tc>
          <w:tcPr>
            <w:tcW w:w="4586" w:type="pct"/>
          </w:tcPr>
          <w:p w14:paraId="31534601" w14:textId="0953C16B" w:rsidR="00E5332B" w:rsidRDefault="00E5332B" w:rsidP="00E5332B">
            <w:pPr>
              <w:rPr>
                <w:rFonts w:ascii="Glacial Indifference" w:hAnsi="Glacial Indifference"/>
              </w:rPr>
            </w:pPr>
            <w:r w:rsidRPr="005B2C51">
              <w:rPr>
                <w:rFonts w:ascii="Glacial Indifference" w:hAnsi="Glacial Indifference"/>
                <w:sz w:val="22"/>
                <w:szCs w:val="22"/>
              </w:rPr>
              <w:t>Patient preference regarding how many conditions are tested in RGCS – studies should report patient preference for small versus expanded panels.</w:t>
            </w:r>
          </w:p>
        </w:tc>
      </w:tr>
      <w:tr w:rsidR="00E5332B" w14:paraId="16E6E22D" w14:textId="77777777" w:rsidTr="00DA01E1">
        <w:tc>
          <w:tcPr>
            <w:tcW w:w="414" w:type="pct"/>
          </w:tcPr>
          <w:p w14:paraId="4A11A741" w14:textId="6D2FE303" w:rsidR="00E5332B" w:rsidRDefault="00E5332B" w:rsidP="00E5332B">
            <w:pPr>
              <w:rPr>
                <w:rFonts w:ascii="Glacial Indifference" w:hAnsi="Glacial Indifference"/>
              </w:rPr>
            </w:pPr>
            <w:r w:rsidRPr="005B2C51">
              <w:rPr>
                <w:rFonts w:ascii="Glacial Indifference" w:hAnsi="Glacial Indifference"/>
                <w:sz w:val="22"/>
                <w:szCs w:val="22"/>
              </w:rPr>
              <w:t>18.3</w:t>
            </w:r>
          </w:p>
        </w:tc>
        <w:tc>
          <w:tcPr>
            <w:tcW w:w="4586" w:type="pct"/>
          </w:tcPr>
          <w:p w14:paraId="224A4933" w14:textId="6124CC52" w:rsidR="00E5332B" w:rsidRDefault="00E5332B" w:rsidP="00E5332B">
            <w:pPr>
              <w:rPr>
                <w:rFonts w:ascii="Glacial Indifference" w:hAnsi="Glacial Indifference"/>
              </w:rPr>
            </w:pPr>
            <w:r w:rsidRPr="005B2C51">
              <w:rPr>
                <w:rFonts w:ascii="Glacial Indifference" w:hAnsi="Glacial Indifference"/>
                <w:sz w:val="22"/>
                <w:szCs w:val="22"/>
              </w:rPr>
              <w:t>Patient preference regarding ethnicity-specific versus pan-ethnic screening – studies should report patient preference for only screening conditions that are indicated based on ethnic background, versus screening for a diverse and expanded panel of conditions regardless of ethnic background.</w:t>
            </w:r>
          </w:p>
        </w:tc>
      </w:tr>
      <w:tr w:rsidR="00E5332B" w14:paraId="3CBCF29C" w14:textId="77777777" w:rsidTr="00DA01E1">
        <w:tc>
          <w:tcPr>
            <w:tcW w:w="414" w:type="pct"/>
          </w:tcPr>
          <w:p w14:paraId="327F981D" w14:textId="5BBF44B9" w:rsidR="00E5332B" w:rsidRDefault="00E5332B" w:rsidP="00E5332B">
            <w:pPr>
              <w:rPr>
                <w:rFonts w:ascii="Glacial Indifference" w:hAnsi="Glacial Indifference"/>
              </w:rPr>
            </w:pPr>
            <w:r w:rsidRPr="005B2C51">
              <w:rPr>
                <w:rFonts w:ascii="Glacial Indifference" w:hAnsi="Glacial Indifference"/>
                <w:sz w:val="22"/>
                <w:szCs w:val="22"/>
              </w:rPr>
              <w:t>18.4</w:t>
            </w:r>
          </w:p>
        </w:tc>
        <w:tc>
          <w:tcPr>
            <w:tcW w:w="4586" w:type="pct"/>
          </w:tcPr>
          <w:p w14:paraId="63FB5A1D" w14:textId="53BC4C5D" w:rsidR="00E5332B" w:rsidRDefault="00E5332B" w:rsidP="00E5332B">
            <w:pPr>
              <w:rPr>
                <w:rFonts w:ascii="Glacial Indifference" w:hAnsi="Glacial Indifference"/>
              </w:rPr>
            </w:pPr>
            <w:r w:rsidRPr="005B2C51">
              <w:rPr>
                <w:rFonts w:ascii="Glacial Indifference" w:hAnsi="Glacial Indifference"/>
                <w:sz w:val="22"/>
                <w:szCs w:val="22"/>
              </w:rPr>
              <w:t>Patient preference regarding the timing and setting of RGCS – studies should report patient preference for school-based, preconception, or prenatal offers of RGCS.</w:t>
            </w:r>
          </w:p>
        </w:tc>
      </w:tr>
      <w:tr w:rsidR="00E5332B" w14:paraId="460C3800" w14:textId="77777777" w:rsidTr="00DA01E1">
        <w:tc>
          <w:tcPr>
            <w:tcW w:w="414" w:type="pct"/>
          </w:tcPr>
          <w:p w14:paraId="37B42FFA" w14:textId="79CA7FD9" w:rsidR="00E5332B" w:rsidRDefault="00E5332B" w:rsidP="00E5332B">
            <w:pPr>
              <w:rPr>
                <w:rFonts w:ascii="Glacial Indifference" w:hAnsi="Glacial Indifference"/>
              </w:rPr>
            </w:pPr>
            <w:r w:rsidRPr="005B2C51">
              <w:rPr>
                <w:rFonts w:ascii="Glacial Indifference" w:hAnsi="Glacial Indifference"/>
                <w:sz w:val="22"/>
                <w:szCs w:val="22"/>
              </w:rPr>
              <w:t>18.5</w:t>
            </w:r>
          </w:p>
        </w:tc>
        <w:tc>
          <w:tcPr>
            <w:tcW w:w="4586" w:type="pct"/>
          </w:tcPr>
          <w:p w14:paraId="16A1537A" w14:textId="68978F88" w:rsidR="00E5332B" w:rsidRDefault="00E5332B" w:rsidP="00E5332B">
            <w:pPr>
              <w:rPr>
                <w:rFonts w:ascii="Glacial Indifference" w:hAnsi="Glacial Indifference"/>
              </w:rPr>
            </w:pPr>
            <w:r w:rsidRPr="005B2C51">
              <w:rPr>
                <w:rFonts w:ascii="Glacial Indifference" w:hAnsi="Glacial Indifference"/>
                <w:sz w:val="22"/>
                <w:szCs w:val="22"/>
              </w:rPr>
              <w:t>Patient preference regarding the format of results – studies should report patient preference for receiving individual carrier findings versus couple-based increased findings.</w:t>
            </w:r>
          </w:p>
        </w:tc>
      </w:tr>
      <w:tr w:rsidR="00E5332B" w14:paraId="1319F2F8" w14:textId="77777777" w:rsidTr="00DA01E1">
        <w:tc>
          <w:tcPr>
            <w:tcW w:w="414" w:type="pct"/>
          </w:tcPr>
          <w:p w14:paraId="5DCD392E" w14:textId="196A3D3C" w:rsidR="00E5332B" w:rsidRDefault="00E5332B" w:rsidP="00E5332B">
            <w:pPr>
              <w:rPr>
                <w:rFonts w:ascii="Glacial Indifference" w:hAnsi="Glacial Indifference"/>
              </w:rPr>
            </w:pPr>
            <w:r w:rsidRPr="005B2C51">
              <w:rPr>
                <w:rFonts w:ascii="Glacial Indifference" w:hAnsi="Glacial Indifference"/>
                <w:sz w:val="22"/>
                <w:szCs w:val="22"/>
              </w:rPr>
              <w:t>18.6</w:t>
            </w:r>
          </w:p>
        </w:tc>
        <w:tc>
          <w:tcPr>
            <w:tcW w:w="4586" w:type="pct"/>
          </w:tcPr>
          <w:p w14:paraId="25178A1B" w14:textId="1BBBDEB2" w:rsidR="00E5332B" w:rsidRDefault="00E5332B" w:rsidP="00E5332B">
            <w:pPr>
              <w:rPr>
                <w:rFonts w:ascii="Glacial Indifference" w:hAnsi="Glacial Indifference"/>
              </w:rPr>
            </w:pPr>
            <w:r w:rsidRPr="005B2C51">
              <w:rPr>
                <w:rFonts w:ascii="Glacial Indifference" w:hAnsi="Glacial Indifference"/>
                <w:sz w:val="22"/>
                <w:szCs w:val="22"/>
              </w:rPr>
              <w:t>Patient preference regarding who offers RGCS – studies should report patient preference for healthcare providers that should offer RGCS, such as midwives, GPs, OBGYNs, or specialised genetic counselling services.</w:t>
            </w:r>
          </w:p>
        </w:tc>
      </w:tr>
      <w:tr w:rsidR="00E5332B" w14:paraId="133499E2" w14:textId="77777777" w:rsidTr="00DA01E1">
        <w:tc>
          <w:tcPr>
            <w:tcW w:w="414" w:type="pct"/>
          </w:tcPr>
          <w:p w14:paraId="658AE0AB" w14:textId="115B1979" w:rsidR="00E5332B" w:rsidRDefault="00E5332B" w:rsidP="00E5332B">
            <w:pPr>
              <w:rPr>
                <w:rFonts w:ascii="Glacial Indifference" w:hAnsi="Glacial Indifference"/>
              </w:rPr>
            </w:pPr>
            <w:r w:rsidRPr="005B2C51">
              <w:rPr>
                <w:rFonts w:ascii="Glacial Indifference" w:hAnsi="Glacial Indifference"/>
                <w:sz w:val="22"/>
                <w:szCs w:val="22"/>
              </w:rPr>
              <w:t>19.3</w:t>
            </w:r>
          </w:p>
        </w:tc>
        <w:tc>
          <w:tcPr>
            <w:tcW w:w="4586" w:type="pct"/>
          </w:tcPr>
          <w:p w14:paraId="1BD9F264" w14:textId="6EED0362" w:rsidR="00E5332B" w:rsidRDefault="00E5332B" w:rsidP="00E5332B">
            <w:pPr>
              <w:rPr>
                <w:rFonts w:ascii="Glacial Indifference" w:hAnsi="Glacial Indifference"/>
              </w:rPr>
            </w:pPr>
            <w:r w:rsidRPr="005B2C51">
              <w:rPr>
                <w:rFonts w:ascii="Glacial Indifference" w:hAnsi="Glacial Indifference"/>
                <w:sz w:val="22"/>
                <w:szCs w:val="22"/>
              </w:rPr>
              <w:t>Satisfaction with healthcare providers – studies should report patient satisfaction with the healthcare providers involved in their care when undertaking RGCS.</w:t>
            </w:r>
          </w:p>
        </w:tc>
      </w:tr>
      <w:tr w:rsidR="00E5332B" w14:paraId="3E737CD4" w14:textId="77777777" w:rsidTr="00DA01E1">
        <w:tc>
          <w:tcPr>
            <w:tcW w:w="414" w:type="pct"/>
          </w:tcPr>
          <w:p w14:paraId="64002560" w14:textId="15A7AAEF" w:rsidR="00E5332B" w:rsidRDefault="00E5332B" w:rsidP="00E5332B">
            <w:pPr>
              <w:rPr>
                <w:rFonts w:ascii="Glacial Indifference" w:hAnsi="Glacial Indifference"/>
              </w:rPr>
            </w:pPr>
            <w:r w:rsidRPr="005B2C51">
              <w:rPr>
                <w:rFonts w:ascii="Glacial Indifference" w:hAnsi="Glacial Indifference"/>
                <w:sz w:val="22"/>
                <w:szCs w:val="22"/>
              </w:rPr>
              <w:t>20.1</w:t>
            </w:r>
          </w:p>
        </w:tc>
        <w:tc>
          <w:tcPr>
            <w:tcW w:w="4586" w:type="pct"/>
          </w:tcPr>
          <w:p w14:paraId="74A6CF81" w14:textId="5C554EB1" w:rsidR="00E5332B" w:rsidRDefault="00E5332B" w:rsidP="00E5332B">
            <w:pPr>
              <w:rPr>
                <w:rFonts w:ascii="Glacial Indifference" w:hAnsi="Glacial Indifference"/>
              </w:rPr>
            </w:pPr>
            <w:r w:rsidRPr="005B2C51">
              <w:rPr>
                <w:rFonts w:ascii="Glacial Indifference" w:hAnsi="Glacial Indifference"/>
                <w:sz w:val="22"/>
                <w:szCs w:val="22"/>
              </w:rPr>
              <w:t>Dissemination of results to at-risk family members – studies should report the number of patients that communicated their results to at-risk family members.</w:t>
            </w:r>
          </w:p>
        </w:tc>
      </w:tr>
      <w:tr w:rsidR="00E5332B" w14:paraId="424E9768" w14:textId="77777777" w:rsidTr="00DA01E1">
        <w:tc>
          <w:tcPr>
            <w:tcW w:w="414" w:type="pct"/>
          </w:tcPr>
          <w:p w14:paraId="6F889952" w14:textId="4FB8BB29" w:rsidR="00E5332B" w:rsidRDefault="00E5332B" w:rsidP="00E5332B">
            <w:pPr>
              <w:rPr>
                <w:rFonts w:ascii="Glacial Indifference" w:hAnsi="Glacial Indifference"/>
              </w:rPr>
            </w:pPr>
            <w:r w:rsidRPr="005B2C51">
              <w:rPr>
                <w:rFonts w:ascii="Glacial Indifference" w:hAnsi="Glacial Indifference"/>
                <w:sz w:val="22"/>
                <w:szCs w:val="22"/>
              </w:rPr>
              <w:t>20.3</w:t>
            </w:r>
          </w:p>
        </w:tc>
        <w:tc>
          <w:tcPr>
            <w:tcW w:w="4586" w:type="pct"/>
          </w:tcPr>
          <w:p w14:paraId="666EC37E" w14:textId="7CF0EC15" w:rsidR="00E5332B" w:rsidRDefault="00E5332B" w:rsidP="00E5332B">
            <w:pPr>
              <w:rPr>
                <w:rFonts w:ascii="Glacial Indifference" w:hAnsi="Glacial Indifference"/>
              </w:rPr>
            </w:pPr>
            <w:r w:rsidRPr="005B2C51">
              <w:rPr>
                <w:rFonts w:ascii="Glacial Indifference" w:hAnsi="Glacial Indifference"/>
                <w:sz w:val="22"/>
                <w:szCs w:val="22"/>
              </w:rPr>
              <w:t>Impact of results on family relationship – studies should report how patients perceive that RGCS has impacted their relationship with family members, which may include strengthening or strain on the relationship.</w:t>
            </w:r>
          </w:p>
        </w:tc>
      </w:tr>
      <w:tr w:rsidR="00E5332B" w14:paraId="0ABBCDA6" w14:textId="77777777" w:rsidTr="00DA01E1">
        <w:tc>
          <w:tcPr>
            <w:tcW w:w="414" w:type="pct"/>
          </w:tcPr>
          <w:p w14:paraId="5C135A6E" w14:textId="419DD9D0" w:rsidR="00E5332B" w:rsidRDefault="00E5332B" w:rsidP="00E5332B">
            <w:pPr>
              <w:rPr>
                <w:rFonts w:ascii="Glacial Indifference" w:hAnsi="Glacial Indifference"/>
              </w:rPr>
            </w:pPr>
            <w:r w:rsidRPr="005B2C51">
              <w:rPr>
                <w:rFonts w:ascii="Glacial Indifference" w:hAnsi="Glacial Indifference"/>
                <w:sz w:val="22"/>
                <w:szCs w:val="22"/>
              </w:rPr>
              <w:t>20.4</w:t>
            </w:r>
          </w:p>
        </w:tc>
        <w:tc>
          <w:tcPr>
            <w:tcW w:w="4586" w:type="pct"/>
          </w:tcPr>
          <w:p w14:paraId="6D810C25" w14:textId="5FB9E7E3" w:rsidR="00E5332B" w:rsidRDefault="00E5332B" w:rsidP="00E5332B">
            <w:pPr>
              <w:rPr>
                <w:rFonts w:ascii="Glacial Indifference" w:hAnsi="Glacial Indifference"/>
              </w:rPr>
            </w:pPr>
            <w:r w:rsidRPr="005B2C51">
              <w:rPr>
                <w:rFonts w:ascii="Glacial Indifference" w:hAnsi="Glacial Indifference"/>
                <w:sz w:val="22"/>
                <w:szCs w:val="22"/>
              </w:rPr>
              <w:t>Support needs for dissemination of results to at-risk family members - studies should report the number of patients that requested assistance with communicating results to family members.</w:t>
            </w:r>
          </w:p>
        </w:tc>
      </w:tr>
      <w:tr w:rsidR="00E5332B" w14:paraId="095FF377" w14:textId="77777777" w:rsidTr="00DA01E1">
        <w:tc>
          <w:tcPr>
            <w:tcW w:w="414" w:type="pct"/>
          </w:tcPr>
          <w:p w14:paraId="61CD037D" w14:textId="7A01DBCF" w:rsidR="00E5332B" w:rsidRDefault="00E5332B" w:rsidP="00E5332B">
            <w:pPr>
              <w:rPr>
                <w:rFonts w:ascii="Glacial Indifference" w:hAnsi="Glacial Indifference"/>
              </w:rPr>
            </w:pPr>
            <w:r w:rsidRPr="005B2C51">
              <w:rPr>
                <w:rFonts w:ascii="Glacial Indifference" w:hAnsi="Glacial Indifference"/>
                <w:sz w:val="22"/>
                <w:szCs w:val="22"/>
              </w:rPr>
              <w:t>21.3</w:t>
            </w:r>
          </w:p>
        </w:tc>
        <w:tc>
          <w:tcPr>
            <w:tcW w:w="4586" w:type="pct"/>
          </w:tcPr>
          <w:p w14:paraId="110BB65E" w14:textId="345A8711" w:rsidR="00E5332B" w:rsidRDefault="00E5332B" w:rsidP="00E5332B">
            <w:pPr>
              <w:rPr>
                <w:rFonts w:ascii="Glacial Indifference" w:hAnsi="Glacial Indifference"/>
              </w:rPr>
            </w:pPr>
            <w:r w:rsidRPr="005B2C51">
              <w:rPr>
                <w:rFonts w:ascii="Glacial Indifference" w:hAnsi="Glacial Indifference"/>
                <w:sz w:val="22"/>
                <w:szCs w:val="22"/>
              </w:rPr>
              <w:t>Timeliness of RGCS - studies should report the patient perception that RGCS was timed in a way that allowed them to consider their options and make informed decisions.</w:t>
            </w:r>
          </w:p>
        </w:tc>
      </w:tr>
    </w:tbl>
    <w:p w14:paraId="65670AE0" w14:textId="77777777" w:rsidR="00E5332B" w:rsidRDefault="00E5332B">
      <w:pPr>
        <w:rPr>
          <w:rFonts w:ascii="Glacial Indifference" w:hAnsi="Glacial Indifference"/>
        </w:rPr>
      </w:pPr>
    </w:p>
    <w:p w14:paraId="4C665CA5" w14:textId="49B4B4BC" w:rsidR="00200B85" w:rsidRPr="006673A8" w:rsidRDefault="00374F61">
      <w:pPr>
        <w:rPr>
          <w:rFonts w:ascii="Glacial Indifference" w:hAnsi="Glacial Indifference" w:cs="Calibri"/>
          <w:b/>
          <w:bCs/>
          <w:sz w:val="22"/>
          <w:szCs w:val="22"/>
          <w:lang w:eastAsia="en-AU"/>
        </w:rPr>
      </w:pPr>
      <w:r w:rsidRPr="006673A8">
        <w:rPr>
          <w:rFonts w:ascii="Glacial Indifference" w:hAnsi="Glacial Indifference" w:cs="Arial"/>
          <w:b/>
          <w:bCs/>
          <w:sz w:val="22"/>
          <w:szCs w:val="22"/>
        </w:rPr>
        <w:lastRenderedPageBreak/>
        <w:t>Supplementary material</w:t>
      </w:r>
      <w:r w:rsidR="00AA0363">
        <w:rPr>
          <w:rFonts w:ascii="Glacial Indifference" w:hAnsi="Glacial Indifference" w:cs="Arial"/>
          <w:b/>
          <w:bCs/>
          <w:sz w:val="22"/>
          <w:szCs w:val="22"/>
        </w:rPr>
        <w:t xml:space="preserve"> 2</w:t>
      </w:r>
      <w:r w:rsidR="00200B85" w:rsidRPr="006673A8">
        <w:rPr>
          <w:rFonts w:ascii="Glacial Indifference" w:hAnsi="Glacial Indifference" w:cs="Calibri"/>
          <w:b/>
          <w:bCs/>
          <w:sz w:val="22"/>
          <w:szCs w:val="22"/>
          <w:lang w:eastAsia="en-AU"/>
        </w:rPr>
        <w:t>: Outcome eligible for inclusion in Round 2 (N=46)</w:t>
      </w:r>
    </w:p>
    <w:p w14:paraId="5C336974" w14:textId="77777777" w:rsidR="00200B85" w:rsidRDefault="00200B85">
      <w:pPr>
        <w:rPr>
          <w:rFonts w:ascii="Glacial Indifference" w:hAnsi="Glacial Indifference" w:cs="Calibri"/>
          <w:b/>
          <w:bCs/>
          <w:lang w:eastAsia="en-AU"/>
        </w:rPr>
      </w:pPr>
    </w:p>
    <w:tbl>
      <w:tblPr>
        <w:tblStyle w:val="TableGrid"/>
        <w:tblW w:w="5000" w:type="pct"/>
        <w:tblLook w:val="04A0" w:firstRow="1" w:lastRow="0" w:firstColumn="1" w:lastColumn="0" w:noHBand="0" w:noVBand="1"/>
      </w:tblPr>
      <w:tblGrid>
        <w:gridCol w:w="749"/>
        <w:gridCol w:w="8879"/>
      </w:tblGrid>
      <w:tr w:rsidR="00200B85" w14:paraId="535A103C" w14:textId="77777777" w:rsidTr="00DA01E1">
        <w:tc>
          <w:tcPr>
            <w:tcW w:w="389" w:type="pct"/>
            <w:shd w:val="clear" w:color="auto" w:fill="171A1E" w:themeFill="text1" w:themeFillShade="80"/>
            <w:vAlign w:val="bottom"/>
          </w:tcPr>
          <w:p w14:paraId="7E0C2999" w14:textId="1686D087" w:rsidR="00200B85" w:rsidRPr="00DA01E1" w:rsidRDefault="00200B85" w:rsidP="00200B85">
            <w:pPr>
              <w:rPr>
                <w:rFonts w:ascii="Glacial Indifference" w:hAnsi="Glacial Indifference"/>
                <w:color w:val="FFFFFF" w:themeColor="background1"/>
                <w:sz w:val="22"/>
                <w:szCs w:val="22"/>
              </w:rPr>
            </w:pPr>
            <w:r w:rsidRPr="00DA01E1">
              <w:rPr>
                <w:rFonts w:ascii="Glacial Indifference" w:hAnsi="Glacial Indifference" w:cs="Calibri"/>
                <w:b/>
                <w:bCs/>
                <w:color w:val="FFFFFF" w:themeColor="background1"/>
                <w:sz w:val="22"/>
                <w:szCs w:val="22"/>
                <w:lang w:eastAsia="en-AU"/>
              </w:rPr>
              <w:t>ID</w:t>
            </w:r>
          </w:p>
        </w:tc>
        <w:tc>
          <w:tcPr>
            <w:tcW w:w="4611" w:type="pct"/>
            <w:shd w:val="clear" w:color="auto" w:fill="171A1E" w:themeFill="text1" w:themeFillShade="80"/>
            <w:vAlign w:val="bottom"/>
          </w:tcPr>
          <w:p w14:paraId="33A4C659" w14:textId="4CFA900D" w:rsidR="00200B85" w:rsidRPr="00DA01E1" w:rsidRDefault="00200B85" w:rsidP="00200B85">
            <w:pPr>
              <w:rPr>
                <w:rFonts w:ascii="Glacial Indifference" w:hAnsi="Glacial Indifference"/>
                <w:color w:val="FFFFFF" w:themeColor="background1"/>
                <w:sz w:val="22"/>
                <w:szCs w:val="22"/>
              </w:rPr>
            </w:pPr>
            <w:r w:rsidRPr="00DA01E1">
              <w:rPr>
                <w:rFonts w:ascii="Glacial Indifference" w:hAnsi="Glacial Indifference" w:cs="Calibri"/>
                <w:b/>
                <w:bCs/>
                <w:color w:val="FFFFFF" w:themeColor="background1"/>
                <w:sz w:val="22"/>
                <w:szCs w:val="22"/>
                <w:lang w:eastAsia="en-AU"/>
              </w:rPr>
              <w:t>Outcome description</w:t>
            </w:r>
          </w:p>
        </w:tc>
      </w:tr>
      <w:tr w:rsidR="00200B85" w14:paraId="6753ECBE" w14:textId="77777777" w:rsidTr="00DA01E1">
        <w:tc>
          <w:tcPr>
            <w:tcW w:w="389" w:type="pct"/>
            <w:vAlign w:val="bottom"/>
          </w:tcPr>
          <w:p w14:paraId="412DA7B6" w14:textId="437527BA"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1.1</w:t>
            </w:r>
          </w:p>
        </w:tc>
        <w:tc>
          <w:tcPr>
            <w:tcW w:w="4611" w:type="pct"/>
            <w:vAlign w:val="bottom"/>
          </w:tcPr>
          <w:p w14:paraId="0F87C9C3" w14:textId="0081DEB8"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Carrier detection rate - studies should report the number of heterozygous carriers identified.</w:t>
            </w:r>
          </w:p>
        </w:tc>
      </w:tr>
      <w:tr w:rsidR="00200B85" w14:paraId="57EC1DD0" w14:textId="77777777" w:rsidTr="00DA01E1">
        <w:tc>
          <w:tcPr>
            <w:tcW w:w="389" w:type="pct"/>
            <w:vAlign w:val="bottom"/>
          </w:tcPr>
          <w:p w14:paraId="19AE29FD" w14:textId="1149EBA6"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1.2</w:t>
            </w:r>
          </w:p>
        </w:tc>
        <w:tc>
          <w:tcPr>
            <w:tcW w:w="4611" w:type="pct"/>
            <w:vAlign w:val="bottom"/>
          </w:tcPr>
          <w:p w14:paraId="498D9724" w14:textId="5BE1F8A0"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Identification of increased risk couples - studies should report the number of increased risk couples identified (defined as both members of a reproductive couple being carriers of the same recessive condition, or the female member being a carrier of an X-linked condition).</w:t>
            </w:r>
          </w:p>
        </w:tc>
      </w:tr>
      <w:tr w:rsidR="00200B85" w14:paraId="0E3A9FBD" w14:textId="77777777" w:rsidTr="00DA01E1">
        <w:tc>
          <w:tcPr>
            <w:tcW w:w="389" w:type="pct"/>
            <w:vAlign w:val="bottom"/>
          </w:tcPr>
          <w:p w14:paraId="18409752" w14:textId="070BF5BF"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2.1</w:t>
            </w:r>
          </w:p>
        </w:tc>
        <w:tc>
          <w:tcPr>
            <w:tcW w:w="4611" w:type="pct"/>
            <w:vAlign w:val="bottom"/>
          </w:tcPr>
          <w:p w14:paraId="00F9E7B4" w14:textId="70DF537C"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Identification of results which indicate the prospective parent undertaking RGCS is at increased risk or affected with one of the conditions screened - studies should report the number of homozygous, hemizygous or compound heterozygous individuals identified through RGCS.</w:t>
            </w:r>
          </w:p>
        </w:tc>
      </w:tr>
      <w:tr w:rsidR="00200B85" w14:paraId="53F7C469" w14:textId="77777777" w:rsidTr="00DA01E1">
        <w:tc>
          <w:tcPr>
            <w:tcW w:w="389" w:type="pct"/>
            <w:vAlign w:val="bottom"/>
          </w:tcPr>
          <w:p w14:paraId="7A0EC3BD" w14:textId="4292B79B"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3.1</w:t>
            </w:r>
          </w:p>
        </w:tc>
        <w:tc>
          <w:tcPr>
            <w:tcW w:w="4611" w:type="pct"/>
            <w:vAlign w:val="bottom"/>
          </w:tcPr>
          <w:p w14:paraId="23782A34" w14:textId="119A7D05"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 xml:space="preserve">Laboratory errors leading to the incorrect interpretation of results - studies should report the rate of laboratory errors (such as sample mix-ups or contamination of samples) that lead to the reporting of incorrect results. This includes false negatives (where the patient </w:t>
            </w:r>
            <w:proofErr w:type="spellStart"/>
            <w:r w:rsidRPr="00AC1ECC">
              <w:rPr>
                <w:rFonts w:ascii="Glacial Indifference" w:hAnsi="Glacial Indifference" w:cs="Calibri"/>
                <w:sz w:val="22"/>
                <w:szCs w:val="22"/>
                <w:lang w:eastAsia="en-AU"/>
              </w:rPr>
              <w:t>recieves</w:t>
            </w:r>
            <w:proofErr w:type="spellEnd"/>
            <w:r w:rsidRPr="00AC1ECC">
              <w:rPr>
                <w:rFonts w:ascii="Glacial Indifference" w:hAnsi="Glacial Indifference" w:cs="Calibri"/>
                <w:sz w:val="22"/>
                <w:szCs w:val="22"/>
                <w:lang w:eastAsia="en-AU"/>
              </w:rPr>
              <w:t xml:space="preserve"> a negative result indicating they are NOT a carrier, however is later found to be a carrier), and false positives (where the patient receives a positive result indicating they are a carrier, however this is later found to be incorrect).</w:t>
            </w:r>
          </w:p>
        </w:tc>
      </w:tr>
      <w:tr w:rsidR="00200B85" w14:paraId="2FE05863" w14:textId="77777777" w:rsidTr="00DA01E1">
        <w:tc>
          <w:tcPr>
            <w:tcW w:w="389" w:type="pct"/>
            <w:vAlign w:val="bottom"/>
          </w:tcPr>
          <w:p w14:paraId="6336E0D6" w14:textId="6EBAD5C5"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3.2</w:t>
            </w:r>
          </w:p>
        </w:tc>
        <w:tc>
          <w:tcPr>
            <w:tcW w:w="4611" w:type="pct"/>
            <w:vAlign w:val="bottom"/>
          </w:tcPr>
          <w:p w14:paraId="4B5C52C6" w14:textId="10A7E62C"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Test failure and requests for replacement samples - studies should report the rate of test failure as a result of insufficient or poor-quality DNA.</w:t>
            </w:r>
          </w:p>
        </w:tc>
      </w:tr>
      <w:tr w:rsidR="00200B85" w14:paraId="7A87B9C3" w14:textId="77777777" w:rsidTr="00DA01E1">
        <w:tc>
          <w:tcPr>
            <w:tcW w:w="389" w:type="pct"/>
            <w:vAlign w:val="bottom"/>
          </w:tcPr>
          <w:p w14:paraId="4CAB9B5E" w14:textId="1435E65A"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4.1</w:t>
            </w:r>
          </w:p>
        </w:tc>
        <w:tc>
          <w:tcPr>
            <w:tcW w:w="4611" w:type="pct"/>
            <w:vAlign w:val="bottom"/>
          </w:tcPr>
          <w:p w14:paraId="6E7430F9" w14:textId="72D2BF4B"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Number of RGCS tests - studies should report the number of screening tests conducted.</w:t>
            </w:r>
          </w:p>
        </w:tc>
      </w:tr>
      <w:tr w:rsidR="00200B85" w14:paraId="3F7F7E02" w14:textId="77777777" w:rsidTr="00DA01E1">
        <w:tc>
          <w:tcPr>
            <w:tcW w:w="389" w:type="pct"/>
            <w:vAlign w:val="bottom"/>
          </w:tcPr>
          <w:p w14:paraId="43EE710A" w14:textId="1A018DB8"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4.2</w:t>
            </w:r>
          </w:p>
        </w:tc>
        <w:tc>
          <w:tcPr>
            <w:tcW w:w="4611" w:type="pct"/>
            <w:vAlign w:val="bottom"/>
          </w:tcPr>
          <w:p w14:paraId="2D736892" w14:textId="48A68DDB"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Uptake of RGCS - studies should report the number of patients offered RGCS that accept the offer and consent to screening.</w:t>
            </w:r>
          </w:p>
        </w:tc>
      </w:tr>
      <w:tr w:rsidR="00200B85" w14:paraId="46FD34D1" w14:textId="77777777" w:rsidTr="00DA01E1">
        <w:tc>
          <w:tcPr>
            <w:tcW w:w="389" w:type="pct"/>
            <w:vAlign w:val="bottom"/>
          </w:tcPr>
          <w:p w14:paraId="1911EBD2" w14:textId="389CE55F"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4.4</w:t>
            </w:r>
          </w:p>
        </w:tc>
        <w:tc>
          <w:tcPr>
            <w:tcW w:w="4611" w:type="pct"/>
            <w:vAlign w:val="bottom"/>
          </w:tcPr>
          <w:p w14:paraId="5F9089A4" w14:textId="76184D0B"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Barriers and facilitators to access and uptake of RGCS</w:t>
            </w:r>
          </w:p>
        </w:tc>
      </w:tr>
      <w:tr w:rsidR="00200B85" w14:paraId="043DD642" w14:textId="77777777" w:rsidTr="00DA01E1">
        <w:tc>
          <w:tcPr>
            <w:tcW w:w="389" w:type="pct"/>
            <w:vAlign w:val="bottom"/>
          </w:tcPr>
          <w:p w14:paraId="7AE00067" w14:textId="1D508F8A"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5.3</w:t>
            </w:r>
          </w:p>
        </w:tc>
        <w:tc>
          <w:tcPr>
            <w:tcW w:w="4611" w:type="pct"/>
            <w:vAlign w:val="bottom"/>
          </w:tcPr>
          <w:p w14:paraId="7E7C5E62" w14:textId="369F7461"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 xml:space="preserve">Uptake of post-test genetic counselling for increased risk couples - for studies where RGCS is offered by a non-genetics health professional (GP, midwife or maternal </w:t>
            </w:r>
            <w:proofErr w:type="spellStart"/>
            <w:r w:rsidRPr="00AC1ECC">
              <w:rPr>
                <w:rFonts w:ascii="Glacial Indifference" w:hAnsi="Glacial Indifference" w:cs="Calibri"/>
                <w:sz w:val="22"/>
                <w:szCs w:val="22"/>
                <w:lang w:eastAsia="en-AU"/>
              </w:rPr>
              <w:t>fetal</w:t>
            </w:r>
            <w:proofErr w:type="spellEnd"/>
            <w:r w:rsidRPr="00AC1ECC">
              <w:rPr>
                <w:rFonts w:ascii="Glacial Indifference" w:hAnsi="Glacial Indifference" w:cs="Calibri"/>
                <w:sz w:val="22"/>
                <w:szCs w:val="22"/>
                <w:lang w:eastAsia="en-AU"/>
              </w:rPr>
              <w:t xml:space="preserve"> specialist), studies should report the number of increased risk couples that accepted an offer of post-test counselling with a genetic health professional (genetic counsellor or clinical geneticist).</w:t>
            </w:r>
          </w:p>
        </w:tc>
      </w:tr>
      <w:tr w:rsidR="00200B85" w14:paraId="1D45A3BC" w14:textId="77777777" w:rsidTr="00DA01E1">
        <w:tc>
          <w:tcPr>
            <w:tcW w:w="389" w:type="pct"/>
            <w:vAlign w:val="bottom"/>
          </w:tcPr>
          <w:p w14:paraId="535150CE" w14:textId="1E407F8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6.1</w:t>
            </w:r>
          </w:p>
        </w:tc>
        <w:tc>
          <w:tcPr>
            <w:tcW w:w="4611" w:type="pct"/>
            <w:vAlign w:val="bottom"/>
          </w:tcPr>
          <w:p w14:paraId="7195DCD4" w14:textId="2B688900"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Uptake of partner testing (in sequential screening) - sequential screening refers to studies where RGCS is offered to one reproductive partner first, and then partner testing offered if a carrier finding is returned. Studies should report the number of patients who elect to test their reproductive partner when they are found to be a carrier of a recessive condition.</w:t>
            </w:r>
          </w:p>
        </w:tc>
      </w:tr>
      <w:tr w:rsidR="00200B85" w14:paraId="28C37717" w14:textId="77777777" w:rsidTr="00DA01E1">
        <w:tc>
          <w:tcPr>
            <w:tcW w:w="389" w:type="pct"/>
            <w:vAlign w:val="bottom"/>
          </w:tcPr>
          <w:p w14:paraId="13A71A5F" w14:textId="645C989E"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6.2</w:t>
            </w:r>
          </w:p>
        </w:tc>
        <w:tc>
          <w:tcPr>
            <w:tcW w:w="4611" w:type="pct"/>
            <w:vAlign w:val="bottom"/>
          </w:tcPr>
          <w:p w14:paraId="0CAB7566" w14:textId="4F57DA83"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Barriers and facilitators to access and uptake of partner testing - studies should report the factors involved in decision-making to test a reproductive partner, including aspects such as cost and convenience of the process.</w:t>
            </w:r>
          </w:p>
        </w:tc>
      </w:tr>
      <w:tr w:rsidR="00200B85" w14:paraId="1785FDE5" w14:textId="77777777" w:rsidTr="00DA01E1">
        <w:tc>
          <w:tcPr>
            <w:tcW w:w="389" w:type="pct"/>
            <w:vAlign w:val="bottom"/>
          </w:tcPr>
          <w:p w14:paraId="6DBC6733" w14:textId="7866A9C1"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6.3</w:t>
            </w:r>
          </w:p>
        </w:tc>
        <w:tc>
          <w:tcPr>
            <w:tcW w:w="4611" w:type="pct"/>
            <w:vAlign w:val="bottom"/>
          </w:tcPr>
          <w:p w14:paraId="6FCFF20E" w14:textId="158B4CF9"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Uptake of prenatal diagnosis - studies should report the number of patients that accept and decline prenatal diagnosis (CVS or amniocentesis) to determine the genetic status of an at-risk pregnancy following an increased risk result from RGCS.</w:t>
            </w:r>
          </w:p>
        </w:tc>
      </w:tr>
      <w:tr w:rsidR="00200B85" w14:paraId="2D2AF757" w14:textId="77777777" w:rsidTr="00DA01E1">
        <w:tc>
          <w:tcPr>
            <w:tcW w:w="389" w:type="pct"/>
            <w:vAlign w:val="bottom"/>
          </w:tcPr>
          <w:p w14:paraId="0A6A08F2" w14:textId="1C14A9AD"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6.4</w:t>
            </w:r>
          </w:p>
        </w:tc>
        <w:tc>
          <w:tcPr>
            <w:tcW w:w="4611" w:type="pct"/>
            <w:vAlign w:val="bottom"/>
          </w:tcPr>
          <w:p w14:paraId="20E5DBB8" w14:textId="5FBE14AF"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Barriers and facilitators to access and uptake of prenatal diagnosis - studies should report the factors involved in decision-making to have a CVS or amniocentesis following an increased risk RGCS results, including aspects such as risks associated with invasive procedures, and that they wouldn’t terminate a pregnancy based on result based on cultural, moral, religious beliefs or the condition being treatable.</w:t>
            </w:r>
          </w:p>
        </w:tc>
      </w:tr>
      <w:tr w:rsidR="00200B85" w14:paraId="3297B242" w14:textId="77777777" w:rsidTr="00DA01E1">
        <w:tc>
          <w:tcPr>
            <w:tcW w:w="389" w:type="pct"/>
            <w:vAlign w:val="bottom"/>
          </w:tcPr>
          <w:p w14:paraId="645F81BF" w14:textId="1A2C5851"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6.6</w:t>
            </w:r>
          </w:p>
        </w:tc>
        <w:tc>
          <w:tcPr>
            <w:tcW w:w="4611" w:type="pct"/>
            <w:vAlign w:val="bottom"/>
          </w:tcPr>
          <w:p w14:paraId="3F015E9E" w14:textId="3244CDA1"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Barriers and facilitators of patient uptake of IVF/PGD in increased risk couples - studies should report factors that influence uptake of IVF/PGD, including aspects such as access, cost, medicalisation of the pregnancy journey, and whether the patients are already having IVF or fertility issues.</w:t>
            </w:r>
          </w:p>
        </w:tc>
      </w:tr>
      <w:tr w:rsidR="00200B85" w14:paraId="54BB4361" w14:textId="77777777" w:rsidTr="00DA01E1">
        <w:tc>
          <w:tcPr>
            <w:tcW w:w="389" w:type="pct"/>
            <w:vAlign w:val="bottom"/>
          </w:tcPr>
          <w:p w14:paraId="009E662C" w14:textId="149167CB"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6.7</w:t>
            </w:r>
          </w:p>
        </w:tc>
        <w:tc>
          <w:tcPr>
            <w:tcW w:w="4611" w:type="pct"/>
            <w:vAlign w:val="bottom"/>
          </w:tcPr>
          <w:p w14:paraId="57C25171" w14:textId="2947831B"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Barriers and facilitators of patients experience of PND, IVF/PGD and TOP - studies should report external factors such as the healthcare and social context that may impact patients undergoing PND, IVF/PGD and TOP, including aspects such as access to services and financial considerations.</w:t>
            </w:r>
          </w:p>
        </w:tc>
      </w:tr>
      <w:tr w:rsidR="00200B85" w14:paraId="149916D3" w14:textId="77777777" w:rsidTr="00DA01E1">
        <w:tc>
          <w:tcPr>
            <w:tcW w:w="389" w:type="pct"/>
            <w:vAlign w:val="bottom"/>
          </w:tcPr>
          <w:p w14:paraId="2F14B1B0" w14:textId="377D6AAA"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6.8</w:t>
            </w:r>
          </w:p>
        </w:tc>
        <w:tc>
          <w:tcPr>
            <w:tcW w:w="4611" w:type="pct"/>
            <w:vAlign w:val="bottom"/>
          </w:tcPr>
          <w:p w14:paraId="47F1716C" w14:textId="6171DD03"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 xml:space="preserve">Support needs when making reproductive decisions - studies should report the number of patients that requested sources of additional information, such as support groups or </w:t>
            </w:r>
            <w:r w:rsidRPr="00AC1ECC">
              <w:rPr>
                <w:rFonts w:ascii="Glacial Indifference" w:hAnsi="Glacial Indifference" w:cs="Calibri"/>
                <w:sz w:val="22"/>
                <w:szCs w:val="22"/>
                <w:lang w:eastAsia="en-AU"/>
              </w:rPr>
              <w:lastRenderedPageBreak/>
              <w:t>connection with those with lived experience of a genetic condition, to inform their reproductive decisions.</w:t>
            </w:r>
          </w:p>
        </w:tc>
      </w:tr>
      <w:tr w:rsidR="00200B85" w14:paraId="0D0DA401" w14:textId="77777777" w:rsidTr="00DA01E1">
        <w:tc>
          <w:tcPr>
            <w:tcW w:w="389" w:type="pct"/>
            <w:vAlign w:val="bottom"/>
          </w:tcPr>
          <w:p w14:paraId="500D6748" w14:textId="6838B37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lastRenderedPageBreak/>
              <w:t>7.1</w:t>
            </w:r>
          </w:p>
        </w:tc>
        <w:tc>
          <w:tcPr>
            <w:tcW w:w="4611" w:type="pct"/>
            <w:vAlign w:val="bottom"/>
          </w:tcPr>
          <w:p w14:paraId="2D400BB3" w14:textId="62492A2D"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Results of prenatal diagnosis (CVS or amniocentesis) - studies should report the number of affected pregnancies identified through prenatal diagnosis.</w:t>
            </w:r>
          </w:p>
        </w:tc>
      </w:tr>
      <w:tr w:rsidR="00200B85" w14:paraId="7B6421A4" w14:textId="77777777" w:rsidTr="00DA01E1">
        <w:tc>
          <w:tcPr>
            <w:tcW w:w="389" w:type="pct"/>
            <w:vAlign w:val="bottom"/>
          </w:tcPr>
          <w:p w14:paraId="5F5962E6" w14:textId="2BE3F3AA"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7.2</w:t>
            </w:r>
          </w:p>
        </w:tc>
        <w:tc>
          <w:tcPr>
            <w:tcW w:w="4611" w:type="pct"/>
            <w:vAlign w:val="bottom"/>
          </w:tcPr>
          <w:p w14:paraId="0333F5AA" w14:textId="63078923"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 xml:space="preserve">Rate of </w:t>
            </w:r>
            <w:proofErr w:type="spellStart"/>
            <w:r w:rsidRPr="00AC1ECC">
              <w:rPr>
                <w:rFonts w:ascii="Glacial Indifference" w:hAnsi="Glacial Indifference" w:cs="Calibri"/>
                <w:sz w:val="22"/>
                <w:szCs w:val="22"/>
                <w:lang w:eastAsia="en-AU"/>
              </w:rPr>
              <w:t>fetal</w:t>
            </w:r>
            <w:proofErr w:type="spellEnd"/>
            <w:r w:rsidRPr="00AC1ECC">
              <w:rPr>
                <w:rFonts w:ascii="Glacial Indifference" w:hAnsi="Glacial Indifference" w:cs="Calibri"/>
                <w:sz w:val="22"/>
                <w:szCs w:val="22"/>
                <w:lang w:eastAsia="en-AU"/>
              </w:rPr>
              <w:t xml:space="preserve"> loss following prenatal diagnosis (CVS or amniocentesis) - studies should report the number of pregnancies that miscarried following prenatal diagnosis.</w:t>
            </w:r>
          </w:p>
        </w:tc>
      </w:tr>
      <w:tr w:rsidR="00200B85" w14:paraId="4815B8E0" w14:textId="77777777" w:rsidTr="00DA01E1">
        <w:tc>
          <w:tcPr>
            <w:tcW w:w="389" w:type="pct"/>
            <w:vAlign w:val="bottom"/>
          </w:tcPr>
          <w:p w14:paraId="4B6B9B33" w14:textId="3324EF6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7.3</w:t>
            </w:r>
          </w:p>
        </w:tc>
        <w:tc>
          <w:tcPr>
            <w:tcW w:w="4611" w:type="pct"/>
            <w:vAlign w:val="bottom"/>
          </w:tcPr>
          <w:p w14:paraId="7A2DBF6D" w14:textId="2B00837B"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Decision to continue or terminate a pregnancy identified to be affected through prenatal diagnosis - studies should report the number of affected pregnancies that were terminated following results of prenatal diagnosis.</w:t>
            </w:r>
          </w:p>
        </w:tc>
      </w:tr>
      <w:tr w:rsidR="00200B85" w14:paraId="273D4FCF" w14:textId="77777777" w:rsidTr="00DA01E1">
        <w:tc>
          <w:tcPr>
            <w:tcW w:w="389" w:type="pct"/>
            <w:vAlign w:val="bottom"/>
          </w:tcPr>
          <w:p w14:paraId="04624205" w14:textId="4DC0C958"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7.4</w:t>
            </w:r>
          </w:p>
        </w:tc>
        <w:tc>
          <w:tcPr>
            <w:tcW w:w="4611" w:type="pct"/>
            <w:vAlign w:val="bottom"/>
          </w:tcPr>
          <w:p w14:paraId="488B68B9" w14:textId="77F90FA1"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Birth rates for conditions that were included in screening - studies should report the number of babies born affected with a condition that was screened for. This may be because parents chose to proceed with a pregnancy known to be affected, may have been aware of increased risk but chose not to test during the pregnancy, or because of a laboratory error that missed identifying an increased risk.</w:t>
            </w:r>
          </w:p>
        </w:tc>
      </w:tr>
      <w:tr w:rsidR="00200B85" w14:paraId="35AE647F" w14:textId="77777777" w:rsidTr="00DA01E1">
        <w:tc>
          <w:tcPr>
            <w:tcW w:w="389" w:type="pct"/>
            <w:vAlign w:val="bottom"/>
          </w:tcPr>
          <w:p w14:paraId="762B806D" w14:textId="28D98B7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7.5</w:t>
            </w:r>
          </w:p>
        </w:tc>
        <w:tc>
          <w:tcPr>
            <w:tcW w:w="4611" w:type="pct"/>
            <w:vAlign w:val="bottom"/>
          </w:tcPr>
          <w:p w14:paraId="7DEAD9B1" w14:textId="3CC78D46"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Results of IVF with preimplantation diagnosis (PGD) utilised by increased risk couples in subsequent pregnancies - studies should report the number of unaffected ongoing pregnancies following IVF with PGD.</w:t>
            </w:r>
          </w:p>
        </w:tc>
      </w:tr>
      <w:tr w:rsidR="00200B85" w14:paraId="0B70CF7F" w14:textId="77777777" w:rsidTr="00DA01E1">
        <w:tc>
          <w:tcPr>
            <w:tcW w:w="389" w:type="pct"/>
            <w:vAlign w:val="bottom"/>
          </w:tcPr>
          <w:p w14:paraId="7E522616" w14:textId="4E838FBE"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10.4</w:t>
            </w:r>
          </w:p>
        </w:tc>
        <w:tc>
          <w:tcPr>
            <w:tcW w:w="4611" w:type="pct"/>
            <w:vAlign w:val="bottom"/>
          </w:tcPr>
          <w:p w14:paraId="308C24E9" w14:textId="282E59A5"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Patient perception that RGCS will inform their reproductive decisions (at the time of the screening offer) - studies should report how patients perceive changing their reproductive plans if an increased risk result is returned.</w:t>
            </w:r>
          </w:p>
        </w:tc>
      </w:tr>
      <w:tr w:rsidR="00200B85" w14:paraId="6AF0BDB1" w14:textId="77777777" w:rsidTr="00DA01E1">
        <w:tc>
          <w:tcPr>
            <w:tcW w:w="389" w:type="pct"/>
            <w:vAlign w:val="bottom"/>
          </w:tcPr>
          <w:p w14:paraId="01D4EE3E" w14:textId="1531DED1"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11.2</w:t>
            </w:r>
          </w:p>
        </w:tc>
        <w:tc>
          <w:tcPr>
            <w:tcW w:w="4611" w:type="pct"/>
            <w:vAlign w:val="bottom"/>
          </w:tcPr>
          <w:p w14:paraId="60C46F5A" w14:textId="353DC388"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Patients had enough information to make an informed choice to accept or decline - studies should report patient perception that their information needs were met and they felt informed to make a decision to accept or decline the offer of RGCS.</w:t>
            </w:r>
          </w:p>
        </w:tc>
      </w:tr>
      <w:tr w:rsidR="00200B85" w14:paraId="4EE595FF" w14:textId="77777777" w:rsidTr="00DA01E1">
        <w:tc>
          <w:tcPr>
            <w:tcW w:w="389" w:type="pct"/>
            <w:vAlign w:val="bottom"/>
          </w:tcPr>
          <w:p w14:paraId="30AA12A8" w14:textId="1D82F67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11.3</w:t>
            </w:r>
          </w:p>
        </w:tc>
        <w:tc>
          <w:tcPr>
            <w:tcW w:w="4611" w:type="pct"/>
            <w:vAlign w:val="bottom"/>
          </w:tcPr>
          <w:p w14:paraId="079A8B7B" w14:textId="44355C8A"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Patients were engaged in the decision-making process - studies should report patient perception that they were engaged in the discussion and decision-making to accept or decline the offer of RGCS.</w:t>
            </w:r>
          </w:p>
        </w:tc>
      </w:tr>
      <w:tr w:rsidR="00200B85" w14:paraId="1BF1BB31" w14:textId="77777777" w:rsidTr="00DA01E1">
        <w:tc>
          <w:tcPr>
            <w:tcW w:w="389" w:type="pct"/>
            <w:vAlign w:val="bottom"/>
          </w:tcPr>
          <w:p w14:paraId="58B826D6" w14:textId="4E2BEDE7"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11.4</w:t>
            </w:r>
          </w:p>
        </w:tc>
        <w:tc>
          <w:tcPr>
            <w:tcW w:w="4611" w:type="pct"/>
            <w:vAlign w:val="bottom"/>
          </w:tcPr>
          <w:p w14:paraId="2BB6B95C" w14:textId="0652939C"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Patients made an informed choice to accept or decline testing - studies should report patient perception that they made an informed choice to accept or decline the offer of RGCS.</w:t>
            </w:r>
          </w:p>
        </w:tc>
      </w:tr>
      <w:tr w:rsidR="00200B85" w14:paraId="366A3E3C" w14:textId="77777777" w:rsidTr="00DA01E1">
        <w:tc>
          <w:tcPr>
            <w:tcW w:w="389" w:type="pct"/>
            <w:vAlign w:val="bottom"/>
          </w:tcPr>
          <w:p w14:paraId="23A70631" w14:textId="28F56F3C"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12.1</w:t>
            </w:r>
          </w:p>
        </w:tc>
        <w:tc>
          <w:tcPr>
            <w:tcW w:w="4611" w:type="pct"/>
            <w:vAlign w:val="bottom"/>
          </w:tcPr>
          <w:p w14:paraId="59A552E7" w14:textId="6AB92709"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Genetic counselling presented screening and further testing as a choice - studies should report whether patients felt that they were offered voluntary choice to participate in RGCS, and if identified as increased risk during a pregnancy, that prenatal diagnosis was also offered as a choice.</w:t>
            </w:r>
          </w:p>
        </w:tc>
      </w:tr>
      <w:tr w:rsidR="00200B85" w14:paraId="19835ADD" w14:textId="77777777" w:rsidTr="00DA01E1">
        <w:tc>
          <w:tcPr>
            <w:tcW w:w="389" w:type="pct"/>
            <w:vAlign w:val="bottom"/>
          </w:tcPr>
          <w:p w14:paraId="24E2673B" w14:textId="5C1B8718"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12.2</w:t>
            </w:r>
          </w:p>
        </w:tc>
        <w:tc>
          <w:tcPr>
            <w:tcW w:w="4611" w:type="pct"/>
            <w:vAlign w:val="bottom"/>
          </w:tcPr>
          <w:p w14:paraId="1C9EF756" w14:textId="271A831B"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Genetic counselling provided sufficient information to meet patient needs - studies should report whether patients felt that they had all the information needed to make decisions.</w:t>
            </w:r>
          </w:p>
        </w:tc>
      </w:tr>
      <w:tr w:rsidR="00200B85" w14:paraId="7A9BCCEE" w14:textId="77777777" w:rsidTr="00DA01E1">
        <w:tc>
          <w:tcPr>
            <w:tcW w:w="389" w:type="pct"/>
            <w:vAlign w:val="bottom"/>
          </w:tcPr>
          <w:p w14:paraId="5F4181BC" w14:textId="3F245F0D"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12.4</w:t>
            </w:r>
          </w:p>
        </w:tc>
        <w:tc>
          <w:tcPr>
            <w:tcW w:w="4611" w:type="pct"/>
            <w:vAlign w:val="bottom"/>
          </w:tcPr>
          <w:p w14:paraId="6F1B0500" w14:textId="715F510F"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Genetic counselling supported informed decision-making - studies should report whether patients felt that the healthcare provider helped them to deliberate and make an informed choice about RGCS and any further testing.</w:t>
            </w:r>
          </w:p>
        </w:tc>
      </w:tr>
      <w:tr w:rsidR="00200B85" w14:paraId="7516C9B5" w14:textId="77777777" w:rsidTr="00DA01E1">
        <w:tc>
          <w:tcPr>
            <w:tcW w:w="389" w:type="pct"/>
            <w:vAlign w:val="bottom"/>
          </w:tcPr>
          <w:p w14:paraId="4611B115" w14:textId="70B59665"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12.6</w:t>
            </w:r>
          </w:p>
        </w:tc>
        <w:tc>
          <w:tcPr>
            <w:tcW w:w="4611" w:type="pct"/>
            <w:vAlign w:val="bottom"/>
          </w:tcPr>
          <w:p w14:paraId="2FC35EC0" w14:textId="01579AE7"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Genetic counselling was accessible - studies should report whether patients felt that pre- and post-test genetic counselling was easily accessible.</w:t>
            </w:r>
          </w:p>
        </w:tc>
      </w:tr>
      <w:tr w:rsidR="00200B85" w14:paraId="0EDA2A93" w14:textId="77777777" w:rsidTr="00DA01E1">
        <w:tc>
          <w:tcPr>
            <w:tcW w:w="389" w:type="pct"/>
            <w:vAlign w:val="bottom"/>
          </w:tcPr>
          <w:p w14:paraId="06451C6B" w14:textId="18DE4D49"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12.7</w:t>
            </w:r>
          </w:p>
        </w:tc>
        <w:tc>
          <w:tcPr>
            <w:tcW w:w="4611" w:type="pct"/>
            <w:vAlign w:val="bottom"/>
          </w:tcPr>
          <w:p w14:paraId="245FEB7F" w14:textId="2347BA4C"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Genetic counselling promoted reproductive empowerment - studies should report whether patients felt that pre- and post-test genetic counselling facilitated an understanding of their reproductive choices and promoted a sense of confidence and empowerment to make choices that were aligned with their values.</w:t>
            </w:r>
          </w:p>
        </w:tc>
      </w:tr>
      <w:tr w:rsidR="00200B85" w14:paraId="0F2023DC" w14:textId="77777777" w:rsidTr="00DA01E1">
        <w:tc>
          <w:tcPr>
            <w:tcW w:w="389" w:type="pct"/>
            <w:vAlign w:val="bottom"/>
          </w:tcPr>
          <w:p w14:paraId="62A00F29" w14:textId="11C2AD3F"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13.1</w:t>
            </w:r>
          </w:p>
        </w:tc>
        <w:tc>
          <w:tcPr>
            <w:tcW w:w="4611" w:type="pct"/>
            <w:vAlign w:val="bottom"/>
          </w:tcPr>
          <w:p w14:paraId="317275DB" w14:textId="747D0B7C"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Patient understanding of RGCS - studies should report patient knowledge which may include the role and significance of screening for those without existing family history or other prior increased risk, the range of conditions included in screening and possible results that can be returned, and options to consider if an increased risk result is received.</w:t>
            </w:r>
          </w:p>
        </w:tc>
      </w:tr>
      <w:tr w:rsidR="00200B85" w14:paraId="2C94127A" w14:textId="77777777" w:rsidTr="00DA01E1">
        <w:tc>
          <w:tcPr>
            <w:tcW w:w="389" w:type="pct"/>
            <w:vAlign w:val="bottom"/>
          </w:tcPr>
          <w:p w14:paraId="5F0C6578" w14:textId="7C2E821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13.2</w:t>
            </w:r>
          </w:p>
        </w:tc>
        <w:tc>
          <w:tcPr>
            <w:tcW w:w="4611" w:type="pct"/>
            <w:vAlign w:val="bottom"/>
          </w:tcPr>
          <w:p w14:paraId="799D8F6C" w14:textId="1F411C66"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Recall of screening result at a later timepoint - studies should report a patients ability to correctly recall their screening result at a future timepoint.</w:t>
            </w:r>
          </w:p>
        </w:tc>
      </w:tr>
      <w:tr w:rsidR="00200B85" w14:paraId="30578062" w14:textId="77777777" w:rsidTr="00DA01E1">
        <w:tc>
          <w:tcPr>
            <w:tcW w:w="389" w:type="pct"/>
            <w:vAlign w:val="bottom"/>
          </w:tcPr>
          <w:p w14:paraId="4795B00E" w14:textId="1FEB3485"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13.3</w:t>
            </w:r>
          </w:p>
        </w:tc>
        <w:tc>
          <w:tcPr>
            <w:tcW w:w="4611" w:type="pct"/>
            <w:vAlign w:val="bottom"/>
          </w:tcPr>
          <w:p w14:paraId="548FEBD7" w14:textId="1D4AA663"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Barriers and facilitators influencing patients understanding of RGCS - studies should report factors that influence patient understanding of RGCS, including aspects such as having access to a knowledgeable provider, methods of education prior to screening, and access to written/visual information.</w:t>
            </w:r>
          </w:p>
        </w:tc>
      </w:tr>
      <w:tr w:rsidR="00200B85" w14:paraId="2EFE0A19" w14:textId="77777777" w:rsidTr="00DA01E1">
        <w:tc>
          <w:tcPr>
            <w:tcW w:w="389" w:type="pct"/>
            <w:vAlign w:val="bottom"/>
          </w:tcPr>
          <w:p w14:paraId="27E4EAF2" w14:textId="53DDF629"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lastRenderedPageBreak/>
              <w:t>15.2</w:t>
            </w:r>
          </w:p>
        </w:tc>
        <w:tc>
          <w:tcPr>
            <w:tcW w:w="4611" w:type="pct"/>
            <w:vAlign w:val="bottom"/>
          </w:tcPr>
          <w:p w14:paraId="14161A5C" w14:textId="053966B4"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Anxiety - studies should report patient reported levels of anxiety.</w:t>
            </w:r>
          </w:p>
        </w:tc>
      </w:tr>
      <w:tr w:rsidR="00200B85" w14:paraId="008E4FB3" w14:textId="77777777" w:rsidTr="00DA01E1">
        <w:tc>
          <w:tcPr>
            <w:tcW w:w="389" w:type="pct"/>
            <w:vAlign w:val="bottom"/>
          </w:tcPr>
          <w:p w14:paraId="62D63048" w14:textId="0625B8C6"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15.3</w:t>
            </w:r>
          </w:p>
        </w:tc>
        <w:tc>
          <w:tcPr>
            <w:tcW w:w="4611" w:type="pct"/>
            <w:vAlign w:val="bottom"/>
          </w:tcPr>
          <w:p w14:paraId="4E0713C5" w14:textId="702E2BF0"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Grief and loss following an increased risk result - studies should report feelings of grief and loss related to increased risk results that impact a current pregnancy, and/or significantly alter the patients perception of their pregnancy journey in future pregnancies.</w:t>
            </w:r>
          </w:p>
        </w:tc>
      </w:tr>
      <w:tr w:rsidR="00200B85" w14:paraId="00A4C064" w14:textId="77777777" w:rsidTr="00DA01E1">
        <w:tc>
          <w:tcPr>
            <w:tcW w:w="389" w:type="pct"/>
            <w:vAlign w:val="bottom"/>
          </w:tcPr>
          <w:p w14:paraId="6E94456A" w14:textId="3658963E"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15.4</w:t>
            </w:r>
          </w:p>
        </w:tc>
        <w:tc>
          <w:tcPr>
            <w:tcW w:w="4611" w:type="pct"/>
            <w:vAlign w:val="bottom"/>
          </w:tcPr>
          <w:p w14:paraId="4937E6F9" w14:textId="7F888C54"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Distress following an increased risk result - studies should report the impact of an increased risk result on the patient from the perspective of the impact of events scale (IES) which defines the result as a traumatic event that may have long lasting impacts on the psychological wellbeing of the patient.</w:t>
            </w:r>
          </w:p>
        </w:tc>
      </w:tr>
      <w:tr w:rsidR="00200B85" w14:paraId="64361672" w14:textId="77777777" w:rsidTr="00DA01E1">
        <w:tc>
          <w:tcPr>
            <w:tcW w:w="389" w:type="pct"/>
            <w:vAlign w:val="bottom"/>
          </w:tcPr>
          <w:p w14:paraId="4B757F50" w14:textId="347C817B"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15.5</w:t>
            </w:r>
          </w:p>
        </w:tc>
        <w:tc>
          <w:tcPr>
            <w:tcW w:w="4611" w:type="pct"/>
            <w:vAlign w:val="bottom"/>
          </w:tcPr>
          <w:p w14:paraId="75A208BC" w14:textId="2780150A"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Uncertainty and resilience in patients following an increased risk result - studies should report the burden of uncertainty that patients feel following an increased risk result and their ability to cope with this uncertainty.</w:t>
            </w:r>
          </w:p>
        </w:tc>
      </w:tr>
      <w:tr w:rsidR="00200B85" w14:paraId="34C63144" w14:textId="77777777" w:rsidTr="00DA01E1">
        <w:tc>
          <w:tcPr>
            <w:tcW w:w="389" w:type="pct"/>
            <w:vAlign w:val="bottom"/>
          </w:tcPr>
          <w:p w14:paraId="0A0800E3" w14:textId="77B3F3CD"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15.6</w:t>
            </w:r>
          </w:p>
        </w:tc>
        <w:tc>
          <w:tcPr>
            <w:tcW w:w="4611" w:type="pct"/>
            <w:vAlign w:val="bottom"/>
          </w:tcPr>
          <w:p w14:paraId="7016C666" w14:textId="4D9CF123"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Impact of results on patients perception of their own health - studies should report how the patients perception of their own health may change if identified as a carrier.</w:t>
            </w:r>
          </w:p>
        </w:tc>
      </w:tr>
      <w:tr w:rsidR="00200B85" w14:paraId="430B398F" w14:textId="77777777" w:rsidTr="00DA01E1">
        <w:tc>
          <w:tcPr>
            <w:tcW w:w="389" w:type="pct"/>
            <w:vAlign w:val="bottom"/>
          </w:tcPr>
          <w:p w14:paraId="325CBB12" w14:textId="18DBBAB0"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15.7</w:t>
            </w:r>
          </w:p>
        </w:tc>
        <w:tc>
          <w:tcPr>
            <w:tcW w:w="4611" w:type="pct"/>
            <w:vAlign w:val="bottom"/>
          </w:tcPr>
          <w:p w14:paraId="2A817250" w14:textId="4095A5CA"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Barriers and facilitators to patients psychological and emotional wellbeing during RGCS - studies should report factors directly related to RGCS that can be beneficial or detrimental to a patients emotional wellbeing, including aspects such as feeling informed and able to ask questions, or conversely feeling rushed or not given time for decisions.</w:t>
            </w:r>
          </w:p>
        </w:tc>
      </w:tr>
      <w:tr w:rsidR="00200B85" w14:paraId="7F48443D" w14:textId="77777777" w:rsidTr="00DA01E1">
        <w:tc>
          <w:tcPr>
            <w:tcW w:w="389" w:type="pct"/>
            <w:vAlign w:val="bottom"/>
          </w:tcPr>
          <w:p w14:paraId="20ABFC44" w14:textId="48060488"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16.1</w:t>
            </w:r>
          </w:p>
        </w:tc>
        <w:tc>
          <w:tcPr>
            <w:tcW w:w="4611" w:type="pct"/>
            <w:vAlign w:val="bottom"/>
          </w:tcPr>
          <w:p w14:paraId="00F983F7" w14:textId="29E8C08E"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Retrospective satisfaction with the decision to accept or decline RGCS - studies should report longitudinal (long-term) assessment of patients satisfaction or regret associated with their decision to accept or decline RGCS.</w:t>
            </w:r>
          </w:p>
        </w:tc>
      </w:tr>
      <w:tr w:rsidR="00200B85" w14:paraId="0C770BA0" w14:textId="77777777" w:rsidTr="00DA01E1">
        <w:tc>
          <w:tcPr>
            <w:tcW w:w="389" w:type="pct"/>
            <w:vAlign w:val="bottom"/>
          </w:tcPr>
          <w:p w14:paraId="126ECA21" w14:textId="612FD7AF"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16.2</w:t>
            </w:r>
          </w:p>
        </w:tc>
        <w:tc>
          <w:tcPr>
            <w:tcW w:w="4611" w:type="pct"/>
            <w:vAlign w:val="bottom"/>
          </w:tcPr>
          <w:p w14:paraId="3F4D1DA5" w14:textId="03723516"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Decisional regret associated with RGCS - studies should report longitudinal (long-term) assessment of patients satisfaction or regret associated with a decision that they made as a result of RGCS results, such as undertaking prenatal diagnosis, terminating a pregnancy, or accessing IVF.</w:t>
            </w:r>
          </w:p>
        </w:tc>
      </w:tr>
      <w:tr w:rsidR="00200B85" w14:paraId="48914D13" w14:textId="77777777" w:rsidTr="00DA01E1">
        <w:tc>
          <w:tcPr>
            <w:tcW w:w="389" w:type="pct"/>
            <w:vAlign w:val="bottom"/>
          </w:tcPr>
          <w:p w14:paraId="4E05B3F1" w14:textId="4F6B3EAB"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19.1</w:t>
            </w:r>
          </w:p>
        </w:tc>
        <w:tc>
          <w:tcPr>
            <w:tcW w:w="4611" w:type="pct"/>
            <w:vAlign w:val="bottom"/>
          </w:tcPr>
          <w:p w14:paraId="4BD514F1" w14:textId="6050105E"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Satisfaction with accessibility, cost and convenience of the screening process - studies should report patients concerns regarding accessibility, cost and convenience of accessing RGCS.</w:t>
            </w:r>
          </w:p>
        </w:tc>
      </w:tr>
      <w:tr w:rsidR="00200B85" w14:paraId="652F7467" w14:textId="77777777" w:rsidTr="00DA01E1">
        <w:tc>
          <w:tcPr>
            <w:tcW w:w="389" w:type="pct"/>
            <w:vAlign w:val="bottom"/>
          </w:tcPr>
          <w:p w14:paraId="09469E7C" w14:textId="7A90D5B7"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19.2</w:t>
            </w:r>
          </w:p>
        </w:tc>
        <w:tc>
          <w:tcPr>
            <w:tcW w:w="4611" w:type="pct"/>
            <w:vAlign w:val="bottom"/>
          </w:tcPr>
          <w:p w14:paraId="753AA095" w14:textId="2163B914"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Satisfaction that information needs have been met - studies should report patient satisfaction with information and education that was provided during RGCS.</w:t>
            </w:r>
          </w:p>
        </w:tc>
      </w:tr>
      <w:tr w:rsidR="00200B85" w14:paraId="44583977" w14:textId="77777777" w:rsidTr="00DA01E1">
        <w:tc>
          <w:tcPr>
            <w:tcW w:w="389" w:type="pct"/>
            <w:vAlign w:val="bottom"/>
          </w:tcPr>
          <w:p w14:paraId="6891926B" w14:textId="09C007D0"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20.2</w:t>
            </w:r>
          </w:p>
        </w:tc>
        <w:tc>
          <w:tcPr>
            <w:tcW w:w="4611" w:type="pct"/>
            <w:vAlign w:val="bottom"/>
          </w:tcPr>
          <w:p w14:paraId="33AB0E81" w14:textId="26F87E58"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Impact of results on a couple's relationship - studies should report how patients perceive that RGCS has impacted their relationship with their reproductive partner, which may include strengthening or strain on the relationship.</w:t>
            </w:r>
          </w:p>
        </w:tc>
      </w:tr>
      <w:tr w:rsidR="00200B85" w14:paraId="433834B3" w14:textId="77777777" w:rsidTr="00DA01E1">
        <w:tc>
          <w:tcPr>
            <w:tcW w:w="389" w:type="pct"/>
            <w:vAlign w:val="bottom"/>
          </w:tcPr>
          <w:p w14:paraId="07A15277" w14:textId="2613D042"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21.1</w:t>
            </w:r>
          </w:p>
        </w:tc>
        <w:tc>
          <w:tcPr>
            <w:tcW w:w="4611" w:type="pct"/>
            <w:vAlign w:val="bottom"/>
          </w:tcPr>
          <w:p w14:paraId="52E5569A" w14:textId="61294918"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Reproductive empowerment - studies should report how empowered patients felt to make reproductive decisions that are right for them following RGCS.</w:t>
            </w:r>
          </w:p>
        </w:tc>
      </w:tr>
      <w:tr w:rsidR="00200B85" w14:paraId="139F66A8" w14:textId="77777777" w:rsidTr="00DA01E1">
        <w:tc>
          <w:tcPr>
            <w:tcW w:w="389" w:type="pct"/>
            <w:vAlign w:val="bottom"/>
          </w:tcPr>
          <w:p w14:paraId="5E4AA04D" w14:textId="07E604C0"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21.2</w:t>
            </w:r>
          </w:p>
        </w:tc>
        <w:tc>
          <w:tcPr>
            <w:tcW w:w="4611" w:type="pct"/>
            <w:vAlign w:val="bottom"/>
          </w:tcPr>
          <w:p w14:paraId="6FF48BAD" w14:textId="1E50E3DD" w:rsidR="00200B85" w:rsidRDefault="00200B85" w:rsidP="00200B85">
            <w:pPr>
              <w:rPr>
                <w:rFonts w:ascii="Glacial Indifference" w:hAnsi="Glacial Indifference"/>
              </w:rPr>
            </w:pPr>
            <w:r w:rsidRPr="00AC1ECC">
              <w:rPr>
                <w:rFonts w:ascii="Glacial Indifference" w:hAnsi="Glacial Indifference" w:cs="Calibri"/>
                <w:sz w:val="22"/>
                <w:szCs w:val="22"/>
                <w:lang w:eastAsia="en-AU"/>
              </w:rPr>
              <w:t>Birth rate of affected individuals - studies should report on the number of affected individuals born to patients that accessed RGCS.</w:t>
            </w:r>
          </w:p>
        </w:tc>
      </w:tr>
    </w:tbl>
    <w:p w14:paraId="3A6212DE" w14:textId="77777777" w:rsidR="00200B85" w:rsidRDefault="00200B85">
      <w:pPr>
        <w:rPr>
          <w:rFonts w:ascii="Glacial Indifference" w:hAnsi="Glacial Indifference"/>
        </w:rPr>
      </w:pPr>
    </w:p>
    <w:p w14:paraId="753D5ED1" w14:textId="77777777" w:rsidR="00AA0363" w:rsidRDefault="00AA0363">
      <w:pPr>
        <w:rPr>
          <w:rFonts w:ascii="Glacial Indifference" w:hAnsi="Glacial Indifference" w:cs="Arial"/>
          <w:b/>
          <w:bCs/>
          <w:sz w:val="22"/>
          <w:szCs w:val="22"/>
        </w:rPr>
      </w:pPr>
      <w:r>
        <w:rPr>
          <w:rFonts w:ascii="Glacial Indifference" w:hAnsi="Glacial Indifference" w:cs="Arial"/>
          <w:b/>
          <w:bCs/>
          <w:sz w:val="22"/>
          <w:szCs w:val="22"/>
        </w:rPr>
        <w:br w:type="page"/>
      </w:r>
    </w:p>
    <w:p w14:paraId="3324AEE6" w14:textId="24EEB909" w:rsidR="00200B85" w:rsidRPr="006673A8" w:rsidRDefault="00374F61">
      <w:pPr>
        <w:rPr>
          <w:rFonts w:ascii="Glacial Indifference" w:hAnsi="Glacial Indifference"/>
          <w:b/>
          <w:bCs/>
          <w:sz w:val="22"/>
          <w:szCs w:val="22"/>
        </w:rPr>
      </w:pPr>
      <w:r w:rsidRPr="006673A8">
        <w:rPr>
          <w:rFonts w:ascii="Glacial Indifference" w:hAnsi="Glacial Indifference" w:cs="Arial"/>
          <w:b/>
          <w:bCs/>
          <w:sz w:val="22"/>
          <w:szCs w:val="22"/>
        </w:rPr>
        <w:lastRenderedPageBreak/>
        <w:t xml:space="preserve">Supplementary material </w:t>
      </w:r>
      <w:r w:rsidR="00AA0363">
        <w:rPr>
          <w:rFonts w:ascii="Glacial Indifference" w:hAnsi="Glacial Indifference"/>
          <w:b/>
          <w:bCs/>
          <w:sz w:val="22"/>
          <w:szCs w:val="22"/>
        </w:rPr>
        <w:t>3</w:t>
      </w:r>
      <w:r w:rsidR="00200B85" w:rsidRPr="006673A8">
        <w:rPr>
          <w:rFonts w:ascii="Glacial Indifference" w:hAnsi="Glacial Indifference"/>
          <w:b/>
          <w:bCs/>
          <w:sz w:val="22"/>
          <w:szCs w:val="22"/>
        </w:rPr>
        <w:t>: Outcome</w:t>
      </w:r>
      <w:r w:rsidRPr="006673A8">
        <w:rPr>
          <w:rFonts w:ascii="Glacial Indifference" w:hAnsi="Glacial Indifference"/>
          <w:b/>
          <w:bCs/>
          <w:sz w:val="22"/>
          <w:szCs w:val="22"/>
        </w:rPr>
        <w:t>s</w:t>
      </w:r>
      <w:r w:rsidR="00200B85" w:rsidRPr="006673A8">
        <w:rPr>
          <w:rFonts w:ascii="Glacial Indifference" w:hAnsi="Glacial Indifference"/>
          <w:b/>
          <w:bCs/>
          <w:sz w:val="22"/>
          <w:szCs w:val="22"/>
        </w:rPr>
        <w:t xml:space="preserve"> combined for Round 2</w:t>
      </w:r>
    </w:p>
    <w:p w14:paraId="0C9308E5" w14:textId="77777777" w:rsidR="00200B85" w:rsidRDefault="00200B85">
      <w:pPr>
        <w:rPr>
          <w:rFonts w:ascii="Glacial Indifference" w:hAnsi="Glacial Indifference"/>
        </w:rPr>
      </w:pPr>
    </w:p>
    <w:tbl>
      <w:tblPr>
        <w:tblStyle w:val="TableGrid"/>
        <w:tblW w:w="5000" w:type="pct"/>
        <w:tblLook w:val="04A0" w:firstRow="1" w:lastRow="0" w:firstColumn="1" w:lastColumn="0" w:noHBand="0" w:noVBand="1"/>
      </w:tblPr>
      <w:tblGrid>
        <w:gridCol w:w="2405"/>
        <w:gridCol w:w="7223"/>
      </w:tblGrid>
      <w:tr w:rsidR="006673A8" w14:paraId="05E840F6" w14:textId="77777777" w:rsidTr="00DA01E1">
        <w:tc>
          <w:tcPr>
            <w:tcW w:w="1249" w:type="pct"/>
            <w:shd w:val="clear" w:color="auto" w:fill="171A1E" w:themeFill="text1" w:themeFillShade="80"/>
            <w:vAlign w:val="bottom"/>
          </w:tcPr>
          <w:p w14:paraId="284996C0" w14:textId="33ED1581" w:rsidR="006673A8" w:rsidRPr="00DA01E1" w:rsidRDefault="006673A8" w:rsidP="006673A8">
            <w:pPr>
              <w:rPr>
                <w:rFonts w:ascii="Glacial Indifference" w:hAnsi="Glacial Indifference" w:cs="Calibri"/>
                <w:color w:val="FFFFFF" w:themeColor="background1"/>
                <w:sz w:val="22"/>
                <w:szCs w:val="22"/>
                <w:lang w:eastAsia="en-AU"/>
              </w:rPr>
            </w:pPr>
            <w:r w:rsidRPr="00DA01E1">
              <w:rPr>
                <w:rFonts w:ascii="Glacial Indifference" w:hAnsi="Glacial Indifference" w:cs="Calibri"/>
                <w:b/>
                <w:bCs/>
                <w:color w:val="FFFFFF" w:themeColor="background1"/>
                <w:sz w:val="22"/>
                <w:szCs w:val="22"/>
                <w:lang w:eastAsia="en-AU"/>
              </w:rPr>
              <w:t>ID</w:t>
            </w:r>
          </w:p>
        </w:tc>
        <w:tc>
          <w:tcPr>
            <w:tcW w:w="3751" w:type="pct"/>
            <w:shd w:val="clear" w:color="auto" w:fill="171A1E" w:themeFill="text1" w:themeFillShade="80"/>
            <w:vAlign w:val="bottom"/>
          </w:tcPr>
          <w:p w14:paraId="2A291A72" w14:textId="295ED506" w:rsidR="006673A8" w:rsidRPr="00DA01E1" w:rsidRDefault="006673A8" w:rsidP="006673A8">
            <w:pPr>
              <w:rPr>
                <w:rFonts w:ascii="Glacial Indifference" w:hAnsi="Glacial Indifference" w:cs="Calibri"/>
                <w:b/>
                <w:bCs/>
                <w:color w:val="FFFFFF" w:themeColor="background1"/>
                <w:sz w:val="22"/>
                <w:szCs w:val="22"/>
                <w:lang w:eastAsia="en-AU"/>
              </w:rPr>
            </w:pPr>
            <w:r w:rsidRPr="00DA01E1">
              <w:rPr>
                <w:rFonts w:ascii="Glacial Indifference" w:hAnsi="Glacial Indifference" w:cs="Calibri"/>
                <w:b/>
                <w:bCs/>
                <w:color w:val="FFFFFF" w:themeColor="background1"/>
                <w:sz w:val="22"/>
                <w:szCs w:val="22"/>
                <w:lang w:eastAsia="en-AU"/>
              </w:rPr>
              <w:t>Outcome description</w:t>
            </w:r>
          </w:p>
        </w:tc>
      </w:tr>
      <w:tr w:rsidR="00200B85" w14:paraId="48FA547B" w14:textId="77777777" w:rsidTr="00DA01E1">
        <w:tc>
          <w:tcPr>
            <w:tcW w:w="1249" w:type="pct"/>
            <w:vAlign w:val="center"/>
          </w:tcPr>
          <w:p w14:paraId="40000078" w14:textId="066862D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1.1 and 1.2</w:t>
            </w:r>
          </w:p>
        </w:tc>
        <w:tc>
          <w:tcPr>
            <w:tcW w:w="3751" w:type="pct"/>
            <w:vAlign w:val="center"/>
          </w:tcPr>
          <w:p w14:paraId="5B1ED5BB" w14:textId="6DA3FC29" w:rsidR="00200B85" w:rsidRDefault="00200B85" w:rsidP="00200B85">
            <w:pPr>
              <w:rPr>
                <w:rFonts w:ascii="Glacial Indifference" w:hAnsi="Glacial Indifference"/>
              </w:rPr>
            </w:pPr>
            <w:r w:rsidRPr="00AC1ECC">
              <w:rPr>
                <w:rFonts w:ascii="Glacial Indifference" w:hAnsi="Glacial Indifference" w:cs="Calibri"/>
                <w:b/>
                <w:bCs/>
                <w:sz w:val="22"/>
                <w:szCs w:val="22"/>
                <w:lang w:eastAsia="en-AU"/>
              </w:rPr>
              <w:t>Carrier and couple detection rates -</w:t>
            </w:r>
            <w:r w:rsidRPr="00AC1ECC">
              <w:rPr>
                <w:rFonts w:ascii="Glacial Indifference" w:hAnsi="Glacial Indifference" w:cs="Calibri"/>
                <w:sz w:val="22"/>
                <w:szCs w:val="22"/>
                <w:lang w:eastAsia="en-AU"/>
              </w:rPr>
              <w:t xml:space="preserve"> studies should report the number of heterozygous carriers identified and/or the number of increased risk couples identified as appropriate for the study design</w:t>
            </w:r>
          </w:p>
        </w:tc>
      </w:tr>
      <w:tr w:rsidR="00200B85" w14:paraId="544394CB" w14:textId="77777777" w:rsidTr="00DA01E1">
        <w:tc>
          <w:tcPr>
            <w:tcW w:w="1249" w:type="pct"/>
            <w:vAlign w:val="center"/>
          </w:tcPr>
          <w:p w14:paraId="4687BB97" w14:textId="470DA3FC"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2.1 and 2.2</w:t>
            </w:r>
          </w:p>
        </w:tc>
        <w:tc>
          <w:tcPr>
            <w:tcW w:w="3751" w:type="pct"/>
            <w:vAlign w:val="center"/>
          </w:tcPr>
          <w:p w14:paraId="60345F94" w14:textId="7158D462" w:rsidR="00200B85" w:rsidRDefault="00200B85" w:rsidP="00200B85">
            <w:pPr>
              <w:rPr>
                <w:rFonts w:ascii="Glacial Indifference" w:hAnsi="Glacial Indifference"/>
              </w:rPr>
            </w:pPr>
            <w:r w:rsidRPr="00AC1ECC">
              <w:rPr>
                <w:rFonts w:ascii="Glacial Indifference" w:hAnsi="Glacial Indifference" w:cs="Calibri"/>
                <w:b/>
                <w:bCs/>
                <w:color w:val="000000"/>
                <w:sz w:val="22"/>
                <w:szCs w:val="22"/>
                <w:lang w:eastAsia="en-AU"/>
              </w:rPr>
              <w:t xml:space="preserve">Identification of secondary or incidental findings </w:t>
            </w:r>
            <w:r w:rsidRPr="00AC1ECC">
              <w:rPr>
                <w:rFonts w:ascii="Glacial Indifference" w:hAnsi="Glacial Indifference" w:cs="Calibri"/>
                <w:color w:val="000000"/>
                <w:sz w:val="22"/>
                <w:szCs w:val="22"/>
                <w:lang w:eastAsia="en-AU"/>
              </w:rPr>
              <w:t>- studies should report any results that were secondary to the primary carrier screening results, including the number of variants of uncertain significance if reported back to patients, or the number of homozygous, hemizygous or compound heterozygous findings that indicate that a healthy prospective parent undertaking RGCS  is at risk or affected with one of the screened conditions</w:t>
            </w:r>
          </w:p>
        </w:tc>
      </w:tr>
      <w:tr w:rsidR="00200B85" w14:paraId="0213A435" w14:textId="77777777" w:rsidTr="00DA01E1">
        <w:tc>
          <w:tcPr>
            <w:tcW w:w="1249" w:type="pct"/>
            <w:vAlign w:val="center"/>
          </w:tcPr>
          <w:p w14:paraId="3FB01C64" w14:textId="77D8ABA2"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3.1 and 3.2</w:t>
            </w:r>
          </w:p>
        </w:tc>
        <w:tc>
          <w:tcPr>
            <w:tcW w:w="3751" w:type="pct"/>
            <w:vAlign w:val="center"/>
          </w:tcPr>
          <w:p w14:paraId="623E10B4" w14:textId="4E3D65C1" w:rsidR="00200B85" w:rsidRDefault="00200B85" w:rsidP="00200B85">
            <w:pPr>
              <w:rPr>
                <w:rFonts w:ascii="Glacial Indifference" w:hAnsi="Glacial Indifference"/>
              </w:rPr>
            </w:pPr>
            <w:r w:rsidRPr="00AC1ECC">
              <w:rPr>
                <w:rFonts w:ascii="Glacial Indifference" w:hAnsi="Glacial Indifference" w:cs="Calibri"/>
                <w:b/>
                <w:bCs/>
                <w:color w:val="000000"/>
                <w:sz w:val="22"/>
                <w:szCs w:val="22"/>
                <w:lang w:eastAsia="en-AU"/>
              </w:rPr>
              <w:t xml:space="preserve">Technical laboratory outcomes </w:t>
            </w:r>
            <w:r w:rsidRPr="00AC1ECC">
              <w:rPr>
                <w:rFonts w:ascii="Glacial Indifference" w:hAnsi="Glacial Indifference" w:cs="Calibri"/>
                <w:color w:val="000000"/>
                <w:sz w:val="22"/>
                <w:szCs w:val="22"/>
                <w:lang w:eastAsia="en-AU"/>
              </w:rPr>
              <w:t xml:space="preserve"> - studies should report any technical laboratory outcomes that impact on the patient experience of RGCS and/or on the interpretation of results. This includes: laboratory errors that lead to the incorrect interpretation of results, such as sampling or contamination errors, false negatives, or false positives;  the rate of test failure as a result of insufficient or poor-quality DNA</w:t>
            </w:r>
          </w:p>
        </w:tc>
      </w:tr>
      <w:tr w:rsidR="00200B85" w14:paraId="3096AD65" w14:textId="77777777" w:rsidTr="00DA01E1">
        <w:tc>
          <w:tcPr>
            <w:tcW w:w="1249" w:type="pct"/>
            <w:vAlign w:val="center"/>
          </w:tcPr>
          <w:p w14:paraId="468F3E6D" w14:textId="2475795A"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4.1 and 4.2</w:t>
            </w:r>
          </w:p>
        </w:tc>
        <w:tc>
          <w:tcPr>
            <w:tcW w:w="3751" w:type="pct"/>
            <w:vAlign w:val="center"/>
          </w:tcPr>
          <w:p w14:paraId="005AA5C9" w14:textId="49BD3C2C" w:rsidR="00200B85" w:rsidRDefault="00200B85" w:rsidP="00200B85">
            <w:pPr>
              <w:rPr>
                <w:rFonts w:ascii="Glacial Indifference" w:hAnsi="Glacial Indifference"/>
              </w:rPr>
            </w:pPr>
            <w:r w:rsidRPr="00AC1ECC">
              <w:rPr>
                <w:rFonts w:ascii="Glacial Indifference" w:hAnsi="Glacial Indifference" w:cs="Calibri"/>
                <w:b/>
                <w:bCs/>
                <w:color w:val="000000"/>
                <w:sz w:val="22"/>
                <w:szCs w:val="22"/>
                <w:lang w:eastAsia="en-AU"/>
              </w:rPr>
              <w:t>Uptake of RGCS</w:t>
            </w:r>
            <w:r w:rsidRPr="00AC1ECC">
              <w:rPr>
                <w:rFonts w:ascii="Glacial Indifference" w:hAnsi="Glacial Indifference" w:cs="Calibri"/>
                <w:color w:val="000000"/>
                <w:sz w:val="22"/>
                <w:szCs w:val="22"/>
                <w:lang w:eastAsia="en-AU"/>
              </w:rPr>
              <w:t xml:space="preserve"> - studies should report an appropriate outcome to capture uptake within the scope of their study design. This includes: The number of patients offered RGCS; the number of patients that accept; where the two previous outcomes are not available, the number of screening tests conducted may be used as a proxy for uptake.</w:t>
            </w:r>
          </w:p>
        </w:tc>
      </w:tr>
      <w:tr w:rsidR="00200B85" w14:paraId="5CBEC06F" w14:textId="77777777" w:rsidTr="00DA01E1">
        <w:tc>
          <w:tcPr>
            <w:tcW w:w="1249" w:type="pct"/>
            <w:vAlign w:val="center"/>
          </w:tcPr>
          <w:p w14:paraId="1F86B6F7" w14:textId="7BBA52F3"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6.2, 6.4, 6.6 and 6.7</w:t>
            </w:r>
          </w:p>
        </w:tc>
        <w:tc>
          <w:tcPr>
            <w:tcW w:w="3751" w:type="pct"/>
            <w:vAlign w:val="center"/>
          </w:tcPr>
          <w:p w14:paraId="0E25D73C" w14:textId="360D34DB" w:rsidR="00200B85" w:rsidRDefault="00200B85" w:rsidP="00200B85">
            <w:pPr>
              <w:rPr>
                <w:rFonts w:ascii="Glacial Indifference" w:hAnsi="Glacial Indifference"/>
              </w:rPr>
            </w:pPr>
            <w:r w:rsidRPr="00AC1ECC">
              <w:rPr>
                <w:rFonts w:ascii="Glacial Indifference" w:hAnsi="Glacial Indifference" w:cs="Calibri"/>
                <w:b/>
                <w:bCs/>
                <w:color w:val="000000"/>
                <w:sz w:val="22"/>
                <w:szCs w:val="22"/>
                <w:lang w:eastAsia="en-AU"/>
              </w:rPr>
              <w:t xml:space="preserve">Barriers and facilitators related to uptake of further testing and reproductive decision-making - </w:t>
            </w:r>
            <w:r w:rsidRPr="00AC1ECC">
              <w:rPr>
                <w:rFonts w:ascii="Glacial Indifference" w:hAnsi="Glacial Indifference" w:cs="Calibri"/>
                <w:color w:val="000000"/>
                <w:sz w:val="22"/>
                <w:szCs w:val="22"/>
                <w:lang w:eastAsia="en-AU"/>
              </w:rPr>
              <w:t>studies should report the factors influencing reproductive decisions relevant to their study. This includes:</w:t>
            </w:r>
            <w:r w:rsidRPr="00AC1ECC">
              <w:rPr>
                <w:rFonts w:ascii="Glacial Indifference" w:hAnsi="Glacial Indifference" w:cs="Calibri"/>
                <w:color w:val="000000"/>
                <w:sz w:val="22"/>
                <w:szCs w:val="22"/>
                <w:lang w:eastAsia="en-AU"/>
              </w:rPr>
              <w:br/>
              <w:t>Uptake of partner testing (for studies with a sequential study design where one reproductive partner is screened first, followed by the other partner only if there is a carrier finding reported)</w:t>
            </w:r>
            <w:r w:rsidRPr="00AC1ECC">
              <w:rPr>
                <w:rFonts w:ascii="Glacial Indifference" w:hAnsi="Glacial Indifference" w:cs="Calibri"/>
                <w:color w:val="000000"/>
                <w:sz w:val="22"/>
                <w:szCs w:val="22"/>
                <w:lang w:eastAsia="en-AU"/>
              </w:rPr>
              <w:br/>
              <w:t>Uptake of prenatal diagnosis (CVS or amniocentesis)</w:t>
            </w:r>
            <w:r w:rsidRPr="00AC1ECC">
              <w:rPr>
                <w:rFonts w:ascii="Glacial Indifference" w:hAnsi="Glacial Indifference" w:cs="Calibri"/>
                <w:color w:val="000000"/>
                <w:sz w:val="22"/>
                <w:szCs w:val="22"/>
                <w:lang w:eastAsia="en-AU"/>
              </w:rPr>
              <w:br/>
              <w:t>Uptake of IVF with pre-implantation genetic diagnosis</w:t>
            </w:r>
          </w:p>
        </w:tc>
      </w:tr>
      <w:tr w:rsidR="00200B85" w14:paraId="521668EE" w14:textId="77777777" w:rsidTr="00DA01E1">
        <w:tc>
          <w:tcPr>
            <w:tcW w:w="1249" w:type="pct"/>
            <w:vAlign w:val="center"/>
          </w:tcPr>
          <w:p w14:paraId="1CE93F8A" w14:textId="33B183B6"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11.2, 11.3, and 11.4</w:t>
            </w:r>
          </w:p>
        </w:tc>
        <w:tc>
          <w:tcPr>
            <w:tcW w:w="3751" w:type="pct"/>
            <w:vAlign w:val="center"/>
          </w:tcPr>
          <w:p w14:paraId="3B37431C" w14:textId="3C16A1E7" w:rsidR="00200B85" w:rsidRDefault="00200B85" w:rsidP="00200B85">
            <w:pPr>
              <w:rPr>
                <w:rFonts w:ascii="Glacial Indifference" w:hAnsi="Glacial Indifference"/>
              </w:rPr>
            </w:pPr>
            <w:r w:rsidRPr="00AC1ECC">
              <w:rPr>
                <w:rFonts w:ascii="Glacial Indifference" w:hAnsi="Glacial Indifference" w:cs="Calibri"/>
                <w:b/>
                <w:bCs/>
                <w:color w:val="000000"/>
                <w:sz w:val="22"/>
                <w:szCs w:val="22"/>
                <w:lang w:eastAsia="en-AU"/>
              </w:rPr>
              <w:t>Informed choice -</w:t>
            </w:r>
            <w:r w:rsidRPr="00AC1ECC">
              <w:rPr>
                <w:rFonts w:ascii="Glacial Indifference" w:hAnsi="Glacial Indifference" w:cs="Calibri"/>
                <w:color w:val="000000"/>
                <w:sz w:val="22"/>
                <w:szCs w:val="22"/>
                <w:lang w:eastAsia="en-AU"/>
              </w:rPr>
              <w:t xml:space="preserve"> studies should assess whether patients made an informed choice to accept or decline screening</w:t>
            </w:r>
          </w:p>
        </w:tc>
      </w:tr>
      <w:tr w:rsidR="00200B85" w14:paraId="31FD42AE" w14:textId="77777777" w:rsidTr="00DA01E1">
        <w:tc>
          <w:tcPr>
            <w:tcW w:w="1249" w:type="pct"/>
            <w:vAlign w:val="center"/>
          </w:tcPr>
          <w:p w14:paraId="40C4518C" w14:textId="4B4DEB04"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 xml:space="preserve">12.1, 12.2, 12.4, 12.5, and 12.7 </w:t>
            </w:r>
          </w:p>
        </w:tc>
        <w:tc>
          <w:tcPr>
            <w:tcW w:w="3751" w:type="pct"/>
            <w:vAlign w:val="center"/>
          </w:tcPr>
          <w:p w14:paraId="46792E97" w14:textId="073DD8F7" w:rsidR="00200B85" w:rsidRDefault="00200B85" w:rsidP="00200B85">
            <w:pPr>
              <w:rPr>
                <w:rFonts w:ascii="Glacial Indifference" w:hAnsi="Glacial Indifference"/>
              </w:rPr>
            </w:pPr>
            <w:r w:rsidRPr="00AC1ECC">
              <w:rPr>
                <w:rFonts w:ascii="Glacial Indifference" w:hAnsi="Glacial Indifference" w:cs="Calibri"/>
                <w:b/>
                <w:bCs/>
                <w:color w:val="000000"/>
                <w:sz w:val="22"/>
                <w:szCs w:val="22"/>
                <w:lang w:eastAsia="en-AU"/>
              </w:rPr>
              <w:t>Goals of pre- and post-test genetic counselling</w:t>
            </w:r>
            <w:r w:rsidRPr="00AC1ECC">
              <w:rPr>
                <w:rFonts w:ascii="Glacial Indifference" w:hAnsi="Glacial Indifference" w:cs="Calibri"/>
                <w:color w:val="000000"/>
                <w:sz w:val="22"/>
                <w:szCs w:val="22"/>
                <w:lang w:eastAsia="en-AU"/>
              </w:rPr>
              <w:t xml:space="preserve"> - studies should report whether patients felt that pre- and post-test genetic counselling met their needs and expectations, including aspects such as being presented with a choice to accept or decline, whether they felt enough information was provided to make choices, whether the manner of the healthcare provider was empathetic and appropriate, whether the healthcare provider was accessible, and whether the healthcare provider </w:t>
            </w:r>
            <w:proofErr w:type="spellStart"/>
            <w:r w:rsidRPr="00AC1ECC">
              <w:rPr>
                <w:rFonts w:ascii="Glacial Indifference" w:hAnsi="Glacial Indifference" w:cs="Calibri"/>
                <w:color w:val="000000"/>
                <w:sz w:val="22"/>
                <w:szCs w:val="22"/>
                <w:lang w:eastAsia="en-AU"/>
              </w:rPr>
              <w:t>faciliated</w:t>
            </w:r>
            <w:proofErr w:type="spellEnd"/>
            <w:r w:rsidRPr="00AC1ECC">
              <w:rPr>
                <w:rFonts w:ascii="Glacial Indifference" w:hAnsi="Glacial Indifference" w:cs="Calibri"/>
                <w:color w:val="000000"/>
                <w:sz w:val="22"/>
                <w:szCs w:val="22"/>
                <w:lang w:eastAsia="en-AU"/>
              </w:rPr>
              <w:t xml:space="preserve"> an understanding of reproductive choices and encouraged a sense of confidence and empowerment</w:t>
            </w:r>
          </w:p>
        </w:tc>
      </w:tr>
      <w:tr w:rsidR="00200B85" w14:paraId="306B6FBE" w14:textId="77777777" w:rsidTr="00DA01E1">
        <w:tc>
          <w:tcPr>
            <w:tcW w:w="1249" w:type="pct"/>
            <w:vAlign w:val="center"/>
          </w:tcPr>
          <w:p w14:paraId="5BF3CF4C" w14:textId="6AB92D68"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16.1 and 16.2</w:t>
            </w:r>
          </w:p>
        </w:tc>
        <w:tc>
          <w:tcPr>
            <w:tcW w:w="3751" w:type="pct"/>
            <w:vAlign w:val="center"/>
          </w:tcPr>
          <w:p w14:paraId="33647864" w14:textId="5D0FD907" w:rsidR="00200B85" w:rsidRDefault="00200B85" w:rsidP="00200B85">
            <w:pPr>
              <w:rPr>
                <w:rFonts w:ascii="Glacial Indifference" w:hAnsi="Glacial Indifference"/>
              </w:rPr>
            </w:pPr>
            <w:r w:rsidRPr="00AC1ECC">
              <w:rPr>
                <w:rFonts w:ascii="Glacial Indifference" w:hAnsi="Glacial Indifference" w:cs="Calibri"/>
                <w:b/>
                <w:bCs/>
                <w:sz w:val="22"/>
                <w:szCs w:val="22"/>
                <w:lang w:eastAsia="en-AU"/>
              </w:rPr>
              <w:t>Decisional satisfaction or regret related to RGCS</w:t>
            </w:r>
            <w:r w:rsidRPr="00AC1ECC">
              <w:rPr>
                <w:rFonts w:ascii="Glacial Indifference" w:hAnsi="Glacial Indifference" w:cs="Calibri"/>
                <w:sz w:val="22"/>
                <w:szCs w:val="22"/>
                <w:lang w:eastAsia="en-AU"/>
              </w:rPr>
              <w:t xml:space="preserve"> - studies should report longitudinal (long-term) assessment of patients satisfaction or regret associated with their decision to accept or decline RGCS, and associated with decisions they made based on RGCS results such as undertaking prenatal diagnosis, terminating an affected pregnancy, or accessing IVF</w:t>
            </w:r>
          </w:p>
        </w:tc>
      </w:tr>
      <w:tr w:rsidR="00200B85" w14:paraId="4D0B8EB3" w14:textId="77777777" w:rsidTr="00DA01E1">
        <w:tc>
          <w:tcPr>
            <w:tcW w:w="1249" w:type="pct"/>
            <w:vAlign w:val="center"/>
          </w:tcPr>
          <w:p w14:paraId="24AA9694" w14:textId="4405D11C" w:rsidR="00200B85" w:rsidRDefault="00200B85" w:rsidP="00200B85">
            <w:pPr>
              <w:rPr>
                <w:rFonts w:ascii="Glacial Indifference" w:hAnsi="Glacial Indifference"/>
              </w:rPr>
            </w:pPr>
            <w:r w:rsidRPr="00AC1ECC">
              <w:rPr>
                <w:rFonts w:ascii="Glacial Indifference" w:hAnsi="Glacial Indifference" w:cs="Calibri"/>
                <w:color w:val="000000"/>
                <w:sz w:val="22"/>
                <w:szCs w:val="22"/>
                <w:lang w:eastAsia="en-AU"/>
              </w:rPr>
              <w:t>1.1 and 1.2</w:t>
            </w:r>
          </w:p>
        </w:tc>
        <w:tc>
          <w:tcPr>
            <w:tcW w:w="3751" w:type="pct"/>
            <w:vAlign w:val="center"/>
          </w:tcPr>
          <w:p w14:paraId="3F5F7B57" w14:textId="2E340AC5" w:rsidR="00200B85" w:rsidRDefault="00200B85" w:rsidP="00200B85">
            <w:pPr>
              <w:rPr>
                <w:rFonts w:ascii="Glacial Indifference" w:hAnsi="Glacial Indifference"/>
              </w:rPr>
            </w:pPr>
            <w:r w:rsidRPr="00AC1ECC">
              <w:rPr>
                <w:rFonts w:ascii="Glacial Indifference" w:hAnsi="Glacial Indifference" w:cs="Calibri"/>
                <w:b/>
                <w:bCs/>
                <w:sz w:val="22"/>
                <w:szCs w:val="22"/>
                <w:lang w:eastAsia="en-AU"/>
              </w:rPr>
              <w:t>Carrier and couple detection rates -</w:t>
            </w:r>
            <w:r w:rsidRPr="00AC1ECC">
              <w:rPr>
                <w:rFonts w:ascii="Glacial Indifference" w:hAnsi="Glacial Indifference" w:cs="Calibri"/>
                <w:sz w:val="22"/>
                <w:szCs w:val="22"/>
                <w:lang w:eastAsia="en-AU"/>
              </w:rPr>
              <w:t xml:space="preserve"> studies should report the number of heterozygous carriers identified and/or the number of increased risk couples identified as appropriate for the study design</w:t>
            </w:r>
          </w:p>
        </w:tc>
      </w:tr>
    </w:tbl>
    <w:p w14:paraId="27F10A46" w14:textId="77777777" w:rsidR="00B30D50" w:rsidRDefault="00B30D50" w:rsidP="00700F7C">
      <w:pPr>
        <w:pStyle w:val="H2"/>
        <w:rPr>
          <w:rFonts w:ascii="Glacial Indifference" w:hAnsi="Glacial Indifference"/>
          <w:color w:val="auto"/>
          <w:sz w:val="24"/>
          <w:szCs w:val="24"/>
        </w:rPr>
      </w:pPr>
    </w:p>
    <w:p w14:paraId="632E1056" w14:textId="5C9BCAEB" w:rsidR="00DB7E50" w:rsidRDefault="00A0057B">
      <w:pPr>
        <w:rPr>
          <w:rFonts w:ascii="Glacial Indifference" w:hAnsi="Glacial Indifference"/>
          <w:b/>
          <w:bCs/>
        </w:rPr>
      </w:pPr>
      <w:r>
        <w:rPr>
          <w:rFonts w:ascii="Glacial Indifference" w:hAnsi="Glacial Indifference" w:cs="Arial"/>
          <w:b/>
          <w:bCs/>
        </w:rPr>
        <w:lastRenderedPageBreak/>
        <w:t>Supplementary material</w:t>
      </w:r>
      <w:r w:rsidRPr="00AC1ECC">
        <w:rPr>
          <w:rFonts w:ascii="Glacial Indifference" w:hAnsi="Glacial Indifference" w:cs="Arial"/>
          <w:b/>
          <w:bCs/>
        </w:rPr>
        <w:t xml:space="preserve"> </w:t>
      </w:r>
      <w:r w:rsidR="00A678B9" w:rsidRPr="00A678B9">
        <w:rPr>
          <w:rFonts w:ascii="Glacial Indifference" w:hAnsi="Glacial Indifference"/>
          <w:b/>
          <w:bCs/>
        </w:rPr>
        <w:t>D.11</w:t>
      </w:r>
      <w:r w:rsidR="00937933" w:rsidRPr="00A678B9">
        <w:rPr>
          <w:rFonts w:ascii="Glacial Indifference" w:hAnsi="Glacial Indifference"/>
          <w:b/>
          <w:bCs/>
        </w:rPr>
        <w:t>: List of outcomes per tier following Round 2</w:t>
      </w:r>
    </w:p>
    <w:p w14:paraId="5FC47E86" w14:textId="77777777" w:rsidR="007A3917" w:rsidRPr="00A678B9" w:rsidRDefault="007A3917">
      <w:pPr>
        <w:rPr>
          <w:rFonts w:ascii="Glacial Indifference" w:hAnsi="Glacial Indifference"/>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359"/>
        <w:gridCol w:w="6916"/>
      </w:tblGrid>
      <w:tr w:rsidR="00937933" w:rsidRPr="00937933" w14:paraId="4D018BBC" w14:textId="77777777" w:rsidTr="00AA0363">
        <w:trPr>
          <w:trHeight w:val="300"/>
        </w:trPr>
        <w:tc>
          <w:tcPr>
            <w:tcW w:w="1296" w:type="pct"/>
            <w:shd w:val="clear" w:color="auto" w:fill="23282D" w:themeFill="text1" w:themeFillShade="BF"/>
            <w:noWrap/>
            <w:vAlign w:val="center"/>
          </w:tcPr>
          <w:p w14:paraId="66220991" w14:textId="50982686" w:rsidR="00937933" w:rsidRPr="00937933" w:rsidRDefault="00937933" w:rsidP="00937933">
            <w:pPr>
              <w:jc w:val="center"/>
              <w:rPr>
                <w:rFonts w:ascii="Glacial Indifference" w:hAnsi="Glacial Indifference"/>
                <w:b/>
                <w:bCs/>
                <w:sz w:val="22"/>
                <w:szCs w:val="22"/>
              </w:rPr>
            </w:pPr>
            <w:r w:rsidRPr="00937933">
              <w:rPr>
                <w:rFonts w:ascii="Glacial Indifference" w:hAnsi="Glacial Indifference"/>
                <w:b/>
                <w:bCs/>
                <w:sz w:val="22"/>
                <w:szCs w:val="22"/>
              </w:rPr>
              <w:t>Outcome ID and description</w:t>
            </w:r>
          </w:p>
        </w:tc>
        <w:tc>
          <w:tcPr>
            <w:tcW w:w="3704" w:type="pct"/>
            <w:gridSpan w:val="2"/>
            <w:shd w:val="clear" w:color="auto" w:fill="23282D" w:themeFill="text1" w:themeFillShade="BF"/>
            <w:noWrap/>
            <w:vAlign w:val="center"/>
          </w:tcPr>
          <w:p w14:paraId="42D5FA42" w14:textId="5AC1599D" w:rsidR="00937933" w:rsidRPr="00937933" w:rsidRDefault="00937933" w:rsidP="00937933">
            <w:pPr>
              <w:jc w:val="center"/>
              <w:rPr>
                <w:rFonts w:ascii="Glacial Indifference" w:hAnsi="Glacial Indifference"/>
                <w:b/>
                <w:bCs/>
                <w:sz w:val="22"/>
                <w:szCs w:val="22"/>
              </w:rPr>
            </w:pPr>
            <w:r w:rsidRPr="00937933">
              <w:rPr>
                <w:rFonts w:ascii="Glacial Indifference" w:hAnsi="Glacial Indifference"/>
                <w:b/>
                <w:bCs/>
                <w:sz w:val="22"/>
                <w:szCs w:val="22"/>
              </w:rPr>
              <w:t>Outcome details</w:t>
            </w:r>
          </w:p>
        </w:tc>
      </w:tr>
      <w:tr w:rsidR="00937933" w:rsidRPr="00937933" w14:paraId="460C1321" w14:textId="77777777" w:rsidTr="00AA0363">
        <w:trPr>
          <w:trHeight w:val="300"/>
        </w:trPr>
        <w:tc>
          <w:tcPr>
            <w:tcW w:w="5000" w:type="pct"/>
            <w:gridSpan w:val="3"/>
            <w:shd w:val="clear" w:color="auto" w:fill="A4AEB9" w:themeFill="text1" w:themeFillTint="66"/>
            <w:noWrap/>
            <w:vAlign w:val="center"/>
          </w:tcPr>
          <w:p w14:paraId="5C83C43C" w14:textId="44768E75" w:rsidR="00937933" w:rsidRPr="00937933" w:rsidRDefault="00937933" w:rsidP="00937933">
            <w:pPr>
              <w:jc w:val="center"/>
              <w:rPr>
                <w:rFonts w:ascii="Glacial Indifference" w:hAnsi="Glacial Indifference"/>
                <w:b/>
                <w:bCs/>
                <w:sz w:val="22"/>
                <w:szCs w:val="22"/>
              </w:rPr>
            </w:pPr>
            <w:r w:rsidRPr="00937933">
              <w:rPr>
                <w:rFonts w:ascii="Glacial Indifference" w:hAnsi="Glacial Indifference"/>
                <w:b/>
                <w:bCs/>
                <w:sz w:val="22"/>
                <w:szCs w:val="22"/>
              </w:rPr>
              <w:t>Tier 1</w:t>
            </w:r>
          </w:p>
        </w:tc>
      </w:tr>
      <w:tr w:rsidR="00937933" w:rsidRPr="00937933" w14:paraId="417B54CC" w14:textId="77777777" w:rsidTr="00AA0363">
        <w:trPr>
          <w:trHeight w:val="300"/>
        </w:trPr>
        <w:tc>
          <w:tcPr>
            <w:tcW w:w="1408" w:type="pct"/>
            <w:gridSpan w:val="2"/>
            <w:shd w:val="clear" w:color="auto" w:fill="auto"/>
            <w:noWrap/>
            <w:vAlign w:val="center"/>
            <w:hideMark/>
          </w:tcPr>
          <w:p w14:paraId="1C1920CE" w14:textId="7DC78D19"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 </w:t>
            </w:r>
            <w:r w:rsidRPr="00937933">
              <w:rPr>
                <w:rFonts w:ascii="Glacial Indifference" w:hAnsi="Glacial Indifference"/>
                <w:sz w:val="22"/>
                <w:szCs w:val="22"/>
              </w:rPr>
              <w:t xml:space="preserve">Carrier and couple detection rates </w:t>
            </w:r>
          </w:p>
        </w:tc>
        <w:tc>
          <w:tcPr>
            <w:tcW w:w="3592" w:type="pct"/>
            <w:shd w:val="clear" w:color="auto" w:fill="auto"/>
            <w:noWrap/>
            <w:vAlign w:val="center"/>
            <w:hideMark/>
          </w:tcPr>
          <w:p w14:paraId="0B0C3B4E"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Carrier and couple detection rates - studies should report the number of heterozygous carriers identified and/or the number of increased risk couples identified as appropriate for the study design</w:t>
            </w:r>
          </w:p>
        </w:tc>
      </w:tr>
      <w:tr w:rsidR="00937933" w:rsidRPr="00937933" w14:paraId="1265ABCA" w14:textId="77777777" w:rsidTr="00AA0363">
        <w:trPr>
          <w:trHeight w:val="300"/>
        </w:trPr>
        <w:tc>
          <w:tcPr>
            <w:tcW w:w="1408" w:type="pct"/>
            <w:gridSpan w:val="2"/>
            <w:shd w:val="clear" w:color="auto" w:fill="auto"/>
            <w:noWrap/>
            <w:vAlign w:val="center"/>
            <w:hideMark/>
          </w:tcPr>
          <w:p w14:paraId="0CF1A321" w14:textId="2061A6A5" w:rsidR="00937933" w:rsidRPr="00937933" w:rsidRDefault="00937933">
            <w:pPr>
              <w:rPr>
                <w:rFonts w:ascii="Glacial Indifference" w:hAnsi="Glacial Indifference"/>
                <w:sz w:val="22"/>
                <w:szCs w:val="22"/>
              </w:rPr>
            </w:pPr>
            <w:r>
              <w:rPr>
                <w:rFonts w:ascii="Glacial Indifference" w:hAnsi="Glacial Indifference"/>
                <w:sz w:val="22"/>
                <w:szCs w:val="22"/>
              </w:rPr>
              <w:t xml:space="preserve">5. </w:t>
            </w:r>
            <w:r w:rsidRPr="00937933">
              <w:rPr>
                <w:rFonts w:ascii="Glacial Indifference" w:hAnsi="Glacial Indifference"/>
                <w:sz w:val="22"/>
                <w:szCs w:val="22"/>
              </w:rPr>
              <w:t>Uptake of post-test genetic counselling</w:t>
            </w:r>
          </w:p>
        </w:tc>
        <w:tc>
          <w:tcPr>
            <w:tcW w:w="3592" w:type="pct"/>
            <w:shd w:val="clear" w:color="auto" w:fill="auto"/>
            <w:noWrap/>
            <w:vAlign w:val="center"/>
            <w:hideMark/>
          </w:tcPr>
          <w:p w14:paraId="2D0BD2BA"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Uptake of post-test genetic counselling for increased risk couples - for studies where RGCS is offered by a non-genetics health professional (GP, midwife or maternal fetal specialist), studies should report the number of increased risk couples that accepted an offer of post-test counselling with a genetic health professional (genetic counsellor or clinical geneticist).</w:t>
            </w:r>
          </w:p>
        </w:tc>
      </w:tr>
      <w:tr w:rsidR="00937933" w:rsidRPr="00937933" w14:paraId="2B0AA8FF" w14:textId="77777777" w:rsidTr="00AA0363">
        <w:trPr>
          <w:trHeight w:val="300"/>
        </w:trPr>
        <w:tc>
          <w:tcPr>
            <w:tcW w:w="1408" w:type="pct"/>
            <w:gridSpan w:val="2"/>
            <w:shd w:val="clear" w:color="auto" w:fill="auto"/>
            <w:noWrap/>
            <w:vAlign w:val="center"/>
            <w:hideMark/>
          </w:tcPr>
          <w:p w14:paraId="73B7218B" w14:textId="3BFB7308" w:rsidR="00937933" w:rsidRPr="00937933" w:rsidRDefault="00937933">
            <w:pPr>
              <w:rPr>
                <w:rFonts w:ascii="Glacial Indifference" w:hAnsi="Glacial Indifference"/>
                <w:sz w:val="22"/>
                <w:szCs w:val="22"/>
              </w:rPr>
            </w:pPr>
            <w:r>
              <w:rPr>
                <w:rFonts w:ascii="Glacial Indifference" w:hAnsi="Glacial Indifference"/>
                <w:sz w:val="22"/>
                <w:szCs w:val="22"/>
              </w:rPr>
              <w:t xml:space="preserve">6.1 </w:t>
            </w:r>
            <w:r w:rsidRPr="00937933">
              <w:rPr>
                <w:rFonts w:ascii="Glacial Indifference" w:hAnsi="Glacial Indifference"/>
                <w:sz w:val="22"/>
                <w:szCs w:val="22"/>
              </w:rPr>
              <w:t xml:space="preserve">Uptake of partner testing </w:t>
            </w:r>
          </w:p>
        </w:tc>
        <w:tc>
          <w:tcPr>
            <w:tcW w:w="3592" w:type="pct"/>
            <w:shd w:val="clear" w:color="auto" w:fill="auto"/>
            <w:noWrap/>
            <w:vAlign w:val="center"/>
            <w:hideMark/>
          </w:tcPr>
          <w:p w14:paraId="538ECCFA"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Uptake of partner testing - For studies where RGCS is offered sequentially (one reproductive partner screened first, followed by the other partner only if there is a carrier finding reported), studies should report the number of patients who elect to test their reproductive partner when they are found to be a carrier of a recessive condition.</w:t>
            </w:r>
          </w:p>
        </w:tc>
      </w:tr>
      <w:tr w:rsidR="00937933" w:rsidRPr="00937933" w14:paraId="560EC433" w14:textId="77777777" w:rsidTr="00AA0363">
        <w:trPr>
          <w:trHeight w:val="300"/>
        </w:trPr>
        <w:tc>
          <w:tcPr>
            <w:tcW w:w="1408" w:type="pct"/>
            <w:gridSpan w:val="2"/>
            <w:shd w:val="clear" w:color="auto" w:fill="auto"/>
            <w:noWrap/>
            <w:vAlign w:val="center"/>
            <w:hideMark/>
          </w:tcPr>
          <w:p w14:paraId="112A20BD" w14:textId="05289994" w:rsidR="00937933" w:rsidRPr="00937933" w:rsidRDefault="00937933">
            <w:pPr>
              <w:rPr>
                <w:rFonts w:ascii="Glacial Indifference" w:hAnsi="Glacial Indifference"/>
                <w:sz w:val="22"/>
                <w:szCs w:val="22"/>
              </w:rPr>
            </w:pPr>
            <w:r>
              <w:rPr>
                <w:rFonts w:ascii="Glacial Indifference" w:hAnsi="Glacial Indifference"/>
                <w:sz w:val="22"/>
                <w:szCs w:val="22"/>
              </w:rPr>
              <w:t xml:space="preserve">6.2 </w:t>
            </w:r>
            <w:r w:rsidRPr="00937933">
              <w:rPr>
                <w:rFonts w:ascii="Glacial Indifference" w:hAnsi="Glacial Indifference"/>
                <w:sz w:val="22"/>
                <w:szCs w:val="22"/>
              </w:rPr>
              <w:t xml:space="preserve">Uptake of prenatal diagnosis </w:t>
            </w:r>
          </w:p>
        </w:tc>
        <w:tc>
          <w:tcPr>
            <w:tcW w:w="3592" w:type="pct"/>
            <w:shd w:val="clear" w:color="auto" w:fill="auto"/>
            <w:noWrap/>
            <w:vAlign w:val="center"/>
            <w:hideMark/>
          </w:tcPr>
          <w:p w14:paraId="1836AF21"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Uptake of prenatal diagnosis - studies should report the number of patients that accept and decline prenatal diagnosis (CVS or amniocentesis) to determine the genetic status of an at-risk pregnancy following an increased risk result from RGCS.</w:t>
            </w:r>
          </w:p>
        </w:tc>
      </w:tr>
      <w:tr w:rsidR="00937933" w:rsidRPr="00937933" w14:paraId="36899DFC" w14:textId="77777777" w:rsidTr="00AA0363">
        <w:trPr>
          <w:trHeight w:val="300"/>
        </w:trPr>
        <w:tc>
          <w:tcPr>
            <w:tcW w:w="1408" w:type="pct"/>
            <w:gridSpan w:val="2"/>
            <w:shd w:val="clear" w:color="auto" w:fill="auto"/>
            <w:noWrap/>
            <w:vAlign w:val="center"/>
            <w:hideMark/>
          </w:tcPr>
          <w:p w14:paraId="2F4D802D" w14:textId="6CAC574E" w:rsidR="00937933" w:rsidRPr="00937933" w:rsidRDefault="00937933">
            <w:pPr>
              <w:rPr>
                <w:rFonts w:ascii="Glacial Indifference" w:hAnsi="Glacial Indifference"/>
                <w:sz w:val="22"/>
                <w:szCs w:val="22"/>
              </w:rPr>
            </w:pPr>
            <w:r>
              <w:rPr>
                <w:rFonts w:ascii="Glacial Indifference" w:hAnsi="Glacial Indifference"/>
                <w:sz w:val="22"/>
                <w:szCs w:val="22"/>
              </w:rPr>
              <w:t xml:space="preserve">6.5 </w:t>
            </w:r>
            <w:r w:rsidRPr="00937933">
              <w:rPr>
                <w:rFonts w:ascii="Glacial Indifference" w:hAnsi="Glacial Indifference"/>
                <w:sz w:val="22"/>
                <w:szCs w:val="22"/>
              </w:rPr>
              <w:t>Reproductive decisions following an increased risk result</w:t>
            </w:r>
          </w:p>
        </w:tc>
        <w:tc>
          <w:tcPr>
            <w:tcW w:w="3592" w:type="pct"/>
            <w:shd w:val="clear" w:color="auto" w:fill="auto"/>
            <w:noWrap/>
            <w:vAlign w:val="bottom"/>
            <w:hideMark/>
          </w:tcPr>
          <w:p w14:paraId="4B3B14D1"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Reproductive decisions following an increased risk result - studies should report the reproductive decisions made by patients based on RGCS, including the decision to continue or terminate a pregnancy determined to be affected through prenatal diagnosis, uptake of IVF with PGD in future pregnancies, decision to proceed with natural conception and test future pregnancies, the decision to not have children or have a smaller family than initially planned, use of an egg or sperm donor.</w:t>
            </w:r>
          </w:p>
        </w:tc>
      </w:tr>
      <w:tr w:rsidR="00937933" w:rsidRPr="00937933" w14:paraId="2D8152D3" w14:textId="77777777" w:rsidTr="00AA0363">
        <w:trPr>
          <w:trHeight w:val="300"/>
        </w:trPr>
        <w:tc>
          <w:tcPr>
            <w:tcW w:w="1408" w:type="pct"/>
            <w:gridSpan w:val="2"/>
            <w:shd w:val="clear" w:color="auto" w:fill="auto"/>
            <w:noWrap/>
            <w:vAlign w:val="center"/>
            <w:hideMark/>
          </w:tcPr>
          <w:p w14:paraId="0AF915B7" w14:textId="2C34777E" w:rsidR="00937933" w:rsidRPr="00937933" w:rsidRDefault="00937933">
            <w:pPr>
              <w:rPr>
                <w:rFonts w:ascii="Glacial Indifference" w:hAnsi="Glacial Indifference"/>
                <w:sz w:val="22"/>
                <w:szCs w:val="22"/>
              </w:rPr>
            </w:pPr>
            <w:r>
              <w:rPr>
                <w:rFonts w:ascii="Glacial Indifference" w:hAnsi="Glacial Indifference"/>
                <w:sz w:val="22"/>
                <w:szCs w:val="22"/>
              </w:rPr>
              <w:t xml:space="preserve">7.3 </w:t>
            </w:r>
            <w:r w:rsidRPr="00937933">
              <w:rPr>
                <w:rFonts w:ascii="Glacial Indifference" w:hAnsi="Glacial Indifference"/>
                <w:sz w:val="22"/>
                <w:szCs w:val="22"/>
              </w:rPr>
              <w:t xml:space="preserve">Decision to continue or terminate a pregnancy identified to be affected through prenatal diagnosis </w:t>
            </w:r>
          </w:p>
        </w:tc>
        <w:tc>
          <w:tcPr>
            <w:tcW w:w="3592" w:type="pct"/>
            <w:shd w:val="clear" w:color="auto" w:fill="auto"/>
            <w:noWrap/>
            <w:vAlign w:val="center"/>
            <w:hideMark/>
          </w:tcPr>
          <w:p w14:paraId="10C2B2B9"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Decision to continue or terminate a pregnancy identified to be affected through prenatal diagnosis - studies should report the number of affected pregnancies that were terminated following results of prenatal diagnosis.</w:t>
            </w:r>
          </w:p>
        </w:tc>
      </w:tr>
      <w:tr w:rsidR="00937933" w:rsidRPr="00937933" w14:paraId="12A427F6" w14:textId="77777777" w:rsidTr="00AA0363">
        <w:trPr>
          <w:trHeight w:val="300"/>
        </w:trPr>
        <w:tc>
          <w:tcPr>
            <w:tcW w:w="1408" w:type="pct"/>
            <w:gridSpan w:val="2"/>
            <w:shd w:val="clear" w:color="auto" w:fill="auto"/>
            <w:noWrap/>
            <w:vAlign w:val="center"/>
            <w:hideMark/>
          </w:tcPr>
          <w:p w14:paraId="768F48EA" w14:textId="5AB0D8E0"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16.1 </w:t>
            </w:r>
            <w:r w:rsidRPr="00937933">
              <w:rPr>
                <w:rFonts w:ascii="Glacial Indifference" w:hAnsi="Glacial Indifference"/>
                <w:sz w:val="22"/>
                <w:szCs w:val="22"/>
              </w:rPr>
              <w:t xml:space="preserve">Reproductive empowerment </w:t>
            </w:r>
          </w:p>
        </w:tc>
        <w:tc>
          <w:tcPr>
            <w:tcW w:w="3592" w:type="pct"/>
            <w:shd w:val="clear" w:color="auto" w:fill="auto"/>
            <w:noWrap/>
            <w:vAlign w:val="center"/>
            <w:hideMark/>
          </w:tcPr>
          <w:p w14:paraId="71ED41F9"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Reproductive empowerment - studies should report how empowered patients felt to make reproductive decisions that are right for them following RGCS.</w:t>
            </w:r>
          </w:p>
        </w:tc>
      </w:tr>
      <w:tr w:rsidR="00937933" w:rsidRPr="00937933" w14:paraId="379680C7" w14:textId="77777777" w:rsidTr="00AA0363">
        <w:trPr>
          <w:trHeight w:val="300"/>
        </w:trPr>
        <w:tc>
          <w:tcPr>
            <w:tcW w:w="1408" w:type="pct"/>
            <w:gridSpan w:val="2"/>
            <w:shd w:val="clear" w:color="auto" w:fill="auto"/>
            <w:noWrap/>
            <w:vAlign w:val="center"/>
            <w:hideMark/>
          </w:tcPr>
          <w:p w14:paraId="47D115E3" w14:textId="1A94D4B5"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16.2 </w:t>
            </w:r>
            <w:r w:rsidRPr="00937933">
              <w:rPr>
                <w:rFonts w:ascii="Glacial Indifference" w:hAnsi="Glacial Indifference"/>
                <w:sz w:val="22"/>
                <w:szCs w:val="22"/>
              </w:rPr>
              <w:t xml:space="preserve">Affected individuals born to patients that accessed RGCS </w:t>
            </w:r>
          </w:p>
        </w:tc>
        <w:tc>
          <w:tcPr>
            <w:tcW w:w="3592" w:type="pct"/>
            <w:shd w:val="clear" w:color="auto" w:fill="auto"/>
            <w:noWrap/>
            <w:vAlign w:val="center"/>
            <w:hideMark/>
          </w:tcPr>
          <w:p w14:paraId="3B417497"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 xml:space="preserve">Affected individuals born to patients that accessed RGCS - studies should report on the number of affected individuals born to patients that accessed </w:t>
            </w:r>
            <w:proofErr w:type="spellStart"/>
            <w:r w:rsidRPr="00937933">
              <w:rPr>
                <w:rFonts w:ascii="Glacial Indifference" w:hAnsi="Glacial Indifference"/>
                <w:sz w:val="22"/>
                <w:szCs w:val="22"/>
              </w:rPr>
              <w:t>RGCS.This</w:t>
            </w:r>
            <w:proofErr w:type="spellEnd"/>
            <w:r w:rsidRPr="00937933">
              <w:rPr>
                <w:rFonts w:ascii="Glacial Indifference" w:hAnsi="Glacial Indifference"/>
                <w:sz w:val="22"/>
                <w:szCs w:val="22"/>
              </w:rPr>
              <w:t xml:space="preserve"> may be because parents chose to proceed with a pregnancy known to be affected, may have been aware of increased risk but chose not to test during the pregnancy, or because of a laboratory error that missed identifying an increased risk.</w:t>
            </w:r>
          </w:p>
        </w:tc>
      </w:tr>
      <w:tr w:rsidR="00937933" w:rsidRPr="00937933" w14:paraId="392D9277" w14:textId="77777777" w:rsidTr="00AA0363">
        <w:trPr>
          <w:trHeight w:val="300"/>
        </w:trPr>
        <w:tc>
          <w:tcPr>
            <w:tcW w:w="5000" w:type="pct"/>
            <w:gridSpan w:val="3"/>
            <w:shd w:val="clear" w:color="auto" w:fill="A4AEB9" w:themeFill="text1" w:themeFillTint="66"/>
            <w:noWrap/>
            <w:vAlign w:val="center"/>
          </w:tcPr>
          <w:p w14:paraId="6A682A59" w14:textId="2C4E7CB0" w:rsidR="00937933" w:rsidRPr="00937933" w:rsidRDefault="00937933" w:rsidP="00937933">
            <w:pPr>
              <w:jc w:val="center"/>
              <w:rPr>
                <w:rFonts w:ascii="Glacial Indifference" w:hAnsi="Glacial Indifference"/>
                <w:b/>
                <w:bCs/>
                <w:sz w:val="22"/>
                <w:szCs w:val="22"/>
              </w:rPr>
            </w:pPr>
            <w:r w:rsidRPr="00937933">
              <w:rPr>
                <w:rFonts w:ascii="Glacial Indifference" w:hAnsi="Glacial Indifference"/>
                <w:b/>
                <w:bCs/>
                <w:sz w:val="22"/>
                <w:szCs w:val="22"/>
              </w:rPr>
              <w:t>Tier 2</w:t>
            </w:r>
          </w:p>
        </w:tc>
      </w:tr>
      <w:tr w:rsidR="00937933" w:rsidRPr="00937933" w14:paraId="6DCC9E1D" w14:textId="77777777" w:rsidTr="00AA0363">
        <w:trPr>
          <w:trHeight w:val="300"/>
        </w:trPr>
        <w:tc>
          <w:tcPr>
            <w:tcW w:w="1408" w:type="pct"/>
            <w:gridSpan w:val="2"/>
            <w:shd w:val="clear" w:color="auto" w:fill="auto"/>
            <w:noWrap/>
            <w:vAlign w:val="center"/>
            <w:hideMark/>
          </w:tcPr>
          <w:p w14:paraId="0DDF4765" w14:textId="3F74D50D" w:rsidR="00937933" w:rsidRPr="00937933" w:rsidRDefault="00937933">
            <w:pPr>
              <w:rPr>
                <w:rFonts w:ascii="Glacial Indifference" w:hAnsi="Glacial Indifference"/>
                <w:sz w:val="22"/>
                <w:szCs w:val="22"/>
              </w:rPr>
            </w:pPr>
            <w:r>
              <w:rPr>
                <w:rFonts w:ascii="Glacial Indifference" w:hAnsi="Glacial Indifference"/>
                <w:sz w:val="22"/>
                <w:szCs w:val="22"/>
              </w:rPr>
              <w:t xml:space="preserve">6.3 </w:t>
            </w:r>
            <w:r w:rsidRPr="00937933">
              <w:rPr>
                <w:rFonts w:ascii="Glacial Indifference" w:hAnsi="Glacial Indifference"/>
                <w:sz w:val="22"/>
                <w:szCs w:val="22"/>
              </w:rPr>
              <w:t>Barriers and facilitators related to further testing and reproductive decision</w:t>
            </w:r>
          </w:p>
        </w:tc>
        <w:tc>
          <w:tcPr>
            <w:tcW w:w="3592" w:type="pct"/>
            <w:shd w:val="clear" w:color="auto" w:fill="auto"/>
            <w:noWrap/>
            <w:vAlign w:val="center"/>
            <w:hideMark/>
          </w:tcPr>
          <w:p w14:paraId="49C295C7"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Barriers and facilitators related to further testing and reproductive decision-making - studies should report the factors influencing reproductive decisions relevant to their study. This includes:</w:t>
            </w:r>
            <w:r w:rsidRPr="00937933">
              <w:rPr>
                <w:rFonts w:ascii="Glacial Indifference" w:hAnsi="Glacial Indifference"/>
                <w:sz w:val="22"/>
                <w:szCs w:val="22"/>
              </w:rPr>
              <w:br/>
            </w:r>
            <w:r w:rsidRPr="00937933">
              <w:rPr>
                <w:rFonts w:ascii="Glacial Indifference" w:hAnsi="Glacial Indifference"/>
                <w:sz w:val="22"/>
                <w:szCs w:val="22"/>
              </w:rPr>
              <w:br/>
              <w:t>Uptake of partner testing (for studies with a sequential study design where one reproductive partner is screened first, followed by the other partner only if there is a carrier finding reported)</w:t>
            </w:r>
            <w:r w:rsidRPr="00937933">
              <w:rPr>
                <w:rFonts w:ascii="Glacial Indifference" w:hAnsi="Glacial Indifference"/>
                <w:sz w:val="22"/>
                <w:szCs w:val="22"/>
              </w:rPr>
              <w:br/>
            </w:r>
            <w:r w:rsidRPr="00937933">
              <w:rPr>
                <w:rFonts w:ascii="Glacial Indifference" w:hAnsi="Glacial Indifference"/>
                <w:sz w:val="22"/>
                <w:szCs w:val="22"/>
              </w:rPr>
              <w:lastRenderedPageBreak/>
              <w:t>Uptake of prenatal diagnosis (CVS or amniocentesis)</w:t>
            </w:r>
            <w:r w:rsidRPr="00937933">
              <w:rPr>
                <w:rFonts w:ascii="Glacial Indifference" w:hAnsi="Glacial Indifference"/>
                <w:sz w:val="22"/>
                <w:szCs w:val="22"/>
              </w:rPr>
              <w:br/>
              <w:t>Uptake of IVF with pre-implantation genetic diagnosis</w:t>
            </w:r>
          </w:p>
        </w:tc>
      </w:tr>
      <w:tr w:rsidR="00937933" w:rsidRPr="00937933" w14:paraId="54900E38" w14:textId="77777777" w:rsidTr="00AA0363">
        <w:trPr>
          <w:trHeight w:val="300"/>
        </w:trPr>
        <w:tc>
          <w:tcPr>
            <w:tcW w:w="1408" w:type="pct"/>
            <w:gridSpan w:val="2"/>
            <w:shd w:val="clear" w:color="auto" w:fill="auto"/>
            <w:noWrap/>
            <w:vAlign w:val="center"/>
            <w:hideMark/>
          </w:tcPr>
          <w:p w14:paraId="2BC5CB21" w14:textId="45DE2685" w:rsidR="00937933" w:rsidRPr="00937933" w:rsidRDefault="00937933">
            <w:pPr>
              <w:rPr>
                <w:rFonts w:ascii="Glacial Indifference" w:hAnsi="Glacial Indifference"/>
                <w:sz w:val="22"/>
                <w:szCs w:val="22"/>
              </w:rPr>
            </w:pPr>
            <w:r>
              <w:rPr>
                <w:rFonts w:ascii="Glacial Indifference" w:hAnsi="Glacial Indifference"/>
                <w:sz w:val="22"/>
                <w:szCs w:val="22"/>
              </w:rPr>
              <w:lastRenderedPageBreak/>
              <w:t xml:space="preserve">7.1 </w:t>
            </w:r>
            <w:r w:rsidRPr="00937933">
              <w:rPr>
                <w:rFonts w:ascii="Glacial Indifference" w:hAnsi="Glacial Indifference"/>
                <w:sz w:val="22"/>
                <w:szCs w:val="22"/>
              </w:rPr>
              <w:t xml:space="preserve">Results of prenatal diagnosis (CVS or amniocentesis) </w:t>
            </w:r>
          </w:p>
        </w:tc>
        <w:tc>
          <w:tcPr>
            <w:tcW w:w="3592" w:type="pct"/>
            <w:shd w:val="clear" w:color="auto" w:fill="auto"/>
            <w:noWrap/>
            <w:vAlign w:val="center"/>
            <w:hideMark/>
          </w:tcPr>
          <w:p w14:paraId="5E0E868E"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Results of prenatal diagnosis (CVS or amniocentesis) - studies should report the number of affected pregnancies identified through prenatal diagnosis.</w:t>
            </w:r>
          </w:p>
        </w:tc>
      </w:tr>
      <w:tr w:rsidR="00937933" w:rsidRPr="00937933" w14:paraId="1CF6B5C3" w14:textId="77777777" w:rsidTr="00AA0363">
        <w:trPr>
          <w:trHeight w:val="300"/>
        </w:trPr>
        <w:tc>
          <w:tcPr>
            <w:tcW w:w="1408" w:type="pct"/>
            <w:gridSpan w:val="2"/>
            <w:shd w:val="clear" w:color="auto" w:fill="auto"/>
            <w:noWrap/>
            <w:vAlign w:val="center"/>
            <w:hideMark/>
          </w:tcPr>
          <w:p w14:paraId="4B9E332B" w14:textId="4552E8F5" w:rsidR="00937933" w:rsidRPr="00937933" w:rsidRDefault="00937933">
            <w:pPr>
              <w:rPr>
                <w:rFonts w:ascii="Glacial Indifference" w:hAnsi="Glacial Indifference"/>
                <w:sz w:val="22"/>
                <w:szCs w:val="22"/>
              </w:rPr>
            </w:pPr>
            <w:r>
              <w:rPr>
                <w:rFonts w:ascii="Glacial Indifference" w:hAnsi="Glacial Indifference"/>
                <w:sz w:val="22"/>
                <w:szCs w:val="22"/>
              </w:rPr>
              <w:t xml:space="preserve">8. </w:t>
            </w:r>
            <w:r w:rsidRPr="00937933">
              <w:rPr>
                <w:rFonts w:ascii="Glacial Indifference" w:hAnsi="Glacial Indifference"/>
                <w:sz w:val="22"/>
                <w:szCs w:val="22"/>
              </w:rPr>
              <w:t xml:space="preserve">Patient perception that RGCS will inform their reproductive decisions (at the time of the screening offer) </w:t>
            </w:r>
          </w:p>
        </w:tc>
        <w:tc>
          <w:tcPr>
            <w:tcW w:w="3592" w:type="pct"/>
            <w:shd w:val="clear" w:color="auto" w:fill="auto"/>
            <w:noWrap/>
            <w:vAlign w:val="center"/>
            <w:hideMark/>
          </w:tcPr>
          <w:p w14:paraId="0F1DC74D"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Patient perception that RGCS will inform their reproductive decisions (at the time of the screening offer) - studies should report how patients perceive changing their reproductive plans if an increased risk result is returned.</w:t>
            </w:r>
          </w:p>
        </w:tc>
      </w:tr>
      <w:tr w:rsidR="00937933" w:rsidRPr="00937933" w14:paraId="2B6E64F4" w14:textId="77777777" w:rsidTr="00AA0363">
        <w:trPr>
          <w:trHeight w:val="300"/>
        </w:trPr>
        <w:tc>
          <w:tcPr>
            <w:tcW w:w="1408" w:type="pct"/>
            <w:gridSpan w:val="2"/>
            <w:shd w:val="clear" w:color="auto" w:fill="auto"/>
            <w:noWrap/>
            <w:vAlign w:val="center"/>
            <w:hideMark/>
          </w:tcPr>
          <w:p w14:paraId="1EC4ED32" w14:textId="4E9C84A8"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12.3 </w:t>
            </w:r>
            <w:r w:rsidRPr="00937933">
              <w:rPr>
                <w:rFonts w:ascii="Glacial Indifference" w:hAnsi="Glacial Indifference"/>
                <w:sz w:val="22"/>
                <w:szCs w:val="22"/>
              </w:rPr>
              <w:t xml:space="preserve">Distress following an increased risk result </w:t>
            </w:r>
          </w:p>
        </w:tc>
        <w:tc>
          <w:tcPr>
            <w:tcW w:w="3592" w:type="pct"/>
            <w:shd w:val="clear" w:color="auto" w:fill="auto"/>
            <w:noWrap/>
            <w:vAlign w:val="center"/>
            <w:hideMark/>
          </w:tcPr>
          <w:p w14:paraId="03CC53B6"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Distress following an increased risk result - studies should report the impact of an increased risk result on the patient from the perspective of the impact of events scale (IES) which defines the result as a traumatic event that may have long lasting impacts on the psychological wellbeing of the patient.</w:t>
            </w:r>
          </w:p>
        </w:tc>
      </w:tr>
      <w:tr w:rsidR="00937933" w:rsidRPr="00937933" w14:paraId="1B780194" w14:textId="77777777" w:rsidTr="00AA0363">
        <w:trPr>
          <w:trHeight w:val="300"/>
        </w:trPr>
        <w:tc>
          <w:tcPr>
            <w:tcW w:w="1408" w:type="pct"/>
            <w:gridSpan w:val="2"/>
            <w:shd w:val="clear" w:color="auto" w:fill="auto"/>
            <w:noWrap/>
            <w:vAlign w:val="center"/>
            <w:hideMark/>
          </w:tcPr>
          <w:p w14:paraId="036CC17E" w14:textId="248B42AF"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14.1 </w:t>
            </w:r>
            <w:r w:rsidRPr="00937933">
              <w:rPr>
                <w:rFonts w:ascii="Glacial Indifference" w:hAnsi="Glacial Indifference"/>
                <w:sz w:val="22"/>
                <w:szCs w:val="22"/>
              </w:rPr>
              <w:t xml:space="preserve">Satisfaction with accessibility, cost and convenience of the screening process </w:t>
            </w:r>
          </w:p>
        </w:tc>
        <w:tc>
          <w:tcPr>
            <w:tcW w:w="3592" w:type="pct"/>
            <w:shd w:val="clear" w:color="auto" w:fill="auto"/>
            <w:noWrap/>
            <w:vAlign w:val="center"/>
            <w:hideMark/>
          </w:tcPr>
          <w:p w14:paraId="7E47B372"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Satisfaction with accessibility, cost and convenience of the screening process - studies should report patients concerns regarding accessibility, cost and convenience of accessing RGCS.</w:t>
            </w:r>
          </w:p>
        </w:tc>
      </w:tr>
      <w:tr w:rsidR="00937933" w:rsidRPr="00937933" w14:paraId="00B52527" w14:textId="77777777" w:rsidTr="00AA0363">
        <w:trPr>
          <w:trHeight w:val="300"/>
        </w:trPr>
        <w:tc>
          <w:tcPr>
            <w:tcW w:w="5000" w:type="pct"/>
            <w:gridSpan w:val="3"/>
            <w:shd w:val="clear" w:color="auto" w:fill="A4AEB9" w:themeFill="text1" w:themeFillTint="66"/>
            <w:noWrap/>
            <w:vAlign w:val="center"/>
          </w:tcPr>
          <w:p w14:paraId="5802DBBF" w14:textId="4DED463C" w:rsidR="00937933" w:rsidRPr="00937933" w:rsidRDefault="00937933" w:rsidP="00937933">
            <w:pPr>
              <w:jc w:val="center"/>
              <w:rPr>
                <w:rFonts w:ascii="Glacial Indifference" w:hAnsi="Glacial Indifference"/>
                <w:b/>
                <w:bCs/>
                <w:sz w:val="22"/>
                <w:szCs w:val="22"/>
              </w:rPr>
            </w:pPr>
            <w:r w:rsidRPr="00937933">
              <w:rPr>
                <w:rFonts w:ascii="Glacial Indifference" w:hAnsi="Glacial Indifference"/>
                <w:b/>
                <w:bCs/>
                <w:sz w:val="22"/>
                <w:szCs w:val="22"/>
              </w:rPr>
              <w:t>Tier 3</w:t>
            </w:r>
          </w:p>
        </w:tc>
      </w:tr>
      <w:tr w:rsidR="00937933" w:rsidRPr="00937933" w14:paraId="112F9EA5" w14:textId="77777777" w:rsidTr="00AA0363">
        <w:trPr>
          <w:trHeight w:val="300"/>
        </w:trPr>
        <w:tc>
          <w:tcPr>
            <w:tcW w:w="1408" w:type="pct"/>
            <w:gridSpan w:val="2"/>
            <w:shd w:val="clear" w:color="auto" w:fill="auto"/>
            <w:noWrap/>
            <w:vAlign w:val="center"/>
            <w:hideMark/>
          </w:tcPr>
          <w:p w14:paraId="0F0C0BF4" w14:textId="40C7EBEE" w:rsidR="00937933" w:rsidRPr="00937933" w:rsidRDefault="00937933">
            <w:pPr>
              <w:rPr>
                <w:rFonts w:ascii="Glacial Indifference" w:hAnsi="Glacial Indifference"/>
                <w:sz w:val="22"/>
                <w:szCs w:val="22"/>
              </w:rPr>
            </w:pPr>
            <w:r>
              <w:rPr>
                <w:rFonts w:ascii="Glacial Indifference" w:hAnsi="Glacial Indifference"/>
                <w:sz w:val="22"/>
                <w:szCs w:val="22"/>
              </w:rPr>
              <w:t xml:space="preserve">4.1 </w:t>
            </w:r>
            <w:r w:rsidRPr="00937933">
              <w:rPr>
                <w:rFonts w:ascii="Glacial Indifference" w:hAnsi="Glacial Indifference"/>
                <w:sz w:val="22"/>
                <w:szCs w:val="22"/>
              </w:rPr>
              <w:t xml:space="preserve">Uptake of RGCS </w:t>
            </w:r>
          </w:p>
        </w:tc>
        <w:tc>
          <w:tcPr>
            <w:tcW w:w="3592" w:type="pct"/>
            <w:shd w:val="clear" w:color="auto" w:fill="auto"/>
            <w:noWrap/>
            <w:vAlign w:val="center"/>
            <w:hideMark/>
          </w:tcPr>
          <w:p w14:paraId="5C3356BF"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Uptake of RGCS - studies should report an appropriate outcome to capture uptake within the scope of their study design. This includes: The number of patients offered RGCS; the number of patients that accept; where the two previous outcomes are not available, the number of screening tests conducted may be used as a proxy for uptake.</w:t>
            </w:r>
          </w:p>
        </w:tc>
      </w:tr>
      <w:tr w:rsidR="00937933" w:rsidRPr="00937933" w14:paraId="1C1CCDF2" w14:textId="77777777" w:rsidTr="00AA0363">
        <w:trPr>
          <w:trHeight w:val="300"/>
        </w:trPr>
        <w:tc>
          <w:tcPr>
            <w:tcW w:w="1408" w:type="pct"/>
            <w:gridSpan w:val="2"/>
            <w:shd w:val="clear" w:color="auto" w:fill="auto"/>
            <w:noWrap/>
            <w:vAlign w:val="center"/>
            <w:hideMark/>
          </w:tcPr>
          <w:p w14:paraId="116A7953" w14:textId="7EE6EAD0" w:rsidR="00937933" w:rsidRPr="00937933" w:rsidRDefault="00937933">
            <w:pPr>
              <w:rPr>
                <w:rFonts w:ascii="Glacial Indifference" w:hAnsi="Glacial Indifference"/>
                <w:sz w:val="22"/>
                <w:szCs w:val="22"/>
              </w:rPr>
            </w:pPr>
            <w:r>
              <w:rPr>
                <w:rFonts w:ascii="Glacial Indifference" w:hAnsi="Glacial Indifference"/>
                <w:sz w:val="22"/>
                <w:szCs w:val="22"/>
              </w:rPr>
              <w:t xml:space="preserve">6.4 </w:t>
            </w:r>
            <w:r w:rsidRPr="00937933">
              <w:rPr>
                <w:rFonts w:ascii="Glacial Indifference" w:hAnsi="Glacial Indifference"/>
                <w:sz w:val="22"/>
                <w:szCs w:val="22"/>
              </w:rPr>
              <w:t xml:space="preserve">Support needs when making reproductive decisions </w:t>
            </w:r>
          </w:p>
        </w:tc>
        <w:tc>
          <w:tcPr>
            <w:tcW w:w="3592" w:type="pct"/>
            <w:shd w:val="clear" w:color="auto" w:fill="auto"/>
            <w:noWrap/>
            <w:vAlign w:val="center"/>
            <w:hideMark/>
          </w:tcPr>
          <w:p w14:paraId="3CBD2EF5"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Support needs when making reproductive decisions - studies should report the number of patients that requested sources of additional information, such as support groups or connection with those with lived experience of a genetic condition, to inform their reproductive decisions.</w:t>
            </w:r>
          </w:p>
        </w:tc>
      </w:tr>
      <w:tr w:rsidR="00937933" w:rsidRPr="00937933" w14:paraId="0E838904" w14:textId="77777777" w:rsidTr="00AA0363">
        <w:trPr>
          <w:trHeight w:val="300"/>
        </w:trPr>
        <w:tc>
          <w:tcPr>
            <w:tcW w:w="1408" w:type="pct"/>
            <w:gridSpan w:val="2"/>
            <w:shd w:val="clear" w:color="auto" w:fill="auto"/>
            <w:noWrap/>
            <w:vAlign w:val="center"/>
            <w:hideMark/>
          </w:tcPr>
          <w:p w14:paraId="0A6E5387" w14:textId="4FFA3ABE" w:rsidR="00937933" w:rsidRPr="00937933" w:rsidRDefault="00937933">
            <w:pPr>
              <w:rPr>
                <w:rFonts w:ascii="Glacial Indifference" w:hAnsi="Glacial Indifference"/>
                <w:sz w:val="22"/>
                <w:szCs w:val="22"/>
              </w:rPr>
            </w:pPr>
            <w:r>
              <w:rPr>
                <w:rFonts w:ascii="Glacial Indifference" w:hAnsi="Glacial Indifference"/>
                <w:sz w:val="22"/>
                <w:szCs w:val="22"/>
              </w:rPr>
              <w:t xml:space="preserve">7.4 </w:t>
            </w:r>
            <w:r w:rsidRPr="00937933">
              <w:rPr>
                <w:rFonts w:ascii="Glacial Indifference" w:hAnsi="Glacial Indifference"/>
                <w:sz w:val="22"/>
                <w:szCs w:val="22"/>
              </w:rPr>
              <w:t xml:space="preserve">Results of IVF with preimplantation diagnosis (PGD) utilised by increased risk couples in subsequent pregnancies </w:t>
            </w:r>
          </w:p>
        </w:tc>
        <w:tc>
          <w:tcPr>
            <w:tcW w:w="3592" w:type="pct"/>
            <w:shd w:val="clear" w:color="auto" w:fill="auto"/>
            <w:noWrap/>
            <w:vAlign w:val="center"/>
            <w:hideMark/>
          </w:tcPr>
          <w:p w14:paraId="45872088"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Results of IVF with preimplantation diagnosis (PGD) utilised by increased risk couples in subsequent pregnancies - studies should report the number of unaffected ongoing pregnancies following IVF with PGD.</w:t>
            </w:r>
          </w:p>
        </w:tc>
      </w:tr>
      <w:tr w:rsidR="00937933" w:rsidRPr="00937933" w14:paraId="6FF3DDDD" w14:textId="77777777" w:rsidTr="00AA0363">
        <w:trPr>
          <w:trHeight w:val="300"/>
        </w:trPr>
        <w:tc>
          <w:tcPr>
            <w:tcW w:w="1408" w:type="pct"/>
            <w:gridSpan w:val="2"/>
            <w:shd w:val="clear" w:color="auto" w:fill="auto"/>
            <w:noWrap/>
            <w:vAlign w:val="center"/>
            <w:hideMark/>
          </w:tcPr>
          <w:p w14:paraId="2402E33E" w14:textId="1CBD3685" w:rsidR="00937933" w:rsidRPr="00937933" w:rsidRDefault="00937933">
            <w:pPr>
              <w:rPr>
                <w:rFonts w:ascii="Glacial Indifference" w:hAnsi="Glacial Indifference"/>
                <w:sz w:val="22"/>
                <w:szCs w:val="22"/>
              </w:rPr>
            </w:pPr>
            <w:r>
              <w:rPr>
                <w:rFonts w:ascii="Glacial Indifference" w:hAnsi="Glacial Indifference"/>
                <w:sz w:val="22"/>
                <w:szCs w:val="22"/>
              </w:rPr>
              <w:t xml:space="preserve">9. </w:t>
            </w:r>
            <w:r w:rsidRPr="00937933">
              <w:rPr>
                <w:rFonts w:ascii="Glacial Indifference" w:hAnsi="Glacial Indifference"/>
                <w:sz w:val="22"/>
                <w:szCs w:val="22"/>
              </w:rPr>
              <w:t xml:space="preserve">Informed choice </w:t>
            </w:r>
          </w:p>
        </w:tc>
        <w:tc>
          <w:tcPr>
            <w:tcW w:w="3592" w:type="pct"/>
            <w:shd w:val="clear" w:color="auto" w:fill="auto"/>
            <w:noWrap/>
            <w:vAlign w:val="center"/>
            <w:hideMark/>
          </w:tcPr>
          <w:p w14:paraId="1DD488B5"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Informed choice - studies should assess whether patients made an informed choice to accept or decline screening</w:t>
            </w:r>
          </w:p>
        </w:tc>
      </w:tr>
      <w:tr w:rsidR="00937933" w:rsidRPr="00937933" w14:paraId="45088FE4" w14:textId="77777777" w:rsidTr="00AA0363">
        <w:trPr>
          <w:trHeight w:val="300"/>
        </w:trPr>
        <w:tc>
          <w:tcPr>
            <w:tcW w:w="1408" w:type="pct"/>
            <w:gridSpan w:val="2"/>
            <w:shd w:val="clear" w:color="auto" w:fill="auto"/>
            <w:noWrap/>
            <w:vAlign w:val="center"/>
            <w:hideMark/>
          </w:tcPr>
          <w:p w14:paraId="27D06E54" w14:textId="18320DEC"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11.1 </w:t>
            </w:r>
            <w:r w:rsidRPr="00937933">
              <w:rPr>
                <w:rFonts w:ascii="Glacial Indifference" w:hAnsi="Glacial Indifference"/>
                <w:sz w:val="22"/>
                <w:szCs w:val="22"/>
              </w:rPr>
              <w:t xml:space="preserve">Patient understanding of RGCS </w:t>
            </w:r>
          </w:p>
        </w:tc>
        <w:tc>
          <w:tcPr>
            <w:tcW w:w="3592" w:type="pct"/>
            <w:shd w:val="clear" w:color="auto" w:fill="auto"/>
            <w:noWrap/>
            <w:vAlign w:val="center"/>
            <w:hideMark/>
          </w:tcPr>
          <w:p w14:paraId="022566A9"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Patient understanding of RGCS - studies should report patient knowledge which may include the role and significance of screening for those without existing family history or other prior increased risk, the range of conditions included in screening and possible results that can be returned, and options to consider if an increased risk result is received.</w:t>
            </w:r>
          </w:p>
        </w:tc>
      </w:tr>
      <w:tr w:rsidR="00937933" w:rsidRPr="00937933" w14:paraId="0DF61C3C" w14:textId="77777777" w:rsidTr="00AA0363">
        <w:trPr>
          <w:trHeight w:val="300"/>
        </w:trPr>
        <w:tc>
          <w:tcPr>
            <w:tcW w:w="1408" w:type="pct"/>
            <w:gridSpan w:val="2"/>
            <w:shd w:val="clear" w:color="auto" w:fill="auto"/>
            <w:noWrap/>
            <w:vAlign w:val="center"/>
            <w:hideMark/>
          </w:tcPr>
          <w:p w14:paraId="2B46967E" w14:textId="4988C7A5"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11.3 </w:t>
            </w:r>
            <w:r w:rsidRPr="00937933">
              <w:rPr>
                <w:rFonts w:ascii="Glacial Indifference" w:hAnsi="Glacial Indifference"/>
                <w:sz w:val="22"/>
                <w:szCs w:val="22"/>
              </w:rPr>
              <w:t xml:space="preserve">Barriers and facilitators influencing patients understanding of RGCS </w:t>
            </w:r>
          </w:p>
        </w:tc>
        <w:tc>
          <w:tcPr>
            <w:tcW w:w="3592" w:type="pct"/>
            <w:shd w:val="clear" w:color="auto" w:fill="auto"/>
            <w:noWrap/>
            <w:vAlign w:val="center"/>
            <w:hideMark/>
          </w:tcPr>
          <w:p w14:paraId="4E083B69"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Barriers and facilitators influencing patients understanding of RGCS - studies should report factors that influence patient understanding of RGCS, including aspects such as having access to a knowledgeable provider, methods of education prior to screening, and access to written/visual information.</w:t>
            </w:r>
          </w:p>
        </w:tc>
      </w:tr>
      <w:tr w:rsidR="00937933" w:rsidRPr="00937933" w14:paraId="136CE952" w14:textId="77777777" w:rsidTr="00AA0363">
        <w:trPr>
          <w:trHeight w:val="300"/>
        </w:trPr>
        <w:tc>
          <w:tcPr>
            <w:tcW w:w="1408" w:type="pct"/>
            <w:gridSpan w:val="2"/>
            <w:shd w:val="clear" w:color="auto" w:fill="auto"/>
            <w:noWrap/>
            <w:vAlign w:val="center"/>
            <w:hideMark/>
          </w:tcPr>
          <w:p w14:paraId="36B39D47" w14:textId="0184C13A"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12.4 </w:t>
            </w:r>
            <w:r w:rsidRPr="00937933">
              <w:rPr>
                <w:rFonts w:ascii="Glacial Indifference" w:hAnsi="Glacial Indifference"/>
                <w:sz w:val="22"/>
                <w:szCs w:val="22"/>
              </w:rPr>
              <w:t xml:space="preserve">Uncertainty and resilience in patients following an increased risk result </w:t>
            </w:r>
          </w:p>
        </w:tc>
        <w:tc>
          <w:tcPr>
            <w:tcW w:w="3592" w:type="pct"/>
            <w:shd w:val="clear" w:color="auto" w:fill="auto"/>
            <w:noWrap/>
            <w:vAlign w:val="center"/>
            <w:hideMark/>
          </w:tcPr>
          <w:p w14:paraId="23A56B36"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Uncertainty and resilience in patients following an increased risk result - studies should report the burden of uncertainty that patients feel following an increased risk result and their ability to cope with this uncertainty.</w:t>
            </w:r>
          </w:p>
        </w:tc>
      </w:tr>
      <w:tr w:rsidR="00937933" w:rsidRPr="00937933" w14:paraId="66EDE41A" w14:textId="77777777" w:rsidTr="00AA0363">
        <w:trPr>
          <w:trHeight w:val="300"/>
        </w:trPr>
        <w:tc>
          <w:tcPr>
            <w:tcW w:w="1408" w:type="pct"/>
            <w:gridSpan w:val="2"/>
            <w:shd w:val="clear" w:color="auto" w:fill="auto"/>
            <w:noWrap/>
            <w:vAlign w:val="center"/>
            <w:hideMark/>
          </w:tcPr>
          <w:p w14:paraId="2780450B" w14:textId="7B7CCB6F" w:rsidR="00937933" w:rsidRPr="00937933" w:rsidRDefault="00937933">
            <w:pPr>
              <w:rPr>
                <w:rFonts w:ascii="Glacial Indifference" w:hAnsi="Glacial Indifference"/>
                <w:sz w:val="22"/>
                <w:szCs w:val="22"/>
              </w:rPr>
            </w:pPr>
            <w:r>
              <w:rPr>
                <w:rFonts w:ascii="Glacial Indifference" w:hAnsi="Glacial Indifference"/>
                <w:sz w:val="22"/>
                <w:szCs w:val="22"/>
              </w:rPr>
              <w:lastRenderedPageBreak/>
              <w:t xml:space="preserve">14.2 </w:t>
            </w:r>
            <w:r w:rsidRPr="00937933">
              <w:rPr>
                <w:rFonts w:ascii="Glacial Indifference" w:hAnsi="Glacial Indifference"/>
                <w:sz w:val="22"/>
                <w:szCs w:val="22"/>
              </w:rPr>
              <w:t xml:space="preserve">Satisfaction that information needs have been met </w:t>
            </w:r>
          </w:p>
        </w:tc>
        <w:tc>
          <w:tcPr>
            <w:tcW w:w="3592" w:type="pct"/>
            <w:shd w:val="clear" w:color="auto" w:fill="auto"/>
            <w:noWrap/>
            <w:vAlign w:val="center"/>
            <w:hideMark/>
          </w:tcPr>
          <w:p w14:paraId="7EE57196"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Satisfaction that information needs have been met - studies should report patient satisfaction with information and education that was provided during RGCS.</w:t>
            </w:r>
          </w:p>
        </w:tc>
      </w:tr>
      <w:tr w:rsidR="00937933" w:rsidRPr="00937933" w14:paraId="6895BE8B" w14:textId="77777777" w:rsidTr="00AA0363">
        <w:trPr>
          <w:trHeight w:val="300"/>
        </w:trPr>
        <w:tc>
          <w:tcPr>
            <w:tcW w:w="1408" w:type="pct"/>
            <w:gridSpan w:val="2"/>
            <w:shd w:val="clear" w:color="auto" w:fill="auto"/>
            <w:noWrap/>
            <w:vAlign w:val="center"/>
            <w:hideMark/>
          </w:tcPr>
          <w:p w14:paraId="7EC7D977" w14:textId="5BB4A904"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15. </w:t>
            </w:r>
            <w:r w:rsidRPr="00937933">
              <w:rPr>
                <w:rFonts w:ascii="Glacial Indifference" w:hAnsi="Glacial Indifference"/>
                <w:sz w:val="22"/>
                <w:szCs w:val="22"/>
              </w:rPr>
              <w:t xml:space="preserve">Impact of results on a couple's relationship </w:t>
            </w:r>
          </w:p>
        </w:tc>
        <w:tc>
          <w:tcPr>
            <w:tcW w:w="3592" w:type="pct"/>
            <w:shd w:val="clear" w:color="auto" w:fill="auto"/>
            <w:noWrap/>
            <w:vAlign w:val="center"/>
            <w:hideMark/>
          </w:tcPr>
          <w:p w14:paraId="53EEB7D8"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Impact of results on a couple's relationship - studies should report how patients perceive that RGCS has impacted their relationship with their reproductive partner, which may include strengthening or strain on the relationship.</w:t>
            </w:r>
          </w:p>
        </w:tc>
      </w:tr>
      <w:tr w:rsidR="00937933" w:rsidRPr="00937933" w14:paraId="505494A6" w14:textId="77777777" w:rsidTr="00AA0363">
        <w:trPr>
          <w:trHeight w:val="300"/>
        </w:trPr>
        <w:tc>
          <w:tcPr>
            <w:tcW w:w="5000" w:type="pct"/>
            <w:gridSpan w:val="3"/>
            <w:shd w:val="clear" w:color="auto" w:fill="A4AEB9" w:themeFill="text1" w:themeFillTint="66"/>
            <w:noWrap/>
            <w:vAlign w:val="center"/>
          </w:tcPr>
          <w:p w14:paraId="0707C671" w14:textId="4CC796B3" w:rsidR="00937933" w:rsidRPr="00937933" w:rsidRDefault="00937933" w:rsidP="00937933">
            <w:pPr>
              <w:jc w:val="center"/>
              <w:rPr>
                <w:rFonts w:ascii="Glacial Indifference" w:hAnsi="Glacial Indifference"/>
                <w:b/>
                <w:bCs/>
                <w:sz w:val="22"/>
                <w:szCs w:val="22"/>
              </w:rPr>
            </w:pPr>
            <w:r w:rsidRPr="00937933">
              <w:rPr>
                <w:rFonts w:ascii="Glacial Indifference" w:hAnsi="Glacial Indifference"/>
                <w:b/>
                <w:bCs/>
                <w:sz w:val="22"/>
                <w:szCs w:val="22"/>
              </w:rPr>
              <w:t>Tier 4</w:t>
            </w:r>
          </w:p>
        </w:tc>
      </w:tr>
      <w:tr w:rsidR="00937933" w:rsidRPr="00937933" w14:paraId="252F765C" w14:textId="77777777" w:rsidTr="00AA0363">
        <w:trPr>
          <w:trHeight w:val="300"/>
        </w:trPr>
        <w:tc>
          <w:tcPr>
            <w:tcW w:w="1408" w:type="pct"/>
            <w:gridSpan w:val="2"/>
            <w:shd w:val="clear" w:color="auto" w:fill="auto"/>
            <w:noWrap/>
            <w:vAlign w:val="center"/>
            <w:hideMark/>
          </w:tcPr>
          <w:p w14:paraId="679CA3E3" w14:textId="79E15799" w:rsidR="00937933" w:rsidRPr="00937933" w:rsidRDefault="00937933">
            <w:pPr>
              <w:rPr>
                <w:rFonts w:ascii="Glacial Indifference" w:hAnsi="Glacial Indifference"/>
                <w:sz w:val="22"/>
                <w:szCs w:val="22"/>
              </w:rPr>
            </w:pPr>
            <w:r>
              <w:rPr>
                <w:rFonts w:ascii="Glacial Indifference" w:hAnsi="Glacial Indifference"/>
                <w:sz w:val="22"/>
                <w:szCs w:val="22"/>
              </w:rPr>
              <w:t xml:space="preserve">2. </w:t>
            </w:r>
            <w:r w:rsidRPr="00937933">
              <w:rPr>
                <w:rFonts w:ascii="Glacial Indifference" w:hAnsi="Glacial Indifference"/>
                <w:sz w:val="22"/>
                <w:szCs w:val="22"/>
              </w:rPr>
              <w:t xml:space="preserve">Identification of secondary or incidental findings </w:t>
            </w:r>
          </w:p>
        </w:tc>
        <w:tc>
          <w:tcPr>
            <w:tcW w:w="3592" w:type="pct"/>
            <w:shd w:val="clear" w:color="auto" w:fill="auto"/>
            <w:noWrap/>
            <w:vAlign w:val="center"/>
            <w:hideMark/>
          </w:tcPr>
          <w:p w14:paraId="7F483991"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Identification of secondary or incidental findings - studies should report any results that were secondary to the primary carrier screening results, including the number of variants of uncertain significance if reported back to patients, or the number of homozygous, hemizygous or compound heterozygous findings that indicate that a healthy prospective parent undertaking RGCS  is at risk or affected with one of the screened conditions</w:t>
            </w:r>
          </w:p>
        </w:tc>
      </w:tr>
      <w:tr w:rsidR="00937933" w:rsidRPr="00937933" w14:paraId="0E37F0DB" w14:textId="77777777" w:rsidTr="00AA0363">
        <w:trPr>
          <w:trHeight w:val="300"/>
        </w:trPr>
        <w:tc>
          <w:tcPr>
            <w:tcW w:w="1408" w:type="pct"/>
            <w:gridSpan w:val="2"/>
            <w:shd w:val="clear" w:color="auto" w:fill="auto"/>
            <w:noWrap/>
            <w:vAlign w:val="center"/>
            <w:hideMark/>
          </w:tcPr>
          <w:p w14:paraId="2C43F0F0" w14:textId="0C62D828" w:rsidR="00937933" w:rsidRPr="00937933" w:rsidRDefault="00937933">
            <w:pPr>
              <w:rPr>
                <w:rFonts w:ascii="Glacial Indifference" w:hAnsi="Glacial Indifference"/>
                <w:sz w:val="22"/>
                <w:szCs w:val="22"/>
              </w:rPr>
            </w:pPr>
            <w:r>
              <w:rPr>
                <w:rFonts w:ascii="Glacial Indifference" w:hAnsi="Glacial Indifference"/>
                <w:sz w:val="22"/>
                <w:szCs w:val="22"/>
              </w:rPr>
              <w:t xml:space="preserve">3. </w:t>
            </w:r>
            <w:r w:rsidRPr="00937933">
              <w:rPr>
                <w:rFonts w:ascii="Glacial Indifference" w:hAnsi="Glacial Indifference"/>
                <w:sz w:val="22"/>
                <w:szCs w:val="22"/>
              </w:rPr>
              <w:t xml:space="preserve">Technical laboratory outcomes  </w:t>
            </w:r>
          </w:p>
        </w:tc>
        <w:tc>
          <w:tcPr>
            <w:tcW w:w="3592" w:type="pct"/>
            <w:shd w:val="clear" w:color="auto" w:fill="auto"/>
            <w:noWrap/>
            <w:vAlign w:val="center"/>
            <w:hideMark/>
          </w:tcPr>
          <w:p w14:paraId="457EFBB5"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Technical laboratory outcomes  - studies should report any technical laboratory outcomes that impact on the patient experience of RGCS and/or on the interpretation of results. This includes: laboratory errors that lead to the incorrect interpretation of results, such as sampling or contamination errors, false negatives, or false positives;  the rate of test failure as a result of insufficient or poor-quality DNA</w:t>
            </w:r>
          </w:p>
        </w:tc>
      </w:tr>
      <w:tr w:rsidR="00937933" w:rsidRPr="00937933" w14:paraId="1A232994" w14:textId="77777777" w:rsidTr="00AA0363">
        <w:trPr>
          <w:trHeight w:val="300"/>
        </w:trPr>
        <w:tc>
          <w:tcPr>
            <w:tcW w:w="1408" w:type="pct"/>
            <w:gridSpan w:val="2"/>
            <w:shd w:val="clear" w:color="auto" w:fill="auto"/>
            <w:noWrap/>
            <w:vAlign w:val="center"/>
            <w:hideMark/>
          </w:tcPr>
          <w:p w14:paraId="45146D8D" w14:textId="5949704B" w:rsidR="00937933" w:rsidRPr="00937933" w:rsidRDefault="00937933">
            <w:pPr>
              <w:rPr>
                <w:rFonts w:ascii="Glacial Indifference" w:hAnsi="Glacial Indifference"/>
                <w:sz w:val="22"/>
                <w:szCs w:val="22"/>
              </w:rPr>
            </w:pPr>
            <w:r>
              <w:rPr>
                <w:rFonts w:ascii="Glacial Indifference" w:hAnsi="Glacial Indifference"/>
                <w:sz w:val="22"/>
                <w:szCs w:val="22"/>
              </w:rPr>
              <w:t xml:space="preserve">4.2 </w:t>
            </w:r>
            <w:r w:rsidRPr="00937933">
              <w:rPr>
                <w:rFonts w:ascii="Glacial Indifference" w:hAnsi="Glacial Indifference"/>
                <w:sz w:val="22"/>
                <w:szCs w:val="22"/>
              </w:rPr>
              <w:t xml:space="preserve">Barriers and facilitators to access and uptake of RGCS </w:t>
            </w:r>
          </w:p>
        </w:tc>
        <w:tc>
          <w:tcPr>
            <w:tcW w:w="3592" w:type="pct"/>
            <w:shd w:val="clear" w:color="auto" w:fill="auto"/>
            <w:noWrap/>
            <w:vAlign w:val="center"/>
            <w:hideMark/>
          </w:tcPr>
          <w:p w14:paraId="3BBB8A3F"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Barriers and facilitators to access and uptake of RGCS - studies should report patient perception of the accessibility of RGCS and how this influences their decision to have it. Accessibility includes aspects such as cost and convenience of the process.</w:t>
            </w:r>
          </w:p>
        </w:tc>
      </w:tr>
      <w:tr w:rsidR="00937933" w:rsidRPr="00937933" w14:paraId="0957B24F" w14:textId="77777777" w:rsidTr="00AA0363">
        <w:trPr>
          <w:trHeight w:val="300"/>
        </w:trPr>
        <w:tc>
          <w:tcPr>
            <w:tcW w:w="1408" w:type="pct"/>
            <w:gridSpan w:val="2"/>
            <w:shd w:val="clear" w:color="auto" w:fill="auto"/>
            <w:noWrap/>
            <w:vAlign w:val="center"/>
            <w:hideMark/>
          </w:tcPr>
          <w:p w14:paraId="39694345" w14:textId="7E2348DC"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11.2 </w:t>
            </w:r>
            <w:r w:rsidRPr="00937933">
              <w:rPr>
                <w:rFonts w:ascii="Glacial Indifference" w:hAnsi="Glacial Indifference"/>
                <w:sz w:val="22"/>
                <w:szCs w:val="22"/>
              </w:rPr>
              <w:t xml:space="preserve">Recall of screening result at a later timepoint </w:t>
            </w:r>
          </w:p>
        </w:tc>
        <w:tc>
          <w:tcPr>
            <w:tcW w:w="3592" w:type="pct"/>
            <w:shd w:val="clear" w:color="auto" w:fill="auto"/>
            <w:noWrap/>
            <w:vAlign w:val="center"/>
            <w:hideMark/>
          </w:tcPr>
          <w:p w14:paraId="16467AA5"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Recall of screening result at a later timepoint - studies should report a patients ability to correctly recall their screening result at a future timepoint.</w:t>
            </w:r>
          </w:p>
        </w:tc>
      </w:tr>
      <w:tr w:rsidR="00937933" w:rsidRPr="00937933" w14:paraId="08F07A67" w14:textId="77777777" w:rsidTr="00AA0363">
        <w:trPr>
          <w:trHeight w:val="300"/>
        </w:trPr>
        <w:tc>
          <w:tcPr>
            <w:tcW w:w="1408" w:type="pct"/>
            <w:gridSpan w:val="2"/>
            <w:shd w:val="clear" w:color="auto" w:fill="auto"/>
            <w:noWrap/>
            <w:vAlign w:val="center"/>
            <w:hideMark/>
          </w:tcPr>
          <w:p w14:paraId="7917C705" w14:textId="51F0C979"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12.1 </w:t>
            </w:r>
            <w:r w:rsidRPr="00937933">
              <w:rPr>
                <w:rFonts w:ascii="Glacial Indifference" w:hAnsi="Glacial Indifference"/>
                <w:sz w:val="22"/>
                <w:szCs w:val="22"/>
              </w:rPr>
              <w:t xml:space="preserve">Anxiety </w:t>
            </w:r>
          </w:p>
        </w:tc>
        <w:tc>
          <w:tcPr>
            <w:tcW w:w="3592" w:type="pct"/>
            <w:shd w:val="clear" w:color="auto" w:fill="auto"/>
            <w:noWrap/>
            <w:vAlign w:val="center"/>
            <w:hideMark/>
          </w:tcPr>
          <w:p w14:paraId="203AFBB3"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Anxiety - studies should report patient reported levels of anxiety.</w:t>
            </w:r>
          </w:p>
        </w:tc>
      </w:tr>
      <w:tr w:rsidR="00937933" w:rsidRPr="00937933" w14:paraId="0CB9A276" w14:textId="77777777" w:rsidTr="00AA0363">
        <w:trPr>
          <w:trHeight w:val="300"/>
        </w:trPr>
        <w:tc>
          <w:tcPr>
            <w:tcW w:w="1408" w:type="pct"/>
            <w:gridSpan w:val="2"/>
            <w:shd w:val="clear" w:color="auto" w:fill="auto"/>
            <w:noWrap/>
            <w:vAlign w:val="center"/>
            <w:hideMark/>
          </w:tcPr>
          <w:p w14:paraId="3538B3AB" w14:textId="18E492D9"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12.2 </w:t>
            </w:r>
            <w:r w:rsidRPr="00937933">
              <w:rPr>
                <w:rFonts w:ascii="Glacial Indifference" w:hAnsi="Glacial Indifference"/>
                <w:sz w:val="22"/>
                <w:szCs w:val="22"/>
              </w:rPr>
              <w:t xml:space="preserve">Grief and loss following an increased risk result </w:t>
            </w:r>
          </w:p>
        </w:tc>
        <w:tc>
          <w:tcPr>
            <w:tcW w:w="3592" w:type="pct"/>
            <w:shd w:val="clear" w:color="auto" w:fill="auto"/>
            <w:noWrap/>
            <w:vAlign w:val="center"/>
            <w:hideMark/>
          </w:tcPr>
          <w:p w14:paraId="5B51727F"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Grief and loss following an increased risk result - studies should report feelings of grief and loss related to increased risk results that impact a current pregnancy, and/or significantly alter the patients perception of their pregnancy journey in future pregnancies.</w:t>
            </w:r>
          </w:p>
        </w:tc>
      </w:tr>
      <w:tr w:rsidR="00937933" w:rsidRPr="00937933" w14:paraId="0F49A1AD" w14:textId="77777777" w:rsidTr="00AA0363">
        <w:trPr>
          <w:trHeight w:val="300"/>
        </w:trPr>
        <w:tc>
          <w:tcPr>
            <w:tcW w:w="1408" w:type="pct"/>
            <w:gridSpan w:val="2"/>
            <w:shd w:val="clear" w:color="auto" w:fill="auto"/>
            <w:noWrap/>
            <w:vAlign w:val="center"/>
            <w:hideMark/>
          </w:tcPr>
          <w:p w14:paraId="62993027" w14:textId="4A9E4726"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12.5 </w:t>
            </w:r>
            <w:r w:rsidRPr="00937933">
              <w:rPr>
                <w:rFonts w:ascii="Glacial Indifference" w:hAnsi="Glacial Indifference"/>
                <w:sz w:val="22"/>
                <w:szCs w:val="22"/>
              </w:rPr>
              <w:t xml:space="preserve">Impact of results on patients perception of their own health </w:t>
            </w:r>
          </w:p>
        </w:tc>
        <w:tc>
          <w:tcPr>
            <w:tcW w:w="3592" w:type="pct"/>
            <w:shd w:val="clear" w:color="auto" w:fill="auto"/>
            <w:noWrap/>
            <w:vAlign w:val="center"/>
            <w:hideMark/>
          </w:tcPr>
          <w:p w14:paraId="29D9350A"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Impact of results on patients perception of their own health - studies should report how the patients perception of their own health may change if identified as a carrier.</w:t>
            </w:r>
          </w:p>
        </w:tc>
      </w:tr>
      <w:tr w:rsidR="00937933" w:rsidRPr="00937933" w14:paraId="57E69AB6" w14:textId="77777777" w:rsidTr="00AA0363">
        <w:trPr>
          <w:trHeight w:val="300"/>
        </w:trPr>
        <w:tc>
          <w:tcPr>
            <w:tcW w:w="1408" w:type="pct"/>
            <w:gridSpan w:val="2"/>
            <w:shd w:val="clear" w:color="auto" w:fill="auto"/>
            <w:noWrap/>
            <w:vAlign w:val="center"/>
            <w:hideMark/>
          </w:tcPr>
          <w:p w14:paraId="3128D855" w14:textId="2D2A156A"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12.6 </w:t>
            </w:r>
            <w:r w:rsidRPr="00937933">
              <w:rPr>
                <w:rFonts w:ascii="Glacial Indifference" w:hAnsi="Glacial Indifference"/>
                <w:sz w:val="22"/>
                <w:szCs w:val="22"/>
              </w:rPr>
              <w:t xml:space="preserve">Barriers and facilitators to patients psychological and emotional wellbeing during RGCS </w:t>
            </w:r>
          </w:p>
        </w:tc>
        <w:tc>
          <w:tcPr>
            <w:tcW w:w="3592" w:type="pct"/>
            <w:shd w:val="clear" w:color="auto" w:fill="auto"/>
            <w:noWrap/>
            <w:vAlign w:val="center"/>
            <w:hideMark/>
          </w:tcPr>
          <w:p w14:paraId="07000069"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Barriers and facilitators to patients psychological and emotional wellbeing during RGCS - studies should report factors directly related to RGCS that can be beneficial or detrimental to a patients emotional wellbeing, including aspects such as feeling informed and able to ask questions, or conversely feeling rushed or not given time for decisions.</w:t>
            </w:r>
          </w:p>
        </w:tc>
      </w:tr>
      <w:tr w:rsidR="00937933" w:rsidRPr="00937933" w14:paraId="4B6E2512" w14:textId="77777777" w:rsidTr="00AA0363">
        <w:trPr>
          <w:trHeight w:val="300"/>
        </w:trPr>
        <w:tc>
          <w:tcPr>
            <w:tcW w:w="1408" w:type="pct"/>
            <w:gridSpan w:val="2"/>
            <w:shd w:val="clear" w:color="auto" w:fill="auto"/>
            <w:noWrap/>
            <w:vAlign w:val="center"/>
            <w:hideMark/>
          </w:tcPr>
          <w:p w14:paraId="1A27D2C3" w14:textId="2C4E8FC7" w:rsidR="00937933" w:rsidRPr="00937933" w:rsidRDefault="00937933">
            <w:pPr>
              <w:rPr>
                <w:rFonts w:ascii="Glacial Indifference" w:hAnsi="Glacial Indifference"/>
                <w:sz w:val="22"/>
                <w:szCs w:val="22"/>
              </w:rPr>
            </w:pPr>
            <w:r>
              <w:rPr>
                <w:rFonts w:ascii="Glacial Indifference" w:hAnsi="Glacial Indifference"/>
                <w:sz w:val="22"/>
                <w:szCs w:val="22"/>
              </w:rPr>
              <w:t xml:space="preserve">13. </w:t>
            </w:r>
            <w:r w:rsidRPr="00937933">
              <w:rPr>
                <w:rFonts w:ascii="Glacial Indifference" w:hAnsi="Glacial Indifference"/>
                <w:sz w:val="22"/>
                <w:szCs w:val="22"/>
              </w:rPr>
              <w:t xml:space="preserve">Decisional satisfaction or regret related to RGCS </w:t>
            </w:r>
          </w:p>
        </w:tc>
        <w:tc>
          <w:tcPr>
            <w:tcW w:w="3592" w:type="pct"/>
            <w:shd w:val="clear" w:color="auto" w:fill="auto"/>
            <w:noWrap/>
            <w:vAlign w:val="center"/>
            <w:hideMark/>
          </w:tcPr>
          <w:p w14:paraId="04CD35B8"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Decisional satisfaction or regret related to RGCS - studies should report longitudinal (long-term) assessment of patients satisfaction or regret associated with their decision to accept or decline RGCS, and associated with decisions they made based on RGCS results such as undertaking prenatal diagnosis, terminating an affected pregnancy, or accessing IVF</w:t>
            </w:r>
          </w:p>
        </w:tc>
      </w:tr>
      <w:tr w:rsidR="00937933" w:rsidRPr="00937933" w14:paraId="6B5B2261" w14:textId="77777777" w:rsidTr="00AA0363">
        <w:trPr>
          <w:trHeight w:val="300"/>
        </w:trPr>
        <w:tc>
          <w:tcPr>
            <w:tcW w:w="5000" w:type="pct"/>
            <w:gridSpan w:val="3"/>
            <w:shd w:val="clear" w:color="auto" w:fill="A4AEB9" w:themeFill="text1" w:themeFillTint="66"/>
            <w:noWrap/>
            <w:vAlign w:val="center"/>
          </w:tcPr>
          <w:p w14:paraId="149D232D" w14:textId="5AE90FB8" w:rsidR="00937933" w:rsidRPr="00937933" w:rsidRDefault="00937933" w:rsidP="00937933">
            <w:pPr>
              <w:jc w:val="center"/>
              <w:rPr>
                <w:rFonts w:ascii="Glacial Indifference" w:hAnsi="Glacial Indifference"/>
                <w:b/>
                <w:bCs/>
                <w:sz w:val="22"/>
                <w:szCs w:val="22"/>
              </w:rPr>
            </w:pPr>
            <w:r w:rsidRPr="00937933">
              <w:rPr>
                <w:rFonts w:ascii="Glacial Indifference" w:hAnsi="Glacial Indifference"/>
                <w:b/>
                <w:bCs/>
                <w:sz w:val="22"/>
                <w:szCs w:val="22"/>
              </w:rPr>
              <w:t>No agreement</w:t>
            </w:r>
          </w:p>
        </w:tc>
      </w:tr>
      <w:tr w:rsidR="00937933" w:rsidRPr="00937933" w14:paraId="24816325" w14:textId="77777777" w:rsidTr="00AA0363">
        <w:trPr>
          <w:trHeight w:val="300"/>
        </w:trPr>
        <w:tc>
          <w:tcPr>
            <w:tcW w:w="1408" w:type="pct"/>
            <w:gridSpan w:val="2"/>
            <w:shd w:val="clear" w:color="auto" w:fill="auto"/>
            <w:noWrap/>
            <w:vAlign w:val="center"/>
            <w:hideMark/>
          </w:tcPr>
          <w:p w14:paraId="63BCEAC3" w14:textId="0BCB3B78" w:rsidR="00937933" w:rsidRPr="00937933" w:rsidRDefault="00937933">
            <w:pPr>
              <w:rPr>
                <w:rFonts w:ascii="Glacial Indifference" w:hAnsi="Glacial Indifference"/>
                <w:sz w:val="22"/>
                <w:szCs w:val="22"/>
              </w:rPr>
            </w:pPr>
            <w:r>
              <w:rPr>
                <w:rFonts w:ascii="Glacial Indifference" w:hAnsi="Glacial Indifference"/>
                <w:sz w:val="22"/>
                <w:szCs w:val="22"/>
              </w:rPr>
              <w:t xml:space="preserve">7.2 </w:t>
            </w:r>
            <w:r w:rsidRPr="00937933">
              <w:rPr>
                <w:rFonts w:ascii="Glacial Indifference" w:hAnsi="Glacial Indifference"/>
                <w:sz w:val="22"/>
                <w:szCs w:val="22"/>
              </w:rPr>
              <w:t xml:space="preserve">Rate of fetal loss following prenatal diagnosis (CVS or amniocentesis) </w:t>
            </w:r>
          </w:p>
        </w:tc>
        <w:tc>
          <w:tcPr>
            <w:tcW w:w="3592" w:type="pct"/>
            <w:shd w:val="clear" w:color="auto" w:fill="auto"/>
            <w:noWrap/>
            <w:vAlign w:val="center"/>
            <w:hideMark/>
          </w:tcPr>
          <w:p w14:paraId="61872ED4" w14:textId="77777777" w:rsidR="00937933" w:rsidRPr="00937933" w:rsidRDefault="00937933">
            <w:pPr>
              <w:rPr>
                <w:rFonts w:ascii="Glacial Indifference" w:hAnsi="Glacial Indifference"/>
                <w:sz w:val="22"/>
                <w:szCs w:val="22"/>
              </w:rPr>
            </w:pPr>
            <w:r w:rsidRPr="00937933">
              <w:rPr>
                <w:rFonts w:ascii="Glacial Indifference" w:hAnsi="Glacial Indifference"/>
                <w:sz w:val="22"/>
                <w:szCs w:val="22"/>
              </w:rPr>
              <w:t>Rate of fetal loss following prenatal diagnosis (CVS or amniocentesis) - studies should report the number of pregnancies that miscarried following prenatal diagnosis.</w:t>
            </w:r>
          </w:p>
        </w:tc>
      </w:tr>
    </w:tbl>
    <w:p w14:paraId="69F72CEB" w14:textId="4A832124" w:rsidR="00DB7E50" w:rsidRPr="00AC1ECC" w:rsidRDefault="00DB7E50">
      <w:pPr>
        <w:rPr>
          <w:rFonts w:ascii="Glacial Indifference" w:hAnsi="Glacial Indifference"/>
        </w:rPr>
      </w:pPr>
    </w:p>
    <w:sectPr w:rsidR="00DB7E50" w:rsidRPr="00AC1ECC" w:rsidSect="00AA036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3DFFB" w14:textId="77777777" w:rsidR="00316DD4" w:rsidRDefault="00316DD4" w:rsidP="009163C8">
      <w:r>
        <w:separator/>
      </w:r>
    </w:p>
  </w:endnote>
  <w:endnote w:type="continuationSeparator" w:id="0">
    <w:p w14:paraId="31715389" w14:textId="77777777" w:rsidR="00316DD4" w:rsidRDefault="00316DD4" w:rsidP="00916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Roman">
    <w:altName w:val="Calibri"/>
    <w:charset w:val="4D"/>
    <w:family w:val="swiss"/>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lacial Indifference">
    <w:panose1 w:val="00000000000000000000"/>
    <w:charset w:val="00"/>
    <w:family w:val="modern"/>
    <w:notTrueType/>
    <w:pitch w:val="variable"/>
    <w:sig w:usb0="80000027" w:usb1="1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Optima LT Std">
    <w:altName w:val="Calibri"/>
    <w:charset w:val="00"/>
    <w:family w:val="auto"/>
    <w:pitch w:val="variable"/>
    <w:sig w:usb0="80000067"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lacial Indifference" w:hAnsi="Glacial Indifference"/>
        <w:sz w:val="20"/>
        <w:szCs w:val="20"/>
      </w:rPr>
      <w:id w:val="-1192603759"/>
      <w:docPartObj>
        <w:docPartGallery w:val="Page Numbers (Bottom of Page)"/>
        <w:docPartUnique/>
      </w:docPartObj>
    </w:sdtPr>
    <w:sdtContent>
      <w:sdt>
        <w:sdtPr>
          <w:rPr>
            <w:rFonts w:ascii="Glacial Indifference" w:hAnsi="Glacial Indifference"/>
            <w:sz w:val="20"/>
            <w:szCs w:val="20"/>
          </w:rPr>
          <w:id w:val="-1769616900"/>
          <w:docPartObj>
            <w:docPartGallery w:val="Page Numbers (Top of Page)"/>
            <w:docPartUnique/>
          </w:docPartObj>
        </w:sdtPr>
        <w:sdtContent>
          <w:p w14:paraId="6A8EE7D1" w14:textId="3250AFD1" w:rsidR="00AA0363" w:rsidRPr="00AA0363" w:rsidRDefault="00AA0363">
            <w:pPr>
              <w:pStyle w:val="Footer"/>
              <w:jc w:val="right"/>
              <w:rPr>
                <w:rFonts w:ascii="Glacial Indifference" w:hAnsi="Glacial Indifference"/>
                <w:sz w:val="20"/>
                <w:szCs w:val="20"/>
              </w:rPr>
            </w:pPr>
            <w:r w:rsidRPr="00AA0363">
              <w:rPr>
                <w:rFonts w:ascii="Glacial Indifference" w:hAnsi="Glacial Indifference"/>
                <w:sz w:val="20"/>
                <w:szCs w:val="20"/>
              </w:rPr>
              <w:t xml:space="preserve">Page </w:t>
            </w:r>
            <w:r w:rsidRPr="00AA0363">
              <w:rPr>
                <w:rFonts w:ascii="Glacial Indifference" w:hAnsi="Glacial Indifference"/>
                <w:b/>
                <w:bCs/>
                <w:sz w:val="20"/>
                <w:szCs w:val="20"/>
              </w:rPr>
              <w:fldChar w:fldCharType="begin"/>
            </w:r>
            <w:r w:rsidRPr="00AA0363">
              <w:rPr>
                <w:rFonts w:ascii="Glacial Indifference" w:hAnsi="Glacial Indifference"/>
                <w:b/>
                <w:bCs/>
                <w:sz w:val="20"/>
                <w:szCs w:val="20"/>
              </w:rPr>
              <w:instrText xml:space="preserve"> PAGE </w:instrText>
            </w:r>
            <w:r w:rsidRPr="00AA0363">
              <w:rPr>
                <w:rFonts w:ascii="Glacial Indifference" w:hAnsi="Glacial Indifference"/>
                <w:b/>
                <w:bCs/>
                <w:sz w:val="20"/>
                <w:szCs w:val="20"/>
              </w:rPr>
              <w:fldChar w:fldCharType="separate"/>
            </w:r>
            <w:r w:rsidRPr="00AA0363">
              <w:rPr>
                <w:rFonts w:ascii="Glacial Indifference" w:hAnsi="Glacial Indifference"/>
                <w:b/>
                <w:bCs/>
                <w:noProof/>
                <w:sz w:val="20"/>
                <w:szCs w:val="20"/>
              </w:rPr>
              <w:t>2</w:t>
            </w:r>
            <w:r w:rsidRPr="00AA0363">
              <w:rPr>
                <w:rFonts w:ascii="Glacial Indifference" w:hAnsi="Glacial Indifference"/>
                <w:b/>
                <w:bCs/>
                <w:sz w:val="20"/>
                <w:szCs w:val="20"/>
              </w:rPr>
              <w:fldChar w:fldCharType="end"/>
            </w:r>
            <w:r w:rsidRPr="00AA0363">
              <w:rPr>
                <w:rFonts w:ascii="Glacial Indifference" w:hAnsi="Glacial Indifference"/>
                <w:sz w:val="20"/>
                <w:szCs w:val="20"/>
              </w:rPr>
              <w:t xml:space="preserve"> of </w:t>
            </w:r>
            <w:r w:rsidRPr="00AA0363">
              <w:rPr>
                <w:rFonts w:ascii="Glacial Indifference" w:hAnsi="Glacial Indifference"/>
                <w:b/>
                <w:bCs/>
                <w:sz w:val="20"/>
                <w:szCs w:val="20"/>
              </w:rPr>
              <w:fldChar w:fldCharType="begin"/>
            </w:r>
            <w:r w:rsidRPr="00AA0363">
              <w:rPr>
                <w:rFonts w:ascii="Glacial Indifference" w:hAnsi="Glacial Indifference"/>
                <w:b/>
                <w:bCs/>
                <w:sz w:val="20"/>
                <w:szCs w:val="20"/>
              </w:rPr>
              <w:instrText xml:space="preserve"> NUMPAGES  </w:instrText>
            </w:r>
            <w:r w:rsidRPr="00AA0363">
              <w:rPr>
                <w:rFonts w:ascii="Glacial Indifference" w:hAnsi="Glacial Indifference"/>
                <w:b/>
                <w:bCs/>
                <w:sz w:val="20"/>
                <w:szCs w:val="20"/>
              </w:rPr>
              <w:fldChar w:fldCharType="separate"/>
            </w:r>
            <w:r w:rsidRPr="00AA0363">
              <w:rPr>
                <w:rFonts w:ascii="Glacial Indifference" w:hAnsi="Glacial Indifference"/>
                <w:b/>
                <w:bCs/>
                <w:noProof/>
                <w:sz w:val="20"/>
                <w:szCs w:val="20"/>
              </w:rPr>
              <w:t>2</w:t>
            </w:r>
            <w:r w:rsidRPr="00AA0363">
              <w:rPr>
                <w:rFonts w:ascii="Glacial Indifference" w:hAnsi="Glacial Indifference"/>
                <w:b/>
                <w:bCs/>
                <w:sz w:val="20"/>
                <w:szCs w:val="20"/>
              </w:rPr>
              <w:fldChar w:fldCharType="end"/>
            </w:r>
          </w:p>
        </w:sdtContent>
      </w:sdt>
    </w:sdtContent>
  </w:sdt>
  <w:p w14:paraId="7E91C273" w14:textId="77777777" w:rsidR="00AA0363" w:rsidRDefault="00AA03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D0239" w14:textId="77777777" w:rsidR="00316DD4" w:rsidRDefault="00316DD4" w:rsidP="009163C8">
      <w:r>
        <w:separator/>
      </w:r>
    </w:p>
  </w:footnote>
  <w:footnote w:type="continuationSeparator" w:id="0">
    <w:p w14:paraId="4953E855" w14:textId="77777777" w:rsidR="00316DD4" w:rsidRDefault="00316DD4" w:rsidP="009163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72BE0"/>
    <w:multiLevelType w:val="multilevel"/>
    <w:tmpl w:val="D3BA0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EA0BF6"/>
    <w:multiLevelType w:val="multilevel"/>
    <w:tmpl w:val="0409001D"/>
    <w:numStyleLink w:val="Singlepunch"/>
  </w:abstractNum>
  <w:abstractNum w:abstractNumId="2" w15:restartNumberingAfterBreak="0">
    <w:nsid w:val="143E3533"/>
    <w:multiLevelType w:val="multilevel"/>
    <w:tmpl w:val="241240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D26870"/>
    <w:multiLevelType w:val="multilevel"/>
    <w:tmpl w:val="D79AE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B726E5"/>
    <w:multiLevelType w:val="multilevel"/>
    <w:tmpl w:val="D354D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235680"/>
    <w:multiLevelType w:val="multilevel"/>
    <w:tmpl w:val="82FC90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750EA4"/>
    <w:multiLevelType w:val="multilevel"/>
    <w:tmpl w:val="CC08F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3B1CF0"/>
    <w:multiLevelType w:val="multilevel"/>
    <w:tmpl w:val="9828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0835B3"/>
    <w:multiLevelType w:val="hybridMultilevel"/>
    <w:tmpl w:val="B1DA91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6891DC8"/>
    <w:multiLevelType w:val="multilevel"/>
    <w:tmpl w:val="96D273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8E1CE2"/>
    <w:multiLevelType w:val="multilevel"/>
    <w:tmpl w:val="0409001D"/>
    <w:numStyleLink w:val="Multipunch"/>
  </w:abstractNum>
  <w:abstractNum w:abstractNumId="11"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1D91F54"/>
    <w:multiLevelType w:val="hybridMultilevel"/>
    <w:tmpl w:val="2F8C988C"/>
    <w:lvl w:ilvl="0" w:tplc="A5FA133C">
      <w:start w:val="4000"/>
      <w:numFmt w:val="bullet"/>
      <w:lvlText w:val="-"/>
      <w:lvlJc w:val="left"/>
      <w:pPr>
        <w:ind w:left="720" w:hanging="360"/>
      </w:pPr>
      <w:rPr>
        <w:rFonts w:ascii="Avenir Roman" w:eastAsiaTheme="minorHAnsi" w:hAnsi="Avenir Roma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255531"/>
    <w:multiLevelType w:val="multilevel"/>
    <w:tmpl w:val="13EED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C0096D"/>
    <w:multiLevelType w:val="hybridMultilevel"/>
    <w:tmpl w:val="75FA716C"/>
    <w:lvl w:ilvl="0" w:tplc="3B4EA292">
      <w:start w:val="400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E71A05"/>
    <w:multiLevelType w:val="multilevel"/>
    <w:tmpl w:val="F4608B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587912"/>
    <w:multiLevelType w:val="multilevel"/>
    <w:tmpl w:val="D08651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9A10A4"/>
    <w:multiLevelType w:val="multilevel"/>
    <w:tmpl w:val="1B8C5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5E56CB"/>
    <w:multiLevelType w:val="multilevel"/>
    <w:tmpl w:val="D4181C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4A12BE"/>
    <w:multiLevelType w:val="multilevel"/>
    <w:tmpl w:val="504A8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4AD04105"/>
    <w:multiLevelType w:val="multilevel"/>
    <w:tmpl w:val="4AB2F8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407DA9"/>
    <w:multiLevelType w:val="multilevel"/>
    <w:tmpl w:val="FB64B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934122"/>
    <w:multiLevelType w:val="multilevel"/>
    <w:tmpl w:val="F110A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D77675"/>
    <w:multiLevelType w:val="multilevel"/>
    <w:tmpl w:val="735E7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DD517E"/>
    <w:multiLevelType w:val="multilevel"/>
    <w:tmpl w:val="13040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59005F"/>
    <w:multiLevelType w:val="multilevel"/>
    <w:tmpl w:val="BAA61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005F74"/>
    <w:multiLevelType w:val="multilevel"/>
    <w:tmpl w:val="7004D8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B466D1"/>
    <w:multiLevelType w:val="hybridMultilevel"/>
    <w:tmpl w:val="332C6850"/>
    <w:lvl w:ilvl="0" w:tplc="3B4EA292">
      <w:start w:val="400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FF3015"/>
    <w:multiLevelType w:val="multilevel"/>
    <w:tmpl w:val="BF50E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B15500"/>
    <w:multiLevelType w:val="hybridMultilevel"/>
    <w:tmpl w:val="E4F2947E"/>
    <w:lvl w:ilvl="0" w:tplc="983825FE">
      <w:start w:val="7"/>
      <w:numFmt w:val="bullet"/>
      <w:lvlText w:val="-"/>
      <w:lvlJc w:val="left"/>
      <w:pPr>
        <w:ind w:left="720" w:hanging="360"/>
      </w:pPr>
      <w:rPr>
        <w:rFonts w:ascii="Glacial Indifference" w:eastAsiaTheme="minorHAnsi" w:hAnsi="Glacial Indifferenc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91B44D5"/>
    <w:multiLevelType w:val="multilevel"/>
    <w:tmpl w:val="D426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4060E3"/>
    <w:multiLevelType w:val="multilevel"/>
    <w:tmpl w:val="4C024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6662629">
    <w:abstractNumId w:val="11"/>
  </w:num>
  <w:num w:numId="2" w16cid:durableId="1206139387">
    <w:abstractNumId w:val="10"/>
  </w:num>
  <w:num w:numId="3" w16cid:durableId="50931334">
    <w:abstractNumId w:val="20"/>
  </w:num>
  <w:num w:numId="4" w16cid:durableId="756092835">
    <w:abstractNumId w:val="1"/>
  </w:num>
  <w:num w:numId="5" w16cid:durableId="418135626">
    <w:abstractNumId w:val="8"/>
  </w:num>
  <w:num w:numId="6" w16cid:durableId="1259407171">
    <w:abstractNumId w:val="31"/>
  </w:num>
  <w:num w:numId="7" w16cid:durableId="1442796011">
    <w:abstractNumId w:val="5"/>
  </w:num>
  <w:num w:numId="8" w16cid:durableId="1601059389">
    <w:abstractNumId w:val="18"/>
  </w:num>
  <w:num w:numId="9" w16cid:durableId="1994599370">
    <w:abstractNumId w:val="17"/>
  </w:num>
  <w:num w:numId="10" w16cid:durableId="428817556">
    <w:abstractNumId w:val="22"/>
  </w:num>
  <w:num w:numId="11" w16cid:durableId="851454330">
    <w:abstractNumId w:val="4"/>
  </w:num>
  <w:num w:numId="12" w16cid:durableId="1652101969">
    <w:abstractNumId w:val="16"/>
  </w:num>
  <w:num w:numId="13" w16cid:durableId="821041281">
    <w:abstractNumId w:val="29"/>
  </w:num>
  <w:num w:numId="14" w16cid:durableId="1178541663">
    <w:abstractNumId w:val="2"/>
  </w:num>
  <w:num w:numId="15" w16cid:durableId="1431849746">
    <w:abstractNumId w:val="3"/>
  </w:num>
  <w:num w:numId="16" w16cid:durableId="923150344">
    <w:abstractNumId w:val="26"/>
  </w:num>
  <w:num w:numId="17" w16cid:durableId="1863662305">
    <w:abstractNumId w:val="32"/>
  </w:num>
  <w:num w:numId="18" w16cid:durableId="2010981612">
    <w:abstractNumId w:val="13"/>
  </w:num>
  <w:num w:numId="19" w16cid:durableId="466628064">
    <w:abstractNumId w:val="21"/>
  </w:num>
  <w:num w:numId="20" w16cid:durableId="810053182">
    <w:abstractNumId w:val="0"/>
  </w:num>
  <w:num w:numId="21" w16cid:durableId="574164814">
    <w:abstractNumId w:val="6"/>
  </w:num>
  <w:num w:numId="22" w16cid:durableId="1408570157">
    <w:abstractNumId w:val="23"/>
  </w:num>
  <w:num w:numId="23" w16cid:durableId="1477140998">
    <w:abstractNumId w:val="7"/>
  </w:num>
  <w:num w:numId="24" w16cid:durableId="1225601991">
    <w:abstractNumId w:val="25"/>
  </w:num>
  <w:num w:numId="25" w16cid:durableId="337200251">
    <w:abstractNumId w:val="24"/>
  </w:num>
  <w:num w:numId="26" w16cid:durableId="1451819873">
    <w:abstractNumId w:val="19"/>
  </w:num>
  <w:num w:numId="27" w16cid:durableId="1534422382">
    <w:abstractNumId w:val="27"/>
  </w:num>
  <w:num w:numId="28" w16cid:durableId="1621183101">
    <w:abstractNumId w:val="15"/>
  </w:num>
  <w:num w:numId="29" w16cid:durableId="1840727575">
    <w:abstractNumId w:val="9"/>
  </w:num>
  <w:num w:numId="30" w16cid:durableId="1934512271">
    <w:abstractNumId w:val="30"/>
  </w:num>
  <w:num w:numId="31" w16cid:durableId="1175025873">
    <w:abstractNumId w:val="28"/>
  </w:num>
  <w:num w:numId="32" w16cid:durableId="1064377371">
    <w:abstractNumId w:val="14"/>
  </w:num>
  <w:num w:numId="33" w16cid:durableId="4958781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D19"/>
    <w:rsid w:val="000167CD"/>
    <w:rsid w:val="00020534"/>
    <w:rsid w:val="00044F2A"/>
    <w:rsid w:val="00051C5A"/>
    <w:rsid w:val="0006642C"/>
    <w:rsid w:val="00073578"/>
    <w:rsid w:val="000B54DB"/>
    <w:rsid w:val="000F581E"/>
    <w:rsid w:val="00124169"/>
    <w:rsid w:val="00145F19"/>
    <w:rsid w:val="001611C2"/>
    <w:rsid w:val="00177703"/>
    <w:rsid w:val="001C3C08"/>
    <w:rsid w:val="001C42CD"/>
    <w:rsid w:val="001D5FB3"/>
    <w:rsid w:val="001D7BEE"/>
    <w:rsid w:val="001F06A4"/>
    <w:rsid w:val="00200B85"/>
    <w:rsid w:val="00224C82"/>
    <w:rsid w:val="00234610"/>
    <w:rsid w:val="0024511B"/>
    <w:rsid w:val="0027574E"/>
    <w:rsid w:val="00277622"/>
    <w:rsid w:val="002963A5"/>
    <w:rsid w:val="002A5FF8"/>
    <w:rsid w:val="002C1743"/>
    <w:rsid w:val="002E1341"/>
    <w:rsid w:val="002F581C"/>
    <w:rsid w:val="00300FE1"/>
    <w:rsid w:val="00316DD4"/>
    <w:rsid w:val="003349A4"/>
    <w:rsid w:val="003600A9"/>
    <w:rsid w:val="003735C3"/>
    <w:rsid w:val="00374F61"/>
    <w:rsid w:val="00383C29"/>
    <w:rsid w:val="00386045"/>
    <w:rsid w:val="00392D95"/>
    <w:rsid w:val="003B761E"/>
    <w:rsid w:val="003F0F78"/>
    <w:rsid w:val="004045F0"/>
    <w:rsid w:val="00457571"/>
    <w:rsid w:val="00471551"/>
    <w:rsid w:val="00473B10"/>
    <w:rsid w:val="00497724"/>
    <w:rsid w:val="004A63E6"/>
    <w:rsid w:val="004B6350"/>
    <w:rsid w:val="004D7A6A"/>
    <w:rsid w:val="004E1DF2"/>
    <w:rsid w:val="004E34CA"/>
    <w:rsid w:val="004F3649"/>
    <w:rsid w:val="00525441"/>
    <w:rsid w:val="00530634"/>
    <w:rsid w:val="005334AE"/>
    <w:rsid w:val="00555DA6"/>
    <w:rsid w:val="005732E1"/>
    <w:rsid w:val="00590E97"/>
    <w:rsid w:val="005B2C51"/>
    <w:rsid w:val="00615DF4"/>
    <w:rsid w:val="00622F38"/>
    <w:rsid w:val="006458CC"/>
    <w:rsid w:val="0065296D"/>
    <w:rsid w:val="006673A8"/>
    <w:rsid w:val="00687F6A"/>
    <w:rsid w:val="00691DDC"/>
    <w:rsid w:val="006A05F3"/>
    <w:rsid w:val="006A096E"/>
    <w:rsid w:val="006A1672"/>
    <w:rsid w:val="006A4528"/>
    <w:rsid w:val="006B56BD"/>
    <w:rsid w:val="006E3C7B"/>
    <w:rsid w:val="006E7A53"/>
    <w:rsid w:val="006F2FE5"/>
    <w:rsid w:val="006F4816"/>
    <w:rsid w:val="00700F7C"/>
    <w:rsid w:val="00714D28"/>
    <w:rsid w:val="007236AC"/>
    <w:rsid w:val="0072722D"/>
    <w:rsid w:val="007718D8"/>
    <w:rsid w:val="007A1C5E"/>
    <w:rsid w:val="007A3917"/>
    <w:rsid w:val="007B78CA"/>
    <w:rsid w:val="007D1267"/>
    <w:rsid w:val="007D71D0"/>
    <w:rsid w:val="007E7340"/>
    <w:rsid w:val="007F253B"/>
    <w:rsid w:val="00817F5F"/>
    <w:rsid w:val="00830C14"/>
    <w:rsid w:val="008356AC"/>
    <w:rsid w:val="008A0BBE"/>
    <w:rsid w:val="008C00D9"/>
    <w:rsid w:val="008D1B73"/>
    <w:rsid w:val="008E30AA"/>
    <w:rsid w:val="0090276F"/>
    <w:rsid w:val="009143DC"/>
    <w:rsid w:val="00915134"/>
    <w:rsid w:val="009163C8"/>
    <w:rsid w:val="00933E68"/>
    <w:rsid w:val="00937933"/>
    <w:rsid w:val="009462F8"/>
    <w:rsid w:val="00953B72"/>
    <w:rsid w:val="009559CC"/>
    <w:rsid w:val="00957DC1"/>
    <w:rsid w:val="00964E7E"/>
    <w:rsid w:val="00965C53"/>
    <w:rsid w:val="00971E02"/>
    <w:rsid w:val="009848C9"/>
    <w:rsid w:val="00991819"/>
    <w:rsid w:val="009A2857"/>
    <w:rsid w:val="009A4919"/>
    <w:rsid w:val="009A508F"/>
    <w:rsid w:val="009D0000"/>
    <w:rsid w:val="00A0057B"/>
    <w:rsid w:val="00A23C5D"/>
    <w:rsid w:val="00A32B52"/>
    <w:rsid w:val="00A55B77"/>
    <w:rsid w:val="00A678B9"/>
    <w:rsid w:val="00A90515"/>
    <w:rsid w:val="00AA0363"/>
    <w:rsid w:val="00AB2A58"/>
    <w:rsid w:val="00AC18C2"/>
    <w:rsid w:val="00AC1ECC"/>
    <w:rsid w:val="00B12125"/>
    <w:rsid w:val="00B30D50"/>
    <w:rsid w:val="00B40C6E"/>
    <w:rsid w:val="00B43B54"/>
    <w:rsid w:val="00B4469A"/>
    <w:rsid w:val="00B52183"/>
    <w:rsid w:val="00B629EC"/>
    <w:rsid w:val="00B649BE"/>
    <w:rsid w:val="00B715B8"/>
    <w:rsid w:val="00B97AA0"/>
    <w:rsid w:val="00BA5570"/>
    <w:rsid w:val="00BA7B76"/>
    <w:rsid w:val="00BB4B94"/>
    <w:rsid w:val="00BC4497"/>
    <w:rsid w:val="00BE01A9"/>
    <w:rsid w:val="00C071C0"/>
    <w:rsid w:val="00C15F52"/>
    <w:rsid w:val="00C66BC8"/>
    <w:rsid w:val="00C70316"/>
    <w:rsid w:val="00CE2209"/>
    <w:rsid w:val="00D005E6"/>
    <w:rsid w:val="00D1481B"/>
    <w:rsid w:val="00D4589D"/>
    <w:rsid w:val="00D56761"/>
    <w:rsid w:val="00DA01E1"/>
    <w:rsid w:val="00DB7E50"/>
    <w:rsid w:val="00DC061C"/>
    <w:rsid w:val="00DE2287"/>
    <w:rsid w:val="00DE5D19"/>
    <w:rsid w:val="00E1679E"/>
    <w:rsid w:val="00E221D6"/>
    <w:rsid w:val="00E23C68"/>
    <w:rsid w:val="00E44B1A"/>
    <w:rsid w:val="00E452BB"/>
    <w:rsid w:val="00E47575"/>
    <w:rsid w:val="00E5332B"/>
    <w:rsid w:val="00E57251"/>
    <w:rsid w:val="00E96B21"/>
    <w:rsid w:val="00EA72E5"/>
    <w:rsid w:val="00EB5F56"/>
    <w:rsid w:val="00EC1DEB"/>
    <w:rsid w:val="00ED5DDE"/>
    <w:rsid w:val="00EE7160"/>
    <w:rsid w:val="00EF3424"/>
    <w:rsid w:val="00F21DF0"/>
    <w:rsid w:val="00F547BE"/>
    <w:rsid w:val="00F605B0"/>
    <w:rsid w:val="00F73D21"/>
    <w:rsid w:val="00FA6C85"/>
    <w:rsid w:val="00FD4269"/>
    <w:rsid w:val="00FE79B5"/>
    <w:rsid w:val="00FF4A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8047B5"/>
  <w15:chartTrackingRefBased/>
  <w15:docId w15:val="{9F10065A-0E07-4CE1-9A47-3AB895EFC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D1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4511B"/>
    <w:pPr>
      <w:keepNext/>
      <w:keepLines/>
      <w:spacing w:before="240" w:line="276" w:lineRule="auto"/>
      <w:outlineLvl w:val="0"/>
    </w:pPr>
    <w:rPr>
      <w:rFonts w:asciiTheme="majorHAnsi" w:eastAsiaTheme="majorEastAsia" w:hAnsiTheme="majorHAnsi" w:cstheme="majorBidi"/>
      <w:color w:val="006F74" w:themeColor="accent1" w:themeShade="BF"/>
      <w:sz w:val="32"/>
      <w:szCs w:val="32"/>
      <w:lang w:val="en-US"/>
    </w:rPr>
  </w:style>
  <w:style w:type="paragraph" w:styleId="Heading2">
    <w:name w:val="heading 2"/>
    <w:basedOn w:val="Normal"/>
    <w:link w:val="Heading2Char"/>
    <w:uiPriority w:val="9"/>
    <w:qFormat/>
    <w:rsid w:val="0024511B"/>
    <w:pPr>
      <w:spacing w:before="100" w:beforeAutospacing="1" w:after="100" w:afterAutospacing="1"/>
      <w:outlineLvl w:val="1"/>
    </w:pPr>
    <w:rPr>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7E50"/>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QTable">
    <w:name w:val="QTable"/>
    <w:uiPriority w:val="99"/>
    <w:qFormat/>
    <w:rsid w:val="007E7340"/>
    <w:pPr>
      <w:spacing w:after="0" w:line="240" w:lineRule="auto"/>
    </w:pPr>
    <w:rPr>
      <w:rFonts w:eastAsiaTheme="minorEastAsia"/>
      <w:lang w:val="en-US"/>
    </w:r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7E7340"/>
    <w:pPr>
      <w:spacing w:after="0" w:line="240" w:lineRule="auto"/>
      <w:jc w:val="center"/>
    </w:pPr>
    <w:rPr>
      <w:rFonts w:eastAsiaTheme="minorEastAsia"/>
      <w:sz w:val="20"/>
      <w:szCs w:val="20"/>
      <w:lang w:val="en-US" w:eastAsia="en-AU"/>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Bipolar">
    <w:name w:val="QQuestionTableBipolar"/>
    <w:uiPriority w:val="99"/>
    <w:qFormat/>
    <w:rsid w:val="007E7340"/>
    <w:pPr>
      <w:spacing w:after="0" w:line="240" w:lineRule="auto"/>
      <w:jc w:val="center"/>
    </w:pPr>
    <w:rPr>
      <w:rFonts w:eastAsiaTheme="minorEastAsia"/>
      <w:sz w:val="20"/>
      <w:szCs w:val="20"/>
      <w:lang w:val="en-US" w:eastAsia="en-AU"/>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7E7340"/>
    <w:pPr>
      <w:spacing w:after="0" w:line="240" w:lineRule="auto"/>
      <w:jc w:val="center"/>
    </w:pPr>
    <w:rPr>
      <w:rFonts w:eastAsiaTheme="minorEastAsia"/>
      <w:sz w:val="20"/>
      <w:szCs w:val="20"/>
      <w:lang w:val="en-US" w:eastAsia="en-AU"/>
    </w:r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VerticalGraphicSliderTable">
    <w:name w:val="QVerticalGraphicSliderTable"/>
    <w:uiPriority w:val="99"/>
    <w:qFormat/>
    <w:rsid w:val="007E7340"/>
    <w:pPr>
      <w:spacing w:after="0" w:line="240" w:lineRule="auto"/>
    </w:pPr>
    <w:rPr>
      <w:rFonts w:eastAsiaTheme="minorEastAsia"/>
      <w:sz w:val="20"/>
      <w:szCs w:val="20"/>
      <w:lang w:val="en-US" w:eastAsia="en-AU"/>
    </w:r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HorizontalGraphicSliderTable">
    <w:name w:val="QHorizontalGraphicSliderTable"/>
    <w:uiPriority w:val="99"/>
    <w:qFormat/>
    <w:rsid w:val="007E7340"/>
    <w:pPr>
      <w:spacing w:after="120" w:line="240" w:lineRule="auto"/>
      <w:jc w:val="center"/>
    </w:pPr>
    <w:rPr>
      <w:rFonts w:eastAsiaTheme="minorEastAsia"/>
      <w:lang w:val="en-US"/>
    </w:rPr>
    <w:tblPr>
      <w:tblCellMar>
        <w:top w:w="40" w:type="dxa"/>
        <w:left w:w="40" w:type="dxa"/>
        <w:bottom w:w="40" w:type="dxa"/>
        <w:right w:w="40" w:type="dxa"/>
      </w:tblCellMar>
    </w:tblPr>
  </w:style>
  <w:style w:type="table" w:customStyle="1" w:styleId="QStarSliderTable">
    <w:name w:val="QStarSliderTable"/>
    <w:uiPriority w:val="99"/>
    <w:qFormat/>
    <w:rsid w:val="007E7340"/>
    <w:pPr>
      <w:spacing w:after="120" w:line="240" w:lineRule="auto"/>
      <w:jc w:val="center"/>
    </w:pPr>
    <w:rPr>
      <w:rFonts w:eastAsiaTheme="minorEastAsia"/>
      <w:lang w:val="en-US"/>
    </w:rPr>
    <w:tblPr>
      <w:tblCellMar>
        <w:top w:w="0" w:type="dxa"/>
        <w:left w:w="20" w:type="dxa"/>
        <w:bottom w:w="0" w:type="dxa"/>
        <w:right w:w="20" w:type="dxa"/>
      </w:tblCellMar>
    </w:tblPr>
  </w:style>
  <w:style w:type="table" w:customStyle="1" w:styleId="QStandardSliderTable">
    <w:name w:val="QStandardSliderTable"/>
    <w:uiPriority w:val="99"/>
    <w:qFormat/>
    <w:rsid w:val="007E7340"/>
    <w:pPr>
      <w:spacing w:after="0" w:line="240" w:lineRule="auto"/>
      <w:jc w:val="center"/>
    </w:pPr>
    <w:rPr>
      <w:rFonts w:eastAsiaTheme="minorEastAsia"/>
      <w:sz w:val="20"/>
      <w:szCs w:val="20"/>
      <w:lang w:val="en-US" w:eastAsia="en-AU"/>
    </w:r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7E7340"/>
    <w:pPr>
      <w:spacing w:after="0" w:line="240" w:lineRule="auto"/>
      <w:jc w:val="center"/>
    </w:pPr>
    <w:rPr>
      <w:rFonts w:eastAsiaTheme="minorEastAsia"/>
      <w:lang w:val="en-US"/>
    </w:rPr>
    <w:tblPr>
      <w:tblCellMar>
        <w:top w:w="0" w:type="dxa"/>
        <w:left w:w="0" w:type="dxa"/>
        <w:bottom w:w="0" w:type="dxa"/>
        <w:right w:w="0" w:type="dxa"/>
      </w:tblCellMar>
    </w:tblPr>
  </w:style>
  <w:style w:type="paragraph" w:customStyle="1" w:styleId="BarSlider">
    <w:name w:val="BarSlider"/>
    <w:basedOn w:val="Normal"/>
    <w:qFormat/>
    <w:rsid w:val="007E7340"/>
    <w:pPr>
      <w:pBdr>
        <w:top w:val="single" w:sz="160" w:space="0" w:color="499FD1"/>
      </w:pBdr>
      <w:spacing w:before="80"/>
    </w:pPr>
    <w:rPr>
      <w:rFonts w:asciiTheme="minorHAnsi" w:eastAsiaTheme="minorEastAsia" w:hAnsiTheme="minorHAnsi" w:cstheme="minorBidi"/>
      <w:sz w:val="22"/>
      <w:szCs w:val="22"/>
      <w:lang w:val="en-US"/>
    </w:rPr>
  </w:style>
  <w:style w:type="paragraph" w:customStyle="1" w:styleId="QSummary">
    <w:name w:val="QSummary"/>
    <w:basedOn w:val="Normal"/>
    <w:qFormat/>
    <w:rsid w:val="007E7340"/>
    <w:pPr>
      <w:spacing w:line="276" w:lineRule="auto"/>
    </w:pPr>
    <w:rPr>
      <w:rFonts w:asciiTheme="minorHAnsi" w:eastAsiaTheme="minorEastAsia" w:hAnsiTheme="minorHAnsi" w:cstheme="minorBidi"/>
      <w:b/>
      <w:sz w:val="22"/>
      <w:szCs w:val="22"/>
      <w:lang w:val="en-US"/>
    </w:rPr>
  </w:style>
  <w:style w:type="table" w:customStyle="1" w:styleId="QQuestionIconTable">
    <w:name w:val="QQuestionIconTable"/>
    <w:uiPriority w:val="99"/>
    <w:qFormat/>
    <w:rsid w:val="007E7340"/>
    <w:pPr>
      <w:spacing w:after="0" w:line="240" w:lineRule="auto"/>
      <w:jc w:val="center"/>
    </w:pPr>
    <w:rPr>
      <w:rFonts w:eastAsiaTheme="minorEastAsia"/>
      <w:lang w:val="en-US"/>
    </w:r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7E7340"/>
    <w:pPr>
      <w:pBdr>
        <w:left w:val="single" w:sz="4" w:space="4" w:color="D9D9D9" w:themeColor="background1" w:themeShade="D9"/>
        <w:right w:val="single" w:sz="4" w:space="4" w:color="D9D9D9" w:themeColor="background1" w:themeShade="D9"/>
      </w:pBdr>
      <w:shd w:val="clear" w:color="auto" w:fill="D9D9D9" w:themeFill="background1" w:themeFillShade="D9"/>
      <w:spacing w:line="276" w:lineRule="auto"/>
    </w:pPr>
    <w:rPr>
      <w:rFonts w:asciiTheme="minorHAnsi" w:eastAsiaTheme="minorEastAsia" w:hAnsiTheme="minorHAnsi" w:cstheme="minorBidi"/>
      <w:b/>
      <w:sz w:val="32"/>
      <w:szCs w:val="22"/>
      <w:lang w:val="en-US"/>
    </w:rPr>
  </w:style>
  <w:style w:type="table" w:customStyle="1" w:styleId="QBar">
    <w:name w:val="QBar"/>
    <w:uiPriority w:val="99"/>
    <w:qFormat/>
    <w:rsid w:val="007E7340"/>
    <w:pPr>
      <w:spacing w:after="0" w:line="240" w:lineRule="auto"/>
    </w:pPr>
    <w:rPr>
      <w:rFonts w:eastAsiaTheme="minorEastAsia"/>
      <w:sz w:val="18"/>
      <w:szCs w:val="20"/>
      <w:lang w:eastAsia="en-AU"/>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7E7340"/>
    <w:pPr>
      <w:spacing w:after="0" w:line="240" w:lineRule="auto"/>
    </w:pPr>
    <w:rPr>
      <w:rFonts w:eastAsiaTheme="minorEastAsia"/>
      <w:b/>
      <w:color w:val="FFFFFF" w:themeColor="background1"/>
      <w:sz w:val="20"/>
      <w:szCs w:val="20"/>
      <w:lang w:eastAsia="en-AU"/>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7E7340"/>
    <w:pPr>
      <w:spacing w:after="0" w:line="240" w:lineRule="auto"/>
    </w:pPr>
    <w:rPr>
      <w:rFonts w:eastAsiaTheme="minorEastAsia"/>
      <w:color w:val="FFFFFF" w:themeColor="background1"/>
      <w:lang w:val="en-US"/>
    </w:rPr>
  </w:style>
  <w:style w:type="paragraph" w:customStyle="1" w:styleId="WhiteCompositeLabel">
    <w:name w:val="WhiteCompositeLabel"/>
    <w:next w:val="Normal"/>
    <w:rsid w:val="007E7340"/>
    <w:pPr>
      <w:spacing w:before="43" w:after="43" w:line="240" w:lineRule="auto"/>
      <w:jc w:val="center"/>
    </w:pPr>
    <w:rPr>
      <w:rFonts w:ascii="Calibri" w:eastAsia="Times New Roman" w:hAnsi="Calibri" w:cs="Times New Roman"/>
      <w:b/>
      <w:color w:val="FFFFFF"/>
      <w:lang w:val="en-US"/>
    </w:rPr>
  </w:style>
  <w:style w:type="paragraph" w:customStyle="1" w:styleId="CompositeLabel">
    <w:name w:val="CompositeLabel"/>
    <w:next w:val="Normal"/>
    <w:rsid w:val="007E7340"/>
    <w:pPr>
      <w:spacing w:before="43" w:after="43" w:line="240" w:lineRule="auto"/>
      <w:jc w:val="center"/>
    </w:pPr>
    <w:rPr>
      <w:rFonts w:ascii="Calibri" w:eastAsia="Times New Roman" w:hAnsi="Calibri" w:cs="Times New Roman"/>
      <w:b/>
      <w:lang w:val="en-US"/>
    </w:rPr>
  </w:style>
  <w:style w:type="numbering" w:customStyle="1" w:styleId="Multipunch">
    <w:name w:val="Multi punch"/>
    <w:rsid w:val="007E7340"/>
    <w:pPr>
      <w:numPr>
        <w:numId w:val="1"/>
      </w:numPr>
    </w:pPr>
  </w:style>
  <w:style w:type="paragraph" w:styleId="ListParagraph">
    <w:name w:val="List Paragraph"/>
    <w:basedOn w:val="Normal"/>
    <w:uiPriority w:val="34"/>
    <w:qFormat/>
    <w:rsid w:val="007E7340"/>
    <w:pPr>
      <w:spacing w:line="276" w:lineRule="auto"/>
      <w:ind w:left="720"/>
    </w:pPr>
    <w:rPr>
      <w:rFonts w:asciiTheme="minorHAnsi" w:eastAsiaTheme="minorEastAsia" w:hAnsiTheme="minorHAnsi" w:cstheme="minorBidi"/>
      <w:sz w:val="22"/>
      <w:szCs w:val="22"/>
      <w:lang w:val="en-US"/>
    </w:rPr>
  </w:style>
  <w:style w:type="numbering" w:customStyle="1" w:styleId="Singlepunch">
    <w:name w:val="Single punch"/>
    <w:rsid w:val="007E7340"/>
    <w:pPr>
      <w:numPr>
        <w:numId w:val="3"/>
      </w:numPr>
    </w:pPr>
  </w:style>
  <w:style w:type="paragraph" w:customStyle="1" w:styleId="QDisplayLogic">
    <w:name w:val="QDisplayLogic"/>
    <w:basedOn w:val="Normal"/>
    <w:qFormat/>
    <w:rsid w:val="007E7340"/>
    <w:pPr>
      <w:shd w:val="clear" w:color="auto" w:fill="6898BB"/>
      <w:spacing w:before="120" w:after="120"/>
    </w:pPr>
    <w:rPr>
      <w:rFonts w:asciiTheme="minorHAnsi" w:eastAsiaTheme="minorEastAsia" w:hAnsiTheme="minorHAnsi" w:cstheme="minorBidi"/>
      <w:i/>
      <w:color w:val="FFFFFF"/>
      <w:sz w:val="20"/>
      <w:szCs w:val="22"/>
      <w:lang w:val="en-US"/>
    </w:rPr>
  </w:style>
  <w:style w:type="paragraph" w:customStyle="1" w:styleId="QSkipLogic">
    <w:name w:val="QSkipLogic"/>
    <w:basedOn w:val="Normal"/>
    <w:qFormat/>
    <w:rsid w:val="007E7340"/>
    <w:pPr>
      <w:shd w:val="clear" w:color="auto" w:fill="8D8D8D"/>
      <w:spacing w:before="120" w:after="120"/>
    </w:pPr>
    <w:rPr>
      <w:rFonts w:asciiTheme="minorHAnsi" w:eastAsiaTheme="minorEastAsia" w:hAnsiTheme="minorHAnsi" w:cstheme="minorBidi"/>
      <w:i/>
      <w:color w:val="FFFFFF"/>
      <w:sz w:val="20"/>
      <w:szCs w:val="22"/>
      <w:lang w:val="en-US"/>
    </w:rPr>
  </w:style>
  <w:style w:type="paragraph" w:customStyle="1" w:styleId="SingleLineText">
    <w:name w:val="SingleLineText"/>
    <w:next w:val="Normal"/>
    <w:rsid w:val="007E7340"/>
    <w:pPr>
      <w:spacing w:after="0" w:line="240" w:lineRule="auto"/>
    </w:pPr>
    <w:rPr>
      <w:rFonts w:eastAsiaTheme="minorEastAsia"/>
      <w:lang w:val="en-US"/>
    </w:rPr>
  </w:style>
  <w:style w:type="paragraph" w:customStyle="1" w:styleId="QDynamicChoices">
    <w:name w:val="QDynamicChoices"/>
    <w:basedOn w:val="Normal"/>
    <w:qFormat/>
    <w:rsid w:val="007E7340"/>
    <w:pPr>
      <w:shd w:val="clear" w:color="auto" w:fill="6FAC3D"/>
      <w:spacing w:before="120" w:after="120"/>
    </w:pPr>
    <w:rPr>
      <w:rFonts w:asciiTheme="minorHAnsi" w:eastAsiaTheme="minorEastAsia" w:hAnsiTheme="minorHAnsi" w:cstheme="minorBidi"/>
      <w:i/>
      <w:color w:val="FFFFFF"/>
      <w:sz w:val="20"/>
      <w:szCs w:val="22"/>
      <w:lang w:val="en-US"/>
    </w:rPr>
  </w:style>
  <w:style w:type="paragraph" w:customStyle="1" w:styleId="QReusableChoices">
    <w:name w:val="QReusableChoices"/>
    <w:basedOn w:val="Normal"/>
    <w:qFormat/>
    <w:rsid w:val="007E7340"/>
    <w:pPr>
      <w:shd w:val="clear" w:color="auto" w:fill="3EA18E"/>
      <w:spacing w:before="120" w:after="120"/>
    </w:pPr>
    <w:rPr>
      <w:rFonts w:asciiTheme="minorHAnsi" w:eastAsiaTheme="minorEastAsia" w:hAnsiTheme="minorHAnsi" w:cstheme="minorBidi"/>
      <w:i/>
      <w:color w:val="FFFFFF"/>
      <w:sz w:val="20"/>
      <w:szCs w:val="22"/>
      <w:lang w:val="en-US"/>
    </w:rPr>
  </w:style>
  <w:style w:type="paragraph" w:customStyle="1" w:styleId="H1">
    <w:name w:val="H1"/>
    <w:next w:val="Normal"/>
    <w:rsid w:val="007E7340"/>
    <w:pPr>
      <w:spacing w:after="240" w:line="240" w:lineRule="auto"/>
    </w:pPr>
    <w:rPr>
      <w:rFonts w:eastAsiaTheme="minorEastAsia"/>
      <w:b/>
      <w:color w:val="000000"/>
      <w:sz w:val="64"/>
      <w:szCs w:val="64"/>
      <w:lang w:val="en-US"/>
    </w:rPr>
  </w:style>
  <w:style w:type="paragraph" w:customStyle="1" w:styleId="H2">
    <w:name w:val="H2"/>
    <w:next w:val="Normal"/>
    <w:rsid w:val="007E7340"/>
    <w:pPr>
      <w:spacing w:after="240" w:line="240" w:lineRule="auto"/>
    </w:pPr>
    <w:rPr>
      <w:rFonts w:eastAsiaTheme="minorEastAsia"/>
      <w:b/>
      <w:color w:val="000000"/>
      <w:sz w:val="48"/>
      <w:szCs w:val="48"/>
      <w:lang w:val="en-US"/>
    </w:rPr>
  </w:style>
  <w:style w:type="paragraph" w:customStyle="1" w:styleId="H3">
    <w:name w:val="H3"/>
    <w:next w:val="Normal"/>
    <w:rsid w:val="007E7340"/>
    <w:pPr>
      <w:spacing w:after="120" w:line="240" w:lineRule="auto"/>
    </w:pPr>
    <w:rPr>
      <w:rFonts w:eastAsiaTheme="minorEastAsia"/>
      <w:b/>
      <w:color w:val="000000"/>
      <w:sz w:val="36"/>
      <w:szCs w:val="36"/>
      <w:lang w:val="en-US"/>
    </w:rPr>
  </w:style>
  <w:style w:type="paragraph" w:customStyle="1" w:styleId="BlockStartLabel">
    <w:name w:val="BlockStartLabel"/>
    <w:basedOn w:val="Normal"/>
    <w:qFormat/>
    <w:rsid w:val="007E7340"/>
    <w:pPr>
      <w:spacing w:before="120" w:after="120"/>
    </w:pPr>
    <w:rPr>
      <w:rFonts w:asciiTheme="minorHAnsi" w:eastAsiaTheme="minorEastAsia" w:hAnsiTheme="minorHAnsi" w:cstheme="minorBidi"/>
      <w:b/>
      <w:color w:val="CCCCCC"/>
      <w:sz w:val="22"/>
      <w:szCs w:val="22"/>
      <w:lang w:val="en-US"/>
    </w:rPr>
  </w:style>
  <w:style w:type="paragraph" w:customStyle="1" w:styleId="BlockEndLabel">
    <w:name w:val="BlockEndLabel"/>
    <w:basedOn w:val="Normal"/>
    <w:qFormat/>
    <w:rsid w:val="007E7340"/>
    <w:pPr>
      <w:spacing w:before="120"/>
    </w:pPr>
    <w:rPr>
      <w:rFonts w:asciiTheme="minorHAnsi" w:eastAsiaTheme="minorEastAsia" w:hAnsiTheme="minorHAnsi" w:cstheme="minorBidi"/>
      <w:b/>
      <w:color w:val="CCCCCC"/>
      <w:sz w:val="22"/>
      <w:szCs w:val="22"/>
      <w:lang w:val="en-US"/>
    </w:rPr>
  </w:style>
  <w:style w:type="paragraph" w:customStyle="1" w:styleId="BlockSeparator">
    <w:name w:val="BlockSeparator"/>
    <w:basedOn w:val="Normal"/>
    <w:qFormat/>
    <w:rsid w:val="007E7340"/>
    <w:pPr>
      <w:pBdr>
        <w:bottom w:val="single" w:sz="8" w:space="0" w:color="CCCCCC"/>
      </w:pBdr>
      <w:spacing w:line="120" w:lineRule="auto"/>
      <w:jc w:val="center"/>
    </w:pPr>
    <w:rPr>
      <w:rFonts w:asciiTheme="minorHAnsi" w:eastAsiaTheme="minorEastAsia" w:hAnsiTheme="minorHAnsi" w:cstheme="minorBidi"/>
      <w:b/>
      <w:color w:val="CCCCCC"/>
      <w:sz w:val="22"/>
      <w:szCs w:val="22"/>
      <w:lang w:val="en-US"/>
    </w:rPr>
  </w:style>
  <w:style w:type="paragraph" w:customStyle="1" w:styleId="QuestionSeparator">
    <w:name w:val="QuestionSeparator"/>
    <w:basedOn w:val="Normal"/>
    <w:qFormat/>
    <w:rsid w:val="007E7340"/>
    <w:pPr>
      <w:pBdr>
        <w:top w:val="dashed" w:sz="8" w:space="0" w:color="CCCCCC"/>
      </w:pBdr>
      <w:spacing w:before="120" w:after="120" w:line="120" w:lineRule="auto"/>
    </w:pPr>
    <w:rPr>
      <w:rFonts w:asciiTheme="minorHAnsi" w:eastAsiaTheme="minorEastAsia" w:hAnsiTheme="minorHAnsi" w:cstheme="minorBidi"/>
      <w:sz w:val="22"/>
      <w:szCs w:val="22"/>
      <w:lang w:val="en-US"/>
    </w:rPr>
  </w:style>
  <w:style w:type="paragraph" w:customStyle="1" w:styleId="Dropdown">
    <w:name w:val="Dropdown"/>
    <w:basedOn w:val="Normal"/>
    <w:qFormat/>
    <w:rsid w:val="007E7340"/>
    <w:pPr>
      <w:pBdr>
        <w:top w:val="single" w:sz="4" w:space="4" w:color="CCCCCC"/>
        <w:left w:val="single" w:sz="4" w:space="4" w:color="CCCCCC"/>
        <w:bottom w:val="single" w:sz="4" w:space="4" w:color="CCCCCC"/>
        <w:right w:val="single" w:sz="4" w:space="4" w:color="CCCCCC"/>
      </w:pBdr>
      <w:spacing w:before="120" w:after="120"/>
    </w:pPr>
    <w:rPr>
      <w:rFonts w:asciiTheme="minorHAnsi" w:eastAsiaTheme="minorEastAsia" w:hAnsiTheme="minorHAnsi" w:cstheme="minorBidi"/>
      <w:sz w:val="22"/>
      <w:szCs w:val="22"/>
      <w:lang w:val="en-US"/>
    </w:rPr>
  </w:style>
  <w:style w:type="paragraph" w:customStyle="1" w:styleId="TextEntryLine">
    <w:name w:val="TextEntryLine"/>
    <w:basedOn w:val="Normal"/>
    <w:qFormat/>
    <w:rsid w:val="007E7340"/>
    <w:pPr>
      <w:spacing w:before="240"/>
    </w:pPr>
    <w:rPr>
      <w:rFonts w:asciiTheme="minorHAnsi" w:eastAsiaTheme="minorEastAsia" w:hAnsiTheme="minorHAnsi" w:cstheme="minorBidi"/>
      <w:sz w:val="22"/>
      <w:szCs w:val="22"/>
      <w:lang w:val="en-US"/>
    </w:rPr>
  </w:style>
  <w:style w:type="paragraph" w:styleId="Footer">
    <w:name w:val="footer"/>
    <w:basedOn w:val="Normal"/>
    <w:link w:val="FooterChar"/>
    <w:uiPriority w:val="99"/>
    <w:unhideWhenUsed/>
    <w:rsid w:val="007E7340"/>
    <w:pPr>
      <w:tabs>
        <w:tab w:val="center" w:pos="4680"/>
        <w:tab w:val="right" w:pos="9360"/>
      </w:tabs>
    </w:pPr>
    <w:rPr>
      <w:rFonts w:asciiTheme="minorHAnsi" w:eastAsiaTheme="minorEastAsia" w:hAnsiTheme="minorHAnsi" w:cstheme="minorBidi"/>
      <w:sz w:val="22"/>
      <w:szCs w:val="22"/>
      <w:lang w:val="en-US"/>
    </w:rPr>
  </w:style>
  <w:style w:type="character" w:customStyle="1" w:styleId="FooterChar">
    <w:name w:val="Footer Char"/>
    <w:basedOn w:val="DefaultParagraphFont"/>
    <w:link w:val="Footer"/>
    <w:uiPriority w:val="99"/>
    <w:rsid w:val="007E7340"/>
    <w:rPr>
      <w:rFonts w:eastAsiaTheme="minorEastAsia"/>
      <w:lang w:val="en-US"/>
    </w:rPr>
  </w:style>
  <w:style w:type="character" w:styleId="PageNumber">
    <w:name w:val="page number"/>
    <w:basedOn w:val="DefaultParagraphFont"/>
    <w:uiPriority w:val="99"/>
    <w:semiHidden/>
    <w:unhideWhenUsed/>
    <w:rsid w:val="007E7340"/>
  </w:style>
  <w:style w:type="paragraph" w:styleId="Header">
    <w:name w:val="header"/>
    <w:basedOn w:val="Normal"/>
    <w:link w:val="HeaderChar"/>
    <w:uiPriority w:val="99"/>
    <w:unhideWhenUsed/>
    <w:rsid w:val="007E7340"/>
    <w:pPr>
      <w:tabs>
        <w:tab w:val="center" w:pos="4680"/>
        <w:tab w:val="right" w:pos="9360"/>
      </w:tabs>
      <w:spacing w:line="276" w:lineRule="auto"/>
    </w:pPr>
    <w:rPr>
      <w:rFonts w:asciiTheme="minorHAnsi" w:eastAsiaTheme="minorEastAsia" w:hAnsiTheme="minorHAnsi" w:cstheme="minorBidi"/>
      <w:sz w:val="22"/>
      <w:szCs w:val="22"/>
      <w:lang w:val="en-US"/>
    </w:rPr>
  </w:style>
  <w:style w:type="character" w:customStyle="1" w:styleId="HeaderChar">
    <w:name w:val="Header Char"/>
    <w:basedOn w:val="DefaultParagraphFont"/>
    <w:link w:val="Header"/>
    <w:uiPriority w:val="99"/>
    <w:rsid w:val="007E7340"/>
    <w:rPr>
      <w:rFonts w:eastAsiaTheme="minorEastAsia"/>
      <w:lang w:val="en-US"/>
    </w:rPr>
  </w:style>
  <w:style w:type="paragraph" w:customStyle="1" w:styleId="SFGreen">
    <w:name w:val="SFGreen"/>
    <w:basedOn w:val="Normal"/>
    <w:qFormat/>
    <w:rsid w:val="007E7340"/>
    <w:pPr>
      <w:pBdr>
        <w:top w:val="single" w:sz="4" w:space="4" w:color="D1D9BD"/>
        <w:left w:val="single" w:sz="4" w:space="4" w:color="D1D9BD"/>
        <w:bottom w:val="single" w:sz="4" w:space="4" w:color="D1D9BD"/>
        <w:right w:val="single" w:sz="4" w:space="4" w:color="D1D9BD"/>
      </w:pBdr>
      <w:shd w:val="clear" w:color="auto" w:fill="EDF2E3"/>
      <w:spacing w:line="276" w:lineRule="auto"/>
    </w:pPr>
    <w:rPr>
      <w:rFonts w:asciiTheme="minorHAnsi" w:eastAsiaTheme="minorEastAsia" w:hAnsiTheme="minorHAnsi" w:cstheme="minorBidi"/>
      <w:b/>
      <w:color w:val="809163"/>
      <w:sz w:val="22"/>
      <w:szCs w:val="22"/>
      <w:lang w:val="en-US"/>
    </w:rPr>
  </w:style>
  <w:style w:type="paragraph" w:customStyle="1" w:styleId="SFBlue">
    <w:name w:val="SFBlue"/>
    <w:basedOn w:val="Normal"/>
    <w:qFormat/>
    <w:rsid w:val="007E7340"/>
    <w:pPr>
      <w:pBdr>
        <w:top w:val="single" w:sz="4" w:space="4" w:color="C3CDDB"/>
        <w:left w:val="single" w:sz="4" w:space="4" w:color="C3CDDB"/>
        <w:bottom w:val="single" w:sz="4" w:space="4" w:color="C3CDDB"/>
        <w:right w:val="single" w:sz="4" w:space="4" w:color="C3CDDB"/>
      </w:pBdr>
      <w:shd w:val="clear" w:color="auto" w:fill="E6ECF5"/>
      <w:spacing w:line="276" w:lineRule="auto"/>
    </w:pPr>
    <w:rPr>
      <w:rFonts w:asciiTheme="minorHAnsi" w:eastAsiaTheme="minorEastAsia" w:hAnsiTheme="minorHAnsi" w:cstheme="minorBidi"/>
      <w:b/>
      <w:color w:val="426092"/>
      <w:sz w:val="22"/>
      <w:szCs w:val="22"/>
      <w:lang w:val="en-US"/>
    </w:rPr>
  </w:style>
  <w:style w:type="paragraph" w:customStyle="1" w:styleId="SFPurple">
    <w:name w:val="SFPurple"/>
    <w:basedOn w:val="Normal"/>
    <w:qFormat/>
    <w:rsid w:val="007E7340"/>
    <w:pPr>
      <w:pBdr>
        <w:top w:val="single" w:sz="4" w:space="4" w:color="D1C0D1"/>
        <w:left w:val="single" w:sz="4" w:space="4" w:color="D1C0D1"/>
        <w:bottom w:val="single" w:sz="4" w:space="4" w:color="D1C0D1"/>
        <w:right w:val="single" w:sz="4" w:space="4" w:color="D1C0D1"/>
      </w:pBdr>
      <w:shd w:val="clear" w:color="auto" w:fill="F2E3F2"/>
      <w:spacing w:line="276" w:lineRule="auto"/>
    </w:pPr>
    <w:rPr>
      <w:rFonts w:asciiTheme="minorHAnsi" w:eastAsiaTheme="minorEastAsia" w:hAnsiTheme="minorHAnsi" w:cstheme="minorBidi"/>
      <w:b/>
      <w:color w:val="916391"/>
      <w:sz w:val="22"/>
      <w:szCs w:val="22"/>
      <w:lang w:val="en-US"/>
    </w:rPr>
  </w:style>
  <w:style w:type="paragraph" w:customStyle="1" w:styleId="SFGray">
    <w:name w:val="SFGray"/>
    <w:basedOn w:val="Normal"/>
    <w:qFormat/>
    <w:rsid w:val="007E7340"/>
    <w:pPr>
      <w:pBdr>
        <w:top w:val="single" w:sz="4" w:space="4" w:color="CFCFCF"/>
        <w:left w:val="single" w:sz="4" w:space="4" w:color="CFCFCF"/>
        <w:bottom w:val="single" w:sz="4" w:space="4" w:color="CFCFCF"/>
        <w:right w:val="single" w:sz="4" w:space="4" w:color="CFCFCF"/>
      </w:pBdr>
      <w:shd w:val="clear" w:color="auto" w:fill="F2F2F2"/>
      <w:spacing w:line="276" w:lineRule="auto"/>
    </w:pPr>
    <w:rPr>
      <w:rFonts w:asciiTheme="minorHAnsi" w:eastAsiaTheme="minorEastAsia" w:hAnsiTheme="minorHAnsi" w:cstheme="minorBidi"/>
      <w:b/>
      <w:color w:val="555555"/>
      <w:sz w:val="22"/>
      <w:szCs w:val="22"/>
      <w:lang w:val="en-US"/>
    </w:rPr>
  </w:style>
  <w:style w:type="paragraph" w:customStyle="1" w:styleId="SFRed">
    <w:name w:val="SFRed"/>
    <w:basedOn w:val="Normal"/>
    <w:qFormat/>
    <w:rsid w:val="007E7340"/>
    <w:pPr>
      <w:pBdr>
        <w:top w:val="single" w:sz="4" w:space="4" w:color="700606"/>
        <w:left w:val="single" w:sz="4" w:space="4" w:color="700606"/>
        <w:bottom w:val="single" w:sz="4" w:space="4" w:color="700606"/>
        <w:right w:val="single" w:sz="4" w:space="4" w:color="700606"/>
      </w:pBdr>
      <w:shd w:val="clear" w:color="auto" w:fill="8C0707"/>
      <w:spacing w:line="276" w:lineRule="auto"/>
    </w:pPr>
    <w:rPr>
      <w:rFonts w:asciiTheme="minorHAnsi" w:eastAsiaTheme="minorEastAsia" w:hAnsiTheme="minorHAnsi" w:cstheme="minorBidi"/>
      <w:b/>
      <w:color w:val="FFFFFF"/>
      <w:sz w:val="22"/>
      <w:szCs w:val="22"/>
      <w:lang w:val="en-US"/>
    </w:rPr>
  </w:style>
  <w:style w:type="paragraph" w:customStyle="1" w:styleId="QPlaceholderAlert">
    <w:name w:val="QPlaceholderAlert"/>
    <w:basedOn w:val="Normal"/>
    <w:qFormat/>
    <w:rsid w:val="007E7340"/>
    <w:pPr>
      <w:spacing w:line="276" w:lineRule="auto"/>
    </w:pPr>
    <w:rPr>
      <w:rFonts w:asciiTheme="minorHAnsi" w:eastAsiaTheme="minorEastAsia" w:hAnsiTheme="minorHAnsi" w:cstheme="minorBidi"/>
      <w:color w:val="FF0000"/>
      <w:sz w:val="22"/>
      <w:szCs w:val="22"/>
      <w:lang w:val="en-US"/>
    </w:rPr>
  </w:style>
  <w:style w:type="paragraph" w:styleId="NormalWeb">
    <w:name w:val="Normal (Web)"/>
    <w:basedOn w:val="Normal"/>
    <w:uiPriority w:val="99"/>
    <w:unhideWhenUsed/>
    <w:rsid w:val="007E7340"/>
    <w:pPr>
      <w:spacing w:before="100" w:beforeAutospacing="1" w:after="100" w:afterAutospacing="1"/>
    </w:pPr>
    <w:rPr>
      <w:lang w:eastAsia="en-AU"/>
    </w:rPr>
  </w:style>
  <w:style w:type="character" w:styleId="Strong">
    <w:name w:val="Strong"/>
    <w:basedOn w:val="DefaultParagraphFont"/>
    <w:uiPriority w:val="22"/>
    <w:qFormat/>
    <w:rsid w:val="007E7340"/>
    <w:rPr>
      <w:b/>
      <w:bCs/>
    </w:rPr>
  </w:style>
  <w:style w:type="character" w:styleId="Hyperlink">
    <w:name w:val="Hyperlink"/>
    <w:basedOn w:val="DefaultParagraphFont"/>
    <w:unhideWhenUsed/>
    <w:rsid w:val="007E7340"/>
    <w:rPr>
      <w:color w:val="0000FF"/>
      <w:u w:val="single"/>
    </w:rPr>
  </w:style>
  <w:style w:type="character" w:customStyle="1" w:styleId="Heading1Char">
    <w:name w:val="Heading 1 Char"/>
    <w:basedOn w:val="DefaultParagraphFont"/>
    <w:link w:val="Heading1"/>
    <w:uiPriority w:val="9"/>
    <w:rsid w:val="0024511B"/>
    <w:rPr>
      <w:rFonts w:asciiTheme="majorHAnsi" w:eastAsiaTheme="majorEastAsia" w:hAnsiTheme="majorHAnsi" w:cstheme="majorBidi"/>
      <w:color w:val="006F74" w:themeColor="accent1" w:themeShade="BF"/>
      <w:sz w:val="32"/>
      <w:szCs w:val="32"/>
      <w:lang w:val="en-US"/>
    </w:rPr>
  </w:style>
  <w:style w:type="character" w:customStyle="1" w:styleId="Heading2Char">
    <w:name w:val="Heading 2 Char"/>
    <w:basedOn w:val="DefaultParagraphFont"/>
    <w:link w:val="Heading2"/>
    <w:uiPriority w:val="9"/>
    <w:rsid w:val="0024511B"/>
    <w:rPr>
      <w:rFonts w:ascii="Times New Roman" w:eastAsia="Times New Roman" w:hAnsi="Times New Roman" w:cs="Times New Roman"/>
      <w:b/>
      <w:bCs/>
      <w:sz w:val="36"/>
      <w:szCs w:val="36"/>
      <w:lang w:eastAsia="en-AU"/>
    </w:rPr>
  </w:style>
  <w:style w:type="character" w:styleId="Emphasis">
    <w:name w:val="Emphasis"/>
    <w:basedOn w:val="DefaultParagraphFont"/>
    <w:uiPriority w:val="20"/>
    <w:qFormat/>
    <w:rsid w:val="0024511B"/>
    <w:rPr>
      <w:i/>
      <w:iCs/>
    </w:rPr>
  </w:style>
  <w:style w:type="paragraph" w:customStyle="1" w:styleId="P2">
    <w:name w:val="P2"/>
    <w:basedOn w:val="Normal"/>
    <w:hidden/>
    <w:rsid w:val="00691DDC"/>
    <w:pPr>
      <w:adjustRightInd w:val="0"/>
      <w:spacing w:line="240" w:lineRule="atLeast"/>
    </w:pPr>
    <w:rPr>
      <w:rFonts w:ascii="Optima LT Std" w:hAnsi="Optima LT Std"/>
      <w:sz w:val="22"/>
      <w:szCs w:val="2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149259">
      <w:bodyDiv w:val="1"/>
      <w:marLeft w:val="0"/>
      <w:marRight w:val="0"/>
      <w:marTop w:val="0"/>
      <w:marBottom w:val="0"/>
      <w:divBdr>
        <w:top w:val="none" w:sz="0" w:space="0" w:color="auto"/>
        <w:left w:val="none" w:sz="0" w:space="0" w:color="auto"/>
        <w:bottom w:val="none" w:sz="0" w:space="0" w:color="auto"/>
        <w:right w:val="none" w:sz="0" w:space="0" w:color="auto"/>
      </w:divBdr>
    </w:div>
    <w:div w:id="835388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CODECS Theme">
      <a:dk1>
        <a:srgbClr val="2F363D"/>
      </a:dk1>
      <a:lt1>
        <a:srgbClr val="FFFFFF"/>
      </a:lt1>
      <a:dk2>
        <a:srgbClr val="2F363D"/>
      </a:dk2>
      <a:lt2>
        <a:srgbClr val="CCEAEB"/>
      </a:lt2>
      <a:accent1>
        <a:srgbClr val="00969B"/>
      </a:accent1>
      <a:accent2>
        <a:srgbClr val="62B985"/>
      </a:accent2>
      <a:accent3>
        <a:srgbClr val="FF914C"/>
      </a:accent3>
      <a:accent4>
        <a:srgbClr val="2F363D"/>
      </a:accent4>
      <a:accent5>
        <a:srgbClr val="EBD700"/>
      </a:accent5>
      <a:accent6>
        <a:srgbClr val="BFE4EE"/>
      </a:accent6>
      <a:hlink>
        <a:srgbClr val="62BB85"/>
      </a:hlink>
      <a:folHlink>
        <a:srgbClr val="2F363E"/>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4C559C-D9B5-43BA-8524-18BEB6E3E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10</Pages>
  <Words>5028</Words>
  <Characters>28663</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Ebony Richardson</dc:creator>
  <cp:keywords/>
  <dc:description/>
  <cp:lastModifiedBy>Ebony Richardson</cp:lastModifiedBy>
  <cp:revision>163</cp:revision>
  <dcterms:created xsi:type="dcterms:W3CDTF">2022-06-23T05:59:00Z</dcterms:created>
  <dcterms:modified xsi:type="dcterms:W3CDTF">2022-12-20T05:11:00Z</dcterms:modified>
</cp:coreProperties>
</file>