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07B88" w14:textId="77777777" w:rsidR="00323B44" w:rsidRDefault="009F35E0">
      <w:pPr>
        <w:rPr>
          <w:rFonts w:ascii="Times New Roman" w:eastAsia="Times New Roman" w:hAnsi="Times New Roman" w:cs="Times New Roman"/>
          <w:b/>
          <w:sz w:val="32"/>
          <w:szCs w:val="32"/>
        </w:rPr>
      </w:pPr>
      <w:bookmarkStart w:id="0" w:name="_GoBack"/>
      <w:bookmarkEnd w:id="0"/>
      <w:r>
        <w:rPr>
          <w:rFonts w:ascii="Times New Roman" w:eastAsia="Times New Roman" w:hAnsi="Times New Roman" w:cs="Times New Roman"/>
          <w:b/>
          <w:sz w:val="32"/>
          <w:szCs w:val="32"/>
        </w:rPr>
        <w:t>Appendix 1</w:t>
      </w:r>
    </w:p>
    <w:p w14:paraId="2ADFF9AF"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sz w:val="32"/>
          <w:szCs w:val="32"/>
        </w:rPr>
        <w:t>Model Diagnostics by Species</w:t>
      </w:r>
    </w:p>
    <w:p w14:paraId="6D7A69FD" w14:textId="77777777" w:rsidR="00323B44" w:rsidRDefault="00323B44">
      <w:pPr>
        <w:rPr>
          <w:rFonts w:ascii="Times New Roman" w:eastAsia="Times New Roman" w:hAnsi="Times New Roman" w:cs="Times New Roman"/>
        </w:rPr>
      </w:pPr>
    </w:p>
    <w:p w14:paraId="0C4110B0"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sz w:val="28"/>
          <w:szCs w:val="28"/>
        </w:rPr>
        <w:t>Dover Sole</w:t>
      </w:r>
    </w:p>
    <w:p w14:paraId="3729FA7E" w14:textId="77777777" w:rsidR="00323B44" w:rsidRDefault="00323B44">
      <w:pPr>
        <w:rPr>
          <w:rFonts w:ascii="Times New Roman" w:eastAsia="Times New Roman" w:hAnsi="Times New Roman" w:cs="Times New Roman"/>
        </w:rPr>
      </w:pPr>
    </w:p>
    <w:p w14:paraId="607B8358" w14:textId="77777777" w:rsidR="00323B44" w:rsidRDefault="009F35E0">
      <w:pPr>
        <w:rPr>
          <w:rFonts w:ascii="Times New Roman" w:eastAsia="Times New Roman" w:hAnsi="Times New Roman" w:cs="Times New Roman"/>
          <w:b/>
          <w:sz w:val="28"/>
          <w:szCs w:val="28"/>
        </w:rPr>
      </w:pPr>
      <w:r>
        <w:rPr>
          <w:rFonts w:ascii="Times New Roman" w:eastAsia="Times New Roman" w:hAnsi="Times New Roman" w:cs="Times New Roman"/>
          <w:noProof/>
          <w:lang w:val="en-US"/>
        </w:rPr>
        <w:drawing>
          <wp:inline distT="114300" distB="114300" distL="114300" distR="114300" wp14:anchorId="530D3AD8" wp14:editId="3D97413E">
            <wp:extent cx="1828800" cy="766916"/>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828800" cy="766916"/>
                    </a:xfrm>
                    <a:prstGeom prst="rect">
                      <a:avLst/>
                    </a:prstGeom>
                    <a:ln/>
                  </pic:spPr>
                </pic:pic>
              </a:graphicData>
            </a:graphic>
          </wp:inline>
        </w:drawing>
      </w:r>
    </w:p>
    <w:p w14:paraId="7D6AC36C" w14:textId="77777777" w:rsidR="00323B44" w:rsidRDefault="00323B44">
      <w:pPr>
        <w:rPr>
          <w:rFonts w:ascii="Times New Roman" w:eastAsia="Times New Roman" w:hAnsi="Times New Roman" w:cs="Times New Roman"/>
          <w:b/>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1680"/>
        <w:gridCol w:w="1455"/>
        <w:gridCol w:w="1680"/>
        <w:gridCol w:w="1680"/>
        <w:gridCol w:w="1185"/>
      </w:tblGrid>
      <w:tr w:rsidR="00323B44" w14:paraId="101951DD" w14:textId="77777777">
        <w:tc>
          <w:tcPr>
            <w:tcW w:w="1680" w:type="dxa"/>
            <w:tcMar>
              <w:top w:w="100" w:type="dxa"/>
              <w:left w:w="100" w:type="dxa"/>
              <w:bottom w:w="100" w:type="dxa"/>
              <w:right w:w="100" w:type="dxa"/>
            </w:tcMar>
          </w:tcPr>
          <w:p w14:paraId="03D7FB20"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Species</w:t>
            </w:r>
          </w:p>
        </w:tc>
        <w:tc>
          <w:tcPr>
            <w:tcW w:w="1680" w:type="dxa"/>
            <w:tcMar>
              <w:top w:w="100" w:type="dxa"/>
              <w:left w:w="100" w:type="dxa"/>
              <w:bottom w:w="100" w:type="dxa"/>
              <w:right w:w="100" w:type="dxa"/>
            </w:tcMar>
          </w:tcPr>
          <w:p w14:paraId="0FC9BBE4"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Spatial Field?</w:t>
            </w:r>
          </w:p>
        </w:tc>
        <w:tc>
          <w:tcPr>
            <w:tcW w:w="1455" w:type="dxa"/>
            <w:tcMar>
              <w:top w:w="100" w:type="dxa"/>
              <w:left w:w="100" w:type="dxa"/>
              <w:bottom w:w="100" w:type="dxa"/>
              <w:right w:w="100" w:type="dxa"/>
            </w:tcMar>
          </w:tcPr>
          <w:p w14:paraId="4939D55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Environment Splines?</w:t>
            </w:r>
          </w:p>
        </w:tc>
        <w:tc>
          <w:tcPr>
            <w:tcW w:w="1680" w:type="dxa"/>
            <w:tcMar>
              <w:top w:w="100" w:type="dxa"/>
              <w:left w:w="100" w:type="dxa"/>
              <w:bottom w:w="100" w:type="dxa"/>
              <w:right w:w="100" w:type="dxa"/>
            </w:tcMar>
          </w:tcPr>
          <w:p w14:paraId="4AB98D2B"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Log Likelihood</w:t>
            </w:r>
          </w:p>
        </w:tc>
        <w:tc>
          <w:tcPr>
            <w:tcW w:w="1680" w:type="dxa"/>
            <w:tcMar>
              <w:top w:w="100" w:type="dxa"/>
              <w:left w:w="100" w:type="dxa"/>
              <w:bottom w:w="100" w:type="dxa"/>
              <w:right w:w="100" w:type="dxa"/>
            </w:tcMar>
          </w:tcPr>
          <w:p w14:paraId="4B69976B"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Matern</w:t>
            </w:r>
            <w:proofErr w:type="spellEnd"/>
            <w:r>
              <w:rPr>
                <w:rFonts w:ascii="Times New Roman" w:eastAsia="Times New Roman" w:hAnsi="Times New Roman" w:cs="Times New Roman"/>
              </w:rPr>
              <w:t xml:space="preserve"> range</w:t>
            </w:r>
          </w:p>
        </w:tc>
        <w:tc>
          <w:tcPr>
            <w:tcW w:w="1185" w:type="dxa"/>
            <w:tcMar>
              <w:top w:w="100" w:type="dxa"/>
              <w:left w:w="100" w:type="dxa"/>
              <w:bottom w:w="100" w:type="dxa"/>
              <w:right w:w="100" w:type="dxa"/>
            </w:tcMar>
          </w:tcPr>
          <w:p w14:paraId="2CE2B3D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Model weight</w:t>
            </w:r>
          </w:p>
        </w:tc>
      </w:tr>
      <w:tr w:rsidR="00323B44" w14:paraId="67152692" w14:textId="77777777">
        <w:tc>
          <w:tcPr>
            <w:tcW w:w="1680" w:type="dxa"/>
            <w:tcMar>
              <w:top w:w="100" w:type="dxa"/>
              <w:left w:w="100" w:type="dxa"/>
              <w:bottom w:w="100" w:type="dxa"/>
              <w:right w:w="100" w:type="dxa"/>
            </w:tcMar>
          </w:tcPr>
          <w:p w14:paraId="36664535"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Dover sole</w:t>
            </w:r>
          </w:p>
        </w:tc>
        <w:tc>
          <w:tcPr>
            <w:tcW w:w="1680" w:type="dxa"/>
            <w:tcMar>
              <w:top w:w="100" w:type="dxa"/>
              <w:left w:w="100" w:type="dxa"/>
              <w:bottom w:w="100" w:type="dxa"/>
              <w:right w:w="100" w:type="dxa"/>
            </w:tcMar>
          </w:tcPr>
          <w:p w14:paraId="0C79C565"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455" w:type="dxa"/>
            <w:tcMar>
              <w:top w:w="100" w:type="dxa"/>
              <w:left w:w="100" w:type="dxa"/>
              <w:bottom w:w="100" w:type="dxa"/>
              <w:right w:w="100" w:type="dxa"/>
            </w:tcMar>
          </w:tcPr>
          <w:p w14:paraId="36965D94"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680" w:type="dxa"/>
            <w:tcMar>
              <w:top w:w="100" w:type="dxa"/>
              <w:left w:w="100" w:type="dxa"/>
              <w:bottom w:w="100" w:type="dxa"/>
              <w:right w:w="100" w:type="dxa"/>
            </w:tcMar>
          </w:tcPr>
          <w:p w14:paraId="4190BED9"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-37840</w:t>
            </w:r>
          </w:p>
        </w:tc>
        <w:tc>
          <w:tcPr>
            <w:tcW w:w="1680" w:type="dxa"/>
            <w:tcMar>
              <w:top w:w="100" w:type="dxa"/>
              <w:left w:w="100" w:type="dxa"/>
              <w:bottom w:w="100" w:type="dxa"/>
              <w:right w:w="100" w:type="dxa"/>
            </w:tcMar>
          </w:tcPr>
          <w:p w14:paraId="68F65AA1"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102.7</w:t>
            </w:r>
          </w:p>
        </w:tc>
        <w:tc>
          <w:tcPr>
            <w:tcW w:w="1185" w:type="dxa"/>
            <w:tcMar>
              <w:top w:w="100" w:type="dxa"/>
              <w:left w:w="100" w:type="dxa"/>
              <w:bottom w:w="100" w:type="dxa"/>
              <w:right w:w="100" w:type="dxa"/>
            </w:tcMar>
          </w:tcPr>
          <w:p w14:paraId="4DFFBD7C"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&lt;0.01</w:t>
            </w:r>
          </w:p>
        </w:tc>
      </w:tr>
      <w:tr w:rsidR="00323B44" w14:paraId="158A94F5" w14:textId="77777777">
        <w:tc>
          <w:tcPr>
            <w:tcW w:w="1680" w:type="dxa"/>
            <w:tcMar>
              <w:top w:w="100" w:type="dxa"/>
              <w:left w:w="100" w:type="dxa"/>
              <w:bottom w:w="100" w:type="dxa"/>
              <w:right w:w="100" w:type="dxa"/>
            </w:tcMar>
          </w:tcPr>
          <w:p w14:paraId="317597CA"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Dover sole</w:t>
            </w:r>
          </w:p>
        </w:tc>
        <w:tc>
          <w:tcPr>
            <w:tcW w:w="1680" w:type="dxa"/>
            <w:tcMar>
              <w:top w:w="100" w:type="dxa"/>
              <w:left w:w="100" w:type="dxa"/>
              <w:bottom w:w="100" w:type="dxa"/>
              <w:right w:w="100" w:type="dxa"/>
            </w:tcMar>
          </w:tcPr>
          <w:p w14:paraId="074CF7AE"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455" w:type="dxa"/>
            <w:tcMar>
              <w:top w:w="100" w:type="dxa"/>
              <w:left w:w="100" w:type="dxa"/>
              <w:bottom w:w="100" w:type="dxa"/>
              <w:right w:w="100" w:type="dxa"/>
            </w:tcMar>
          </w:tcPr>
          <w:p w14:paraId="2EC672C7"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680" w:type="dxa"/>
            <w:tcMar>
              <w:top w:w="100" w:type="dxa"/>
              <w:left w:w="100" w:type="dxa"/>
              <w:bottom w:w="100" w:type="dxa"/>
              <w:right w:w="100" w:type="dxa"/>
            </w:tcMar>
          </w:tcPr>
          <w:p w14:paraId="0E2E0859"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-37502</w:t>
            </w:r>
          </w:p>
        </w:tc>
        <w:tc>
          <w:tcPr>
            <w:tcW w:w="1680" w:type="dxa"/>
            <w:tcMar>
              <w:top w:w="100" w:type="dxa"/>
              <w:left w:w="100" w:type="dxa"/>
              <w:bottom w:w="100" w:type="dxa"/>
              <w:right w:w="100" w:type="dxa"/>
            </w:tcMar>
          </w:tcPr>
          <w:p w14:paraId="1702FFD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106.6</w:t>
            </w:r>
          </w:p>
        </w:tc>
        <w:tc>
          <w:tcPr>
            <w:tcW w:w="1185" w:type="dxa"/>
            <w:tcMar>
              <w:top w:w="100" w:type="dxa"/>
              <w:left w:w="100" w:type="dxa"/>
              <w:bottom w:w="100" w:type="dxa"/>
              <w:right w:w="100" w:type="dxa"/>
            </w:tcMar>
          </w:tcPr>
          <w:p w14:paraId="691CEBAF"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0.21</w:t>
            </w:r>
          </w:p>
        </w:tc>
      </w:tr>
      <w:tr w:rsidR="00323B44" w14:paraId="31093B15" w14:textId="77777777">
        <w:tc>
          <w:tcPr>
            <w:tcW w:w="1680" w:type="dxa"/>
            <w:tcMar>
              <w:top w:w="100" w:type="dxa"/>
              <w:left w:w="100" w:type="dxa"/>
              <w:bottom w:w="100" w:type="dxa"/>
              <w:right w:w="100" w:type="dxa"/>
            </w:tcMar>
          </w:tcPr>
          <w:p w14:paraId="00814291"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Dover sole</w:t>
            </w:r>
          </w:p>
        </w:tc>
        <w:tc>
          <w:tcPr>
            <w:tcW w:w="1680" w:type="dxa"/>
            <w:tcMar>
              <w:top w:w="100" w:type="dxa"/>
              <w:left w:w="100" w:type="dxa"/>
              <w:bottom w:w="100" w:type="dxa"/>
              <w:right w:w="100" w:type="dxa"/>
            </w:tcMar>
          </w:tcPr>
          <w:p w14:paraId="79E353B1"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455" w:type="dxa"/>
            <w:tcMar>
              <w:top w:w="100" w:type="dxa"/>
              <w:left w:w="100" w:type="dxa"/>
              <w:bottom w:w="100" w:type="dxa"/>
              <w:right w:w="100" w:type="dxa"/>
            </w:tcMar>
          </w:tcPr>
          <w:p w14:paraId="210EB526"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680" w:type="dxa"/>
            <w:tcMar>
              <w:top w:w="100" w:type="dxa"/>
              <w:left w:w="100" w:type="dxa"/>
              <w:bottom w:w="100" w:type="dxa"/>
              <w:right w:w="100" w:type="dxa"/>
            </w:tcMar>
          </w:tcPr>
          <w:p w14:paraId="4C483DF5"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-36735</w:t>
            </w:r>
          </w:p>
        </w:tc>
        <w:tc>
          <w:tcPr>
            <w:tcW w:w="1680" w:type="dxa"/>
            <w:tcMar>
              <w:top w:w="100" w:type="dxa"/>
              <w:left w:w="100" w:type="dxa"/>
              <w:bottom w:w="100" w:type="dxa"/>
              <w:right w:w="100" w:type="dxa"/>
            </w:tcMar>
          </w:tcPr>
          <w:p w14:paraId="0A7DC0F7"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135.4</w:t>
            </w:r>
          </w:p>
        </w:tc>
        <w:tc>
          <w:tcPr>
            <w:tcW w:w="1185" w:type="dxa"/>
            <w:tcMar>
              <w:top w:w="100" w:type="dxa"/>
              <w:left w:w="100" w:type="dxa"/>
              <w:bottom w:w="100" w:type="dxa"/>
              <w:right w:w="100" w:type="dxa"/>
            </w:tcMar>
          </w:tcPr>
          <w:p w14:paraId="156078DC"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&lt;0.01</w:t>
            </w:r>
          </w:p>
        </w:tc>
      </w:tr>
      <w:tr w:rsidR="00323B44" w14:paraId="38B3344F" w14:textId="77777777">
        <w:tc>
          <w:tcPr>
            <w:tcW w:w="1680" w:type="dxa"/>
            <w:tcMar>
              <w:top w:w="100" w:type="dxa"/>
              <w:left w:w="100" w:type="dxa"/>
              <w:bottom w:w="100" w:type="dxa"/>
              <w:right w:w="100" w:type="dxa"/>
            </w:tcMar>
          </w:tcPr>
          <w:p w14:paraId="4A2C6015"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Dover sole</w:t>
            </w:r>
          </w:p>
        </w:tc>
        <w:tc>
          <w:tcPr>
            <w:tcW w:w="1680" w:type="dxa"/>
            <w:tcMar>
              <w:top w:w="100" w:type="dxa"/>
              <w:left w:w="100" w:type="dxa"/>
              <w:bottom w:w="100" w:type="dxa"/>
              <w:right w:w="100" w:type="dxa"/>
            </w:tcMar>
          </w:tcPr>
          <w:p w14:paraId="236EDC19"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455" w:type="dxa"/>
            <w:tcMar>
              <w:top w:w="100" w:type="dxa"/>
              <w:left w:w="100" w:type="dxa"/>
              <w:bottom w:w="100" w:type="dxa"/>
              <w:right w:w="100" w:type="dxa"/>
            </w:tcMar>
          </w:tcPr>
          <w:p w14:paraId="6EFE7615"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680" w:type="dxa"/>
            <w:tcMar>
              <w:top w:w="100" w:type="dxa"/>
              <w:left w:w="100" w:type="dxa"/>
              <w:bottom w:w="100" w:type="dxa"/>
              <w:right w:w="100" w:type="dxa"/>
            </w:tcMar>
          </w:tcPr>
          <w:p w14:paraId="3304FD04"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-36535</w:t>
            </w:r>
          </w:p>
        </w:tc>
        <w:tc>
          <w:tcPr>
            <w:tcW w:w="1680" w:type="dxa"/>
            <w:tcMar>
              <w:top w:w="100" w:type="dxa"/>
              <w:left w:w="100" w:type="dxa"/>
              <w:bottom w:w="100" w:type="dxa"/>
              <w:right w:w="100" w:type="dxa"/>
            </w:tcMar>
          </w:tcPr>
          <w:p w14:paraId="616B3FD1"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122.7</w:t>
            </w:r>
          </w:p>
        </w:tc>
        <w:tc>
          <w:tcPr>
            <w:tcW w:w="1185" w:type="dxa"/>
            <w:tcMar>
              <w:top w:w="100" w:type="dxa"/>
              <w:left w:w="100" w:type="dxa"/>
              <w:bottom w:w="100" w:type="dxa"/>
              <w:right w:w="100" w:type="dxa"/>
            </w:tcMar>
          </w:tcPr>
          <w:p w14:paraId="6A7C2C0F"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0.79</w:t>
            </w:r>
          </w:p>
        </w:tc>
      </w:tr>
    </w:tbl>
    <w:p w14:paraId="4DEA9403" w14:textId="77777777" w:rsidR="00323B44" w:rsidRDefault="00323B44">
      <w:pPr>
        <w:rPr>
          <w:rFonts w:ascii="Times New Roman" w:eastAsia="Times New Roman" w:hAnsi="Times New Roman" w:cs="Times New Roman"/>
          <w:b/>
        </w:rPr>
      </w:pPr>
    </w:p>
    <w:p w14:paraId="3B3D24B6"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rPr>
        <w:t>Table A.1</w:t>
      </w:r>
      <w:r>
        <w:rPr>
          <w:rFonts w:ascii="Times New Roman" w:eastAsia="Times New Roman" w:hAnsi="Times New Roman" w:cs="Times New Roman"/>
        </w:rPr>
        <w:t xml:space="preserve"> Model fit statistics</w:t>
      </w:r>
      <w:r>
        <w:rPr>
          <w:rFonts w:ascii="Cardo" w:eastAsia="Cardo" w:hAnsi="Cardo" w:cs="Cardo"/>
        </w:rPr>
        <w:t xml:space="preserve"> for the four Dover sole models, including the options chosen for each model (i.e., whether to include spatial fields and whether or not the relationships between CPUE and bottom temperature and oxygen were modelled as splines), the model weight in the ensemble after cross-</w:t>
      </w:r>
      <w:proofErr w:type="gramStart"/>
      <w:r>
        <w:rPr>
          <w:rFonts w:ascii="Cardo" w:eastAsia="Cardo" w:hAnsi="Cardo" w:cs="Cardo"/>
        </w:rPr>
        <w:t>validation</w:t>
      </w:r>
      <w:proofErr w:type="gramEnd"/>
      <w:r>
        <w:rPr>
          <w:rFonts w:ascii="Cardo" w:eastAsia="Cardo" w:hAnsi="Cardo" w:cs="Cardo"/>
        </w:rPr>
        <w:t xml:space="preserve"> (see Methods), the out-of-sample log likelihood from cross-validation, the </w:t>
      </w:r>
      <w:proofErr w:type="spellStart"/>
      <w:r>
        <w:rPr>
          <w:rFonts w:ascii="Cardo" w:eastAsia="Cardo" w:hAnsi="Cardo" w:cs="Cardo"/>
        </w:rPr>
        <w:t>Matern</w:t>
      </w:r>
      <w:proofErr w:type="spellEnd"/>
      <w:r>
        <w:rPr>
          <w:rFonts w:ascii="Cardo" w:eastAsia="Cardo" w:hAnsi="Cardo" w:cs="Cardo"/>
        </w:rPr>
        <w:t xml:space="preserve"> practical range parameter (defined as the distance at which the spatial correlation in the data drops to ⍴=0.13 (Lindgren and Rue 2015)), and finally the model weight used in subsequent analyses.</w:t>
      </w:r>
    </w:p>
    <w:p w14:paraId="33B629FE" w14:textId="77777777" w:rsidR="00323B44" w:rsidRDefault="00323B44">
      <w:pPr>
        <w:rPr>
          <w:rFonts w:ascii="Times New Roman" w:eastAsia="Times New Roman" w:hAnsi="Times New Roman" w:cs="Times New Roman"/>
          <w:b/>
        </w:rPr>
      </w:pPr>
    </w:p>
    <w:p w14:paraId="6E75C0E0" w14:textId="77777777" w:rsidR="00323B44" w:rsidRDefault="00323B44">
      <w:pPr>
        <w:rPr>
          <w:rFonts w:ascii="Times New Roman" w:eastAsia="Times New Roman" w:hAnsi="Times New Roman" w:cs="Times New Roman"/>
          <w:b/>
        </w:rPr>
      </w:pPr>
    </w:p>
    <w:p w14:paraId="367535C8"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noProof/>
          <w:lang w:val="en-US"/>
        </w:rPr>
        <w:drawing>
          <wp:inline distT="114300" distB="114300" distL="114300" distR="114300" wp14:anchorId="6EAEBA04" wp14:editId="40232B22">
            <wp:extent cx="5943600" cy="22352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943600" cy="2235200"/>
                    </a:xfrm>
                    <a:prstGeom prst="rect">
                      <a:avLst/>
                    </a:prstGeom>
                    <a:ln/>
                  </pic:spPr>
                </pic:pic>
              </a:graphicData>
            </a:graphic>
          </wp:inline>
        </w:drawing>
      </w:r>
    </w:p>
    <w:p w14:paraId="499CFC6B" w14:textId="52120904" w:rsidR="00323B44" w:rsidRDefault="009F35E0">
      <w:pPr>
        <w:rPr>
          <w:rFonts w:ascii="Times New Roman" w:eastAsia="Times New Roman" w:hAnsi="Times New Roman" w:cs="Times New Roman"/>
        </w:rPr>
      </w:pPr>
      <w:r>
        <w:rPr>
          <w:rFonts w:ascii="Times New Roman" w:eastAsia="Times New Roman" w:hAnsi="Times New Roman" w:cs="Times New Roman"/>
          <w:b/>
        </w:rPr>
        <w:t>Figure A.1</w:t>
      </w:r>
      <w:r>
        <w:rPr>
          <w:rFonts w:ascii="Times New Roman" w:eastAsia="Times New Roman" w:hAnsi="Times New Roman" w:cs="Times New Roman"/>
        </w:rPr>
        <w:t xml:space="preserve"> </w:t>
      </w:r>
      <w:r w:rsidR="00A45880">
        <w:rPr>
          <w:rFonts w:ascii="Times New Roman" w:eastAsia="Times New Roman" w:hAnsi="Times New Roman" w:cs="Times New Roman"/>
        </w:rPr>
        <w:t>Random</w:t>
      </w:r>
      <w:r w:rsidR="00A45880" w:rsidRPr="00B25BCD">
        <w:rPr>
          <w:rFonts w:ascii="Times New Roman" w:eastAsia="Times New Roman" w:hAnsi="Times New Roman" w:cs="Times New Roman"/>
        </w:rPr>
        <w:t>ized quantile residual plots (</w:t>
      </w:r>
      <w:r w:rsidR="00A45880">
        <w:rPr>
          <w:rFonts w:ascii="Times New Roman" w:hAnsi="Times New Roman" w:cs="Times New Roman"/>
          <w:color w:val="000000"/>
        </w:rPr>
        <w:t>Dunn and</w:t>
      </w:r>
      <w:r w:rsidR="00A45880" w:rsidRPr="00B25BCD">
        <w:rPr>
          <w:rFonts w:ascii="Times New Roman" w:hAnsi="Times New Roman" w:cs="Times New Roman"/>
          <w:color w:val="000000"/>
        </w:rPr>
        <w:t xml:space="preserve"> Smyth 1996) </w:t>
      </w:r>
      <w:r w:rsidR="00A45880">
        <w:rPr>
          <w:rFonts w:ascii="Times New Roman" w:eastAsia="Times New Roman" w:hAnsi="Times New Roman" w:cs="Times New Roman"/>
        </w:rPr>
        <w:t>for the four Dover sole models described in Table A.1.</w:t>
      </w:r>
    </w:p>
    <w:p w14:paraId="268C68A5"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noProof/>
          <w:lang w:val="en-US"/>
        </w:rPr>
        <w:lastRenderedPageBreak/>
        <w:drawing>
          <wp:inline distT="114300" distB="114300" distL="114300" distR="114300" wp14:anchorId="203A7E9C" wp14:editId="7F17F68B">
            <wp:extent cx="5943600" cy="44577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4457700"/>
                    </a:xfrm>
                    <a:prstGeom prst="rect">
                      <a:avLst/>
                    </a:prstGeom>
                    <a:ln/>
                  </pic:spPr>
                </pic:pic>
              </a:graphicData>
            </a:graphic>
          </wp:inline>
        </w:drawing>
      </w:r>
    </w:p>
    <w:p w14:paraId="73973843"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 xml:space="preserve">Figure A.2 </w:t>
      </w:r>
      <w:r>
        <w:rPr>
          <w:rFonts w:ascii="Times New Roman" w:eastAsia="Times New Roman" w:hAnsi="Times New Roman" w:cs="Times New Roman"/>
        </w:rPr>
        <w:t>Empirical environmental niche of Dover sole estimated using the ensemble predictions for 1985 to 2010 under the three separate Earth System Models (GFDL, IPSL, and HADL, respectively, from left to right). Each polygon is a concave hull outlining a range of bottom temperature (x-axis) and bottom oxygen (y-axis) values encompassing all values greater than or equal to the 5th, 50th, 75th, or 95th percentile of predicted CPUE values.</w:t>
      </w:r>
    </w:p>
    <w:p w14:paraId="0B5656A2" w14:textId="77777777" w:rsidR="00323B44" w:rsidRDefault="009F35E0">
      <w:pPr>
        <w:rPr>
          <w:rFonts w:ascii="Times New Roman" w:eastAsia="Times New Roman" w:hAnsi="Times New Roman" w:cs="Times New Roman"/>
          <w:b/>
        </w:rPr>
      </w:pPr>
      <w:r>
        <w:br w:type="page"/>
      </w:r>
    </w:p>
    <w:p w14:paraId="0A4634BC" w14:textId="77777777" w:rsidR="00323B44" w:rsidRDefault="009F35E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Sablefish</w:t>
      </w:r>
    </w:p>
    <w:p w14:paraId="4261C665" w14:textId="77777777" w:rsidR="00323B44" w:rsidRDefault="009F35E0">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14:anchorId="555A2476" wp14:editId="7E35A758">
            <wp:extent cx="1828800" cy="1105786"/>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1828800" cy="1105786"/>
                    </a:xfrm>
                    <a:prstGeom prst="rect">
                      <a:avLst/>
                    </a:prstGeom>
                    <a:ln/>
                  </pic:spPr>
                </pic:pic>
              </a:graphicData>
            </a:graphic>
          </wp:inline>
        </w:drawing>
      </w:r>
    </w:p>
    <w:tbl>
      <w:tblPr>
        <w:tblStyle w:val="a0"/>
        <w:tblW w:w="9180" w:type="dxa"/>
        <w:tblBorders>
          <w:top w:val="nil"/>
          <w:left w:val="nil"/>
          <w:bottom w:val="nil"/>
          <w:right w:val="nil"/>
          <w:insideH w:val="nil"/>
          <w:insideV w:val="nil"/>
        </w:tblBorders>
        <w:tblLayout w:type="fixed"/>
        <w:tblLook w:val="0600" w:firstRow="0" w:lastRow="0" w:firstColumn="0" w:lastColumn="0" w:noHBand="1" w:noVBand="1"/>
      </w:tblPr>
      <w:tblGrid>
        <w:gridCol w:w="1050"/>
        <w:gridCol w:w="1575"/>
        <w:gridCol w:w="1395"/>
        <w:gridCol w:w="1665"/>
        <w:gridCol w:w="1605"/>
        <w:gridCol w:w="1890"/>
      </w:tblGrid>
      <w:tr w:rsidR="00323B44" w14:paraId="5386DAD4" w14:textId="77777777">
        <w:trPr>
          <w:trHeight w:val="500"/>
        </w:trPr>
        <w:tc>
          <w:tcPr>
            <w:tcW w:w="1050" w:type="dxa"/>
            <w:tcBorders>
              <w:top w:val="single" w:sz="8" w:space="0" w:color="808080"/>
              <w:left w:val="single" w:sz="8" w:space="0" w:color="808080"/>
              <w:bottom w:val="single" w:sz="8" w:space="0" w:color="000000"/>
              <w:right w:val="single" w:sz="8" w:space="0" w:color="808080"/>
            </w:tcBorders>
            <w:tcMar>
              <w:top w:w="100" w:type="dxa"/>
              <w:left w:w="100" w:type="dxa"/>
              <w:bottom w:w="100" w:type="dxa"/>
              <w:right w:w="100" w:type="dxa"/>
            </w:tcMar>
          </w:tcPr>
          <w:p w14:paraId="3C04F013"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Species</w:t>
            </w:r>
          </w:p>
        </w:tc>
        <w:tc>
          <w:tcPr>
            <w:tcW w:w="1575" w:type="dxa"/>
            <w:tcBorders>
              <w:top w:val="single" w:sz="8" w:space="0" w:color="808080"/>
              <w:left w:val="single" w:sz="8" w:space="0" w:color="808080"/>
              <w:bottom w:val="single" w:sz="8" w:space="0" w:color="000000"/>
              <w:right w:val="single" w:sz="8" w:space="0" w:color="808080"/>
            </w:tcBorders>
            <w:tcMar>
              <w:top w:w="100" w:type="dxa"/>
              <w:left w:w="100" w:type="dxa"/>
              <w:bottom w:w="100" w:type="dxa"/>
              <w:right w:w="100" w:type="dxa"/>
            </w:tcMar>
          </w:tcPr>
          <w:p w14:paraId="247AEB83"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Spatial Field?</w:t>
            </w:r>
          </w:p>
        </w:tc>
        <w:tc>
          <w:tcPr>
            <w:tcW w:w="1395" w:type="dxa"/>
            <w:tcBorders>
              <w:top w:val="single" w:sz="8" w:space="0" w:color="808080"/>
              <w:left w:val="single" w:sz="8" w:space="0" w:color="808080"/>
              <w:bottom w:val="single" w:sz="8" w:space="0" w:color="000000"/>
              <w:right w:val="single" w:sz="8" w:space="0" w:color="808080"/>
            </w:tcBorders>
            <w:tcMar>
              <w:top w:w="100" w:type="dxa"/>
              <w:left w:w="100" w:type="dxa"/>
              <w:bottom w:w="100" w:type="dxa"/>
              <w:right w:w="100" w:type="dxa"/>
            </w:tcMar>
          </w:tcPr>
          <w:p w14:paraId="1AA9B591"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Environment Splines?</w:t>
            </w:r>
          </w:p>
        </w:tc>
        <w:tc>
          <w:tcPr>
            <w:tcW w:w="1665" w:type="dxa"/>
            <w:tcBorders>
              <w:top w:val="single" w:sz="8" w:space="0" w:color="808080"/>
              <w:left w:val="single" w:sz="8" w:space="0" w:color="808080"/>
              <w:bottom w:val="single" w:sz="8" w:space="0" w:color="000000"/>
              <w:right w:val="single" w:sz="8" w:space="0" w:color="808080"/>
            </w:tcBorders>
            <w:tcMar>
              <w:top w:w="100" w:type="dxa"/>
              <w:left w:w="100" w:type="dxa"/>
              <w:bottom w:w="100" w:type="dxa"/>
              <w:right w:w="100" w:type="dxa"/>
            </w:tcMar>
          </w:tcPr>
          <w:p w14:paraId="7BA73F4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Log Likelihood</w:t>
            </w:r>
          </w:p>
        </w:tc>
        <w:tc>
          <w:tcPr>
            <w:tcW w:w="1605" w:type="dxa"/>
            <w:tcBorders>
              <w:top w:val="single" w:sz="8" w:space="0" w:color="808080"/>
              <w:left w:val="single" w:sz="8" w:space="0" w:color="808080"/>
              <w:bottom w:val="single" w:sz="8" w:space="0" w:color="000000"/>
              <w:right w:val="single" w:sz="8" w:space="0" w:color="808080"/>
            </w:tcBorders>
            <w:tcMar>
              <w:top w:w="100" w:type="dxa"/>
              <w:left w:w="100" w:type="dxa"/>
              <w:bottom w:w="100" w:type="dxa"/>
              <w:right w:w="100" w:type="dxa"/>
            </w:tcMar>
          </w:tcPr>
          <w:p w14:paraId="5A32C109"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Matern</w:t>
            </w:r>
            <w:proofErr w:type="spellEnd"/>
            <w:r>
              <w:rPr>
                <w:rFonts w:ascii="Times New Roman" w:eastAsia="Times New Roman" w:hAnsi="Times New Roman" w:cs="Times New Roman"/>
              </w:rPr>
              <w:t xml:space="preserve"> range</w:t>
            </w:r>
          </w:p>
        </w:tc>
        <w:tc>
          <w:tcPr>
            <w:tcW w:w="1890" w:type="dxa"/>
            <w:tcBorders>
              <w:top w:val="single" w:sz="8" w:space="0" w:color="808080"/>
              <w:left w:val="single" w:sz="8" w:space="0" w:color="808080"/>
              <w:bottom w:val="single" w:sz="8" w:space="0" w:color="000000"/>
              <w:right w:val="single" w:sz="8" w:space="0" w:color="808080"/>
            </w:tcBorders>
            <w:tcMar>
              <w:top w:w="100" w:type="dxa"/>
              <w:left w:w="100" w:type="dxa"/>
              <w:bottom w:w="100" w:type="dxa"/>
              <w:right w:w="100" w:type="dxa"/>
            </w:tcMar>
          </w:tcPr>
          <w:p w14:paraId="68244C0F"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Model weight</w:t>
            </w:r>
          </w:p>
        </w:tc>
      </w:tr>
      <w:tr w:rsidR="00323B44" w14:paraId="37DDFBB1" w14:textId="77777777">
        <w:trPr>
          <w:trHeight w:val="500"/>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5C8C2"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Sablefish</w:t>
            </w:r>
          </w:p>
        </w:tc>
        <w:tc>
          <w:tcPr>
            <w:tcW w:w="1575" w:type="dxa"/>
            <w:tcBorders>
              <w:top w:val="single" w:sz="8" w:space="0" w:color="000000"/>
              <w:left w:val="single" w:sz="8" w:space="0" w:color="000000"/>
              <w:bottom w:val="single" w:sz="8" w:space="0" w:color="808080"/>
              <w:right w:val="single" w:sz="8" w:space="0" w:color="808080"/>
            </w:tcBorders>
            <w:tcMar>
              <w:top w:w="100" w:type="dxa"/>
              <w:left w:w="100" w:type="dxa"/>
              <w:bottom w:w="100" w:type="dxa"/>
              <w:right w:w="100" w:type="dxa"/>
            </w:tcMar>
          </w:tcPr>
          <w:p w14:paraId="6273C132"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FALSE</w:t>
            </w:r>
          </w:p>
        </w:tc>
        <w:tc>
          <w:tcPr>
            <w:tcW w:w="1395" w:type="dxa"/>
            <w:tcBorders>
              <w:top w:val="single" w:sz="8" w:space="0" w:color="000000"/>
              <w:left w:val="single" w:sz="8" w:space="0" w:color="808080"/>
              <w:bottom w:val="single" w:sz="8" w:space="0" w:color="808080"/>
              <w:right w:val="single" w:sz="8" w:space="0" w:color="808080"/>
            </w:tcBorders>
            <w:tcMar>
              <w:top w:w="100" w:type="dxa"/>
              <w:left w:w="100" w:type="dxa"/>
              <w:bottom w:w="100" w:type="dxa"/>
              <w:right w:w="100" w:type="dxa"/>
            </w:tcMar>
          </w:tcPr>
          <w:p w14:paraId="0DC78BC9"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FALSE</w:t>
            </w:r>
          </w:p>
        </w:tc>
        <w:tc>
          <w:tcPr>
            <w:tcW w:w="1665" w:type="dxa"/>
            <w:tcBorders>
              <w:top w:val="single" w:sz="8" w:space="0" w:color="000000"/>
              <w:left w:val="single" w:sz="8" w:space="0" w:color="808080"/>
              <w:bottom w:val="single" w:sz="8" w:space="0" w:color="808080"/>
              <w:right w:val="single" w:sz="8" w:space="0" w:color="808080"/>
            </w:tcBorders>
            <w:tcMar>
              <w:top w:w="100" w:type="dxa"/>
              <w:left w:w="100" w:type="dxa"/>
              <w:bottom w:w="100" w:type="dxa"/>
              <w:right w:w="100" w:type="dxa"/>
            </w:tcMar>
          </w:tcPr>
          <w:p w14:paraId="3B4A51B8"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-31534</w:t>
            </w:r>
          </w:p>
        </w:tc>
        <w:tc>
          <w:tcPr>
            <w:tcW w:w="1605" w:type="dxa"/>
            <w:tcBorders>
              <w:top w:val="single" w:sz="8" w:space="0" w:color="000000"/>
              <w:left w:val="single" w:sz="8" w:space="0" w:color="808080"/>
              <w:bottom w:val="single" w:sz="8" w:space="0" w:color="808080"/>
              <w:right w:val="single" w:sz="8" w:space="0" w:color="808080"/>
            </w:tcBorders>
            <w:tcMar>
              <w:top w:w="100" w:type="dxa"/>
              <w:left w:w="100" w:type="dxa"/>
              <w:bottom w:w="100" w:type="dxa"/>
              <w:right w:w="100" w:type="dxa"/>
            </w:tcMar>
          </w:tcPr>
          <w:p w14:paraId="2D2DE66C"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65.79</w:t>
            </w:r>
          </w:p>
        </w:tc>
        <w:tc>
          <w:tcPr>
            <w:tcW w:w="1890" w:type="dxa"/>
            <w:tcBorders>
              <w:top w:val="single" w:sz="8" w:space="0" w:color="000000"/>
              <w:left w:val="single" w:sz="8" w:space="0" w:color="808080"/>
              <w:bottom w:val="single" w:sz="8" w:space="0" w:color="808080"/>
              <w:right w:val="single" w:sz="8" w:space="0" w:color="808080"/>
            </w:tcBorders>
            <w:tcMar>
              <w:top w:w="100" w:type="dxa"/>
              <w:left w:w="100" w:type="dxa"/>
              <w:bottom w:w="100" w:type="dxa"/>
              <w:right w:w="100" w:type="dxa"/>
            </w:tcMar>
          </w:tcPr>
          <w:p w14:paraId="54ED8A42" w14:textId="77777777" w:rsidR="00323B44" w:rsidRDefault="009F35E0">
            <w:pPr>
              <w:widowControl w:val="0"/>
              <w:rPr>
                <w:rFonts w:ascii="Times New Roman" w:eastAsia="Times New Roman" w:hAnsi="Times New Roman" w:cs="Times New Roman"/>
              </w:rPr>
            </w:pPr>
            <w:r>
              <w:rPr>
                <w:rFonts w:ascii="Times New Roman" w:eastAsia="Times New Roman" w:hAnsi="Times New Roman" w:cs="Times New Roman"/>
              </w:rPr>
              <w:t>0.10</w:t>
            </w:r>
          </w:p>
        </w:tc>
      </w:tr>
      <w:tr w:rsidR="00323B44" w14:paraId="5B7C5005" w14:textId="77777777">
        <w:trPr>
          <w:trHeight w:val="500"/>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D767D" w14:textId="77777777" w:rsidR="00323B44" w:rsidRDefault="009F35E0">
            <w:pPr>
              <w:widowControl w:val="0"/>
              <w:rPr>
                <w:rFonts w:ascii="Times New Roman" w:eastAsia="Times New Roman" w:hAnsi="Times New Roman" w:cs="Times New Roman"/>
              </w:rPr>
            </w:pPr>
            <w:r>
              <w:rPr>
                <w:rFonts w:ascii="Times New Roman" w:eastAsia="Times New Roman" w:hAnsi="Times New Roman" w:cs="Times New Roman"/>
              </w:rPr>
              <w:t>Sablefish</w:t>
            </w:r>
          </w:p>
        </w:tc>
        <w:tc>
          <w:tcPr>
            <w:tcW w:w="1575"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tcPr>
          <w:p w14:paraId="5187744C"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FALSE</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4856E1C"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TRUE</w:t>
            </w:r>
          </w:p>
        </w:tc>
        <w:tc>
          <w:tcPr>
            <w:tcW w:w="16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DDE1498"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-31506</w:t>
            </w:r>
          </w:p>
        </w:tc>
        <w:tc>
          <w:tcPr>
            <w:tcW w:w="160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BC8DEB0"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68.56</w:t>
            </w:r>
          </w:p>
        </w:tc>
        <w:tc>
          <w:tcPr>
            <w:tcW w:w="189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413ED1E" w14:textId="77777777" w:rsidR="00323B44" w:rsidRDefault="009F35E0">
            <w:pPr>
              <w:widowControl w:val="0"/>
              <w:rPr>
                <w:rFonts w:ascii="Times New Roman" w:eastAsia="Times New Roman" w:hAnsi="Times New Roman" w:cs="Times New Roman"/>
              </w:rPr>
            </w:pPr>
            <w:r>
              <w:rPr>
                <w:rFonts w:ascii="Times New Roman" w:eastAsia="Times New Roman" w:hAnsi="Times New Roman" w:cs="Times New Roman"/>
              </w:rPr>
              <w:t>0.12</w:t>
            </w:r>
          </w:p>
        </w:tc>
      </w:tr>
      <w:tr w:rsidR="00323B44" w14:paraId="7430DD96" w14:textId="77777777">
        <w:trPr>
          <w:trHeight w:val="500"/>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6AB87" w14:textId="77777777" w:rsidR="00323B44" w:rsidRDefault="009F35E0">
            <w:pPr>
              <w:widowControl w:val="0"/>
              <w:rPr>
                <w:rFonts w:ascii="Times New Roman" w:eastAsia="Times New Roman" w:hAnsi="Times New Roman" w:cs="Times New Roman"/>
              </w:rPr>
            </w:pPr>
            <w:r>
              <w:rPr>
                <w:rFonts w:ascii="Times New Roman" w:eastAsia="Times New Roman" w:hAnsi="Times New Roman" w:cs="Times New Roman"/>
              </w:rPr>
              <w:t>Sablefish</w:t>
            </w:r>
          </w:p>
        </w:tc>
        <w:tc>
          <w:tcPr>
            <w:tcW w:w="1575"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tcPr>
          <w:p w14:paraId="3FBF4078"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TRUE</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719210C"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FALSE</w:t>
            </w:r>
          </w:p>
        </w:tc>
        <w:tc>
          <w:tcPr>
            <w:tcW w:w="16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A15A0F4"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-31640</w:t>
            </w:r>
          </w:p>
        </w:tc>
        <w:tc>
          <w:tcPr>
            <w:tcW w:w="160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ACC7113"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50.21</w:t>
            </w:r>
          </w:p>
        </w:tc>
        <w:tc>
          <w:tcPr>
            <w:tcW w:w="189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01AEE33"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&lt;0.01</w:t>
            </w:r>
          </w:p>
        </w:tc>
      </w:tr>
      <w:tr w:rsidR="00323B44" w14:paraId="288C684F" w14:textId="77777777">
        <w:trPr>
          <w:trHeight w:val="500"/>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1B323" w14:textId="77777777" w:rsidR="00323B44" w:rsidRDefault="009F35E0">
            <w:pPr>
              <w:widowControl w:val="0"/>
              <w:rPr>
                <w:rFonts w:ascii="Times New Roman" w:eastAsia="Times New Roman" w:hAnsi="Times New Roman" w:cs="Times New Roman"/>
              </w:rPr>
            </w:pPr>
            <w:r>
              <w:rPr>
                <w:rFonts w:ascii="Times New Roman" w:eastAsia="Times New Roman" w:hAnsi="Times New Roman" w:cs="Times New Roman"/>
              </w:rPr>
              <w:t>Sablefish</w:t>
            </w:r>
          </w:p>
        </w:tc>
        <w:tc>
          <w:tcPr>
            <w:tcW w:w="1575"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tcPr>
          <w:p w14:paraId="69321211"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TRUE</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0EBF389"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TRUE</w:t>
            </w:r>
          </w:p>
        </w:tc>
        <w:tc>
          <w:tcPr>
            <w:tcW w:w="16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6EAB50C"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-31597</w:t>
            </w:r>
          </w:p>
        </w:tc>
        <w:tc>
          <w:tcPr>
            <w:tcW w:w="160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53064E0" w14:textId="77777777" w:rsidR="00323B44" w:rsidRDefault="009F35E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51.14</w:t>
            </w:r>
          </w:p>
        </w:tc>
        <w:tc>
          <w:tcPr>
            <w:tcW w:w="189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C9AC536" w14:textId="77777777" w:rsidR="00323B44" w:rsidRDefault="009F35E0">
            <w:pPr>
              <w:widowControl w:val="0"/>
              <w:rPr>
                <w:rFonts w:ascii="Times New Roman" w:eastAsia="Times New Roman" w:hAnsi="Times New Roman" w:cs="Times New Roman"/>
              </w:rPr>
            </w:pPr>
            <w:r>
              <w:rPr>
                <w:rFonts w:ascii="Times New Roman" w:eastAsia="Times New Roman" w:hAnsi="Times New Roman" w:cs="Times New Roman"/>
              </w:rPr>
              <w:t>0.78</w:t>
            </w:r>
          </w:p>
        </w:tc>
      </w:tr>
    </w:tbl>
    <w:p w14:paraId="412202F5" w14:textId="77777777" w:rsidR="009F35E0" w:rsidRDefault="009F35E0">
      <w:pPr>
        <w:rPr>
          <w:rFonts w:ascii="Times New Roman" w:eastAsia="Times New Roman" w:hAnsi="Times New Roman" w:cs="Times New Roman"/>
          <w:b/>
        </w:rPr>
      </w:pPr>
    </w:p>
    <w:p w14:paraId="2D8A6150" w14:textId="0CF8D578" w:rsidR="00323B44" w:rsidRDefault="009F35E0">
      <w:pPr>
        <w:rPr>
          <w:rFonts w:ascii="Times New Roman" w:eastAsia="Times New Roman" w:hAnsi="Times New Roman" w:cs="Times New Roman"/>
        </w:rPr>
      </w:pPr>
      <w:r>
        <w:rPr>
          <w:rFonts w:ascii="Times New Roman" w:eastAsia="Times New Roman" w:hAnsi="Times New Roman" w:cs="Times New Roman"/>
          <w:b/>
        </w:rPr>
        <w:t>Table A.2</w:t>
      </w:r>
      <w:r>
        <w:rPr>
          <w:rFonts w:ascii="Cardo" w:eastAsia="Cardo" w:hAnsi="Cardo" w:cs="Cardo"/>
        </w:rPr>
        <w:t xml:space="preserve"> Model fit statistics for the four sablefish models,  including the options chosen for each model (i.e., whether to include spatial fields and whether or not the relationships between CPUE and bottom temperature and oxygen were modelled as splines), the model weight in the ensemble after cross-validation (see Methods), the out-of-sample log likelihood from cross-validation, the </w:t>
      </w:r>
      <w:proofErr w:type="spellStart"/>
      <w:r>
        <w:rPr>
          <w:rFonts w:ascii="Cardo" w:eastAsia="Cardo" w:hAnsi="Cardo" w:cs="Cardo"/>
        </w:rPr>
        <w:t>Matern</w:t>
      </w:r>
      <w:proofErr w:type="spellEnd"/>
      <w:r>
        <w:rPr>
          <w:rFonts w:ascii="Cardo" w:eastAsia="Cardo" w:hAnsi="Cardo" w:cs="Cardo"/>
        </w:rPr>
        <w:t xml:space="preserve"> practical range parameter (defined as the distance at which the spatial correlation in the data drops to ⍴=0.13 (Lindgren and Rue 2015)), and finally the model weight used in subsequent analyses.</w:t>
      </w:r>
    </w:p>
    <w:p w14:paraId="30C3FFE6" w14:textId="77777777" w:rsidR="00323B44" w:rsidRDefault="00323B44">
      <w:pPr>
        <w:rPr>
          <w:rFonts w:ascii="Times New Roman" w:eastAsia="Times New Roman" w:hAnsi="Times New Roman" w:cs="Times New Roman"/>
        </w:rPr>
      </w:pPr>
    </w:p>
    <w:p w14:paraId="6A3CD91E" w14:textId="77777777" w:rsidR="00323B44" w:rsidRDefault="009F35E0">
      <w:pPr>
        <w:rPr>
          <w:rFonts w:ascii="Times New Roman" w:eastAsia="Times New Roman" w:hAnsi="Times New Roman" w:cs="Times New Roman"/>
        </w:rPr>
      </w:pPr>
      <w:r>
        <w:rPr>
          <w:rFonts w:ascii="Times New Roman" w:eastAsia="Times New Roman" w:hAnsi="Times New Roman" w:cs="Times New Roman"/>
          <w:noProof/>
          <w:lang w:val="en-US"/>
        </w:rPr>
        <w:drawing>
          <wp:inline distT="114300" distB="114300" distL="114300" distR="114300" wp14:anchorId="6B61CB0F" wp14:editId="21B7F477">
            <wp:extent cx="5943600" cy="2235200"/>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943600" cy="2235200"/>
                    </a:xfrm>
                    <a:prstGeom prst="rect">
                      <a:avLst/>
                    </a:prstGeom>
                    <a:ln/>
                  </pic:spPr>
                </pic:pic>
              </a:graphicData>
            </a:graphic>
          </wp:inline>
        </w:drawing>
      </w:r>
    </w:p>
    <w:p w14:paraId="3B624770" w14:textId="3F357E2C" w:rsidR="00323B44" w:rsidRDefault="009F35E0">
      <w:pPr>
        <w:rPr>
          <w:rFonts w:ascii="Times New Roman" w:eastAsia="Times New Roman" w:hAnsi="Times New Roman" w:cs="Times New Roman"/>
        </w:rPr>
      </w:pPr>
      <w:r>
        <w:rPr>
          <w:rFonts w:ascii="Times New Roman" w:eastAsia="Times New Roman" w:hAnsi="Times New Roman" w:cs="Times New Roman"/>
          <w:b/>
        </w:rPr>
        <w:t>Figure A.3</w:t>
      </w:r>
      <w:r>
        <w:rPr>
          <w:rFonts w:ascii="Times New Roman" w:eastAsia="Times New Roman" w:hAnsi="Times New Roman" w:cs="Times New Roman"/>
        </w:rPr>
        <w:t xml:space="preserve"> </w:t>
      </w:r>
      <w:r w:rsidR="00A45880">
        <w:rPr>
          <w:rFonts w:ascii="Times New Roman" w:eastAsia="Times New Roman" w:hAnsi="Times New Roman" w:cs="Times New Roman"/>
        </w:rPr>
        <w:t>Random</w:t>
      </w:r>
      <w:r w:rsidR="00A45880" w:rsidRPr="00B25BCD">
        <w:rPr>
          <w:rFonts w:ascii="Times New Roman" w:eastAsia="Times New Roman" w:hAnsi="Times New Roman" w:cs="Times New Roman"/>
        </w:rPr>
        <w:t>ized quantile residual plots (</w:t>
      </w:r>
      <w:r w:rsidR="00A45880">
        <w:rPr>
          <w:rFonts w:ascii="Times New Roman" w:hAnsi="Times New Roman" w:cs="Times New Roman"/>
          <w:color w:val="000000"/>
        </w:rPr>
        <w:t>Dunn and</w:t>
      </w:r>
      <w:r w:rsidR="00A45880" w:rsidRPr="00B25BCD">
        <w:rPr>
          <w:rFonts w:ascii="Times New Roman" w:hAnsi="Times New Roman" w:cs="Times New Roman"/>
          <w:color w:val="000000"/>
        </w:rPr>
        <w:t xml:space="preserve"> Smyth 1996) </w:t>
      </w:r>
      <w:r w:rsidR="00A45880">
        <w:rPr>
          <w:rFonts w:ascii="Times New Roman" w:eastAsia="Times New Roman" w:hAnsi="Times New Roman" w:cs="Times New Roman"/>
        </w:rPr>
        <w:t xml:space="preserve">for </w:t>
      </w:r>
      <w:r>
        <w:rPr>
          <w:rFonts w:ascii="Times New Roman" w:eastAsia="Times New Roman" w:hAnsi="Times New Roman" w:cs="Times New Roman"/>
        </w:rPr>
        <w:t>the four sablefish models described in Table A.2.</w:t>
      </w:r>
    </w:p>
    <w:p w14:paraId="445B70F9"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noProof/>
          <w:lang w:val="en-US"/>
        </w:rPr>
        <w:lastRenderedPageBreak/>
        <w:drawing>
          <wp:inline distT="114300" distB="114300" distL="114300" distR="114300" wp14:anchorId="292A3001" wp14:editId="528067BC">
            <wp:extent cx="5943600" cy="44577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5943600" cy="4457700"/>
                    </a:xfrm>
                    <a:prstGeom prst="rect">
                      <a:avLst/>
                    </a:prstGeom>
                    <a:ln/>
                  </pic:spPr>
                </pic:pic>
              </a:graphicData>
            </a:graphic>
          </wp:inline>
        </w:drawing>
      </w:r>
    </w:p>
    <w:p w14:paraId="0309DFC5"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 xml:space="preserve">Figure A.4 </w:t>
      </w:r>
      <w:r>
        <w:rPr>
          <w:rFonts w:ascii="Times New Roman" w:eastAsia="Times New Roman" w:hAnsi="Times New Roman" w:cs="Times New Roman"/>
        </w:rPr>
        <w:t>Empirical environmental niche of sablefish estimated using the ensemble predictions for 1985 to 2010 under the three separate Earth System Models (GFDL, IPSL, and HADL, respectively, from left to right). Each polygon is a concave hull outlining a range of bottom temperature (x-axis) and bottom oxygen (y-axis) values encompassing all values greater than or equal to the 5th, 50th, 75th, or 95th percentile of predicted CPUE values.</w:t>
      </w:r>
    </w:p>
    <w:p w14:paraId="2CDA3DD8" w14:textId="77777777" w:rsidR="00323B44" w:rsidRDefault="00323B44">
      <w:pPr>
        <w:rPr>
          <w:rFonts w:ascii="Times New Roman" w:eastAsia="Times New Roman" w:hAnsi="Times New Roman" w:cs="Times New Roman"/>
          <w:b/>
        </w:rPr>
      </w:pPr>
    </w:p>
    <w:p w14:paraId="4B834091" w14:textId="77777777" w:rsidR="00323B44" w:rsidRDefault="00323B44">
      <w:pPr>
        <w:rPr>
          <w:rFonts w:ascii="Times New Roman" w:eastAsia="Times New Roman" w:hAnsi="Times New Roman" w:cs="Times New Roman"/>
          <w:b/>
        </w:rPr>
      </w:pPr>
    </w:p>
    <w:p w14:paraId="0550D4E5" w14:textId="77777777" w:rsidR="00323B44" w:rsidRDefault="009F35E0">
      <w:pPr>
        <w:rPr>
          <w:rFonts w:ascii="Times New Roman" w:eastAsia="Times New Roman" w:hAnsi="Times New Roman" w:cs="Times New Roman"/>
          <w:b/>
        </w:rPr>
      </w:pPr>
      <w:r>
        <w:br w:type="page"/>
      </w:r>
    </w:p>
    <w:p w14:paraId="0903FCFB" w14:textId="77777777" w:rsidR="00323B44" w:rsidRDefault="009F35E0">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Shortspine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Thornyhead</w:t>
      </w:r>
      <w:proofErr w:type="spellEnd"/>
    </w:p>
    <w:p w14:paraId="790CEDF7"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noProof/>
          <w:sz w:val="28"/>
          <w:szCs w:val="28"/>
          <w:lang w:val="en-US"/>
        </w:rPr>
        <w:drawing>
          <wp:inline distT="114300" distB="114300" distL="114300" distR="114300" wp14:anchorId="23187B2E" wp14:editId="7D3A4C0E">
            <wp:extent cx="1828800" cy="1218262"/>
            <wp:effectExtent l="0" t="0" r="0" b="0"/>
            <wp:docPr id="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1828800" cy="1218262"/>
                    </a:xfrm>
                    <a:prstGeom prst="rect">
                      <a:avLst/>
                    </a:prstGeom>
                    <a:ln/>
                  </pic:spPr>
                </pic:pic>
              </a:graphicData>
            </a:graphic>
          </wp:inline>
        </w:drawing>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560"/>
        <w:gridCol w:w="1425"/>
        <w:gridCol w:w="1740"/>
        <w:gridCol w:w="1455"/>
        <w:gridCol w:w="1530"/>
      </w:tblGrid>
      <w:tr w:rsidR="00323B44" w14:paraId="0162BF52" w14:textId="77777777">
        <w:tc>
          <w:tcPr>
            <w:tcW w:w="1650" w:type="dxa"/>
            <w:tcMar>
              <w:top w:w="100" w:type="dxa"/>
              <w:left w:w="100" w:type="dxa"/>
              <w:bottom w:w="100" w:type="dxa"/>
              <w:right w:w="100" w:type="dxa"/>
            </w:tcMar>
          </w:tcPr>
          <w:p w14:paraId="0012133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Species</w:t>
            </w:r>
          </w:p>
        </w:tc>
        <w:tc>
          <w:tcPr>
            <w:tcW w:w="1560" w:type="dxa"/>
            <w:tcMar>
              <w:top w:w="100" w:type="dxa"/>
              <w:left w:w="100" w:type="dxa"/>
              <w:bottom w:w="100" w:type="dxa"/>
              <w:right w:w="100" w:type="dxa"/>
            </w:tcMar>
          </w:tcPr>
          <w:p w14:paraId="50771F6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Spatial Field?</w:t>
            </w:r>
          </w:p>
        </w:tc>
        <w:tc>
          <w:tcPr>
            <w:tcW w:w="1425" w:type="dxa"/>
            <w:tcMar>
              <w:top w:w="100" w:type="dxa"/>
              <w:left w:w="100" w:type="dxa"/>
              <w:bottom w:w="100" w:type="dxa"/>
              <w:right w:w="100" w:type="dxa"/>
            </w:tcMar>
          </w:tcPr>
          <w:p w14:paraId="04FBD19E"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Environment Splines?</w:t>
            </w:r>
          </w:p>
        </w:tc>
        <w:tc>
          <w:tcPr>
            <w:tcW w:w="1740" w:type="dxa"/>
            <w:tcMar>
              <w:top w:w="100" w:type="dxa"/>
              <w:left w:w="100" w:type="dxa"/>
              <w:bottom w:w="100" w:type="dxa"/>
              <w:right w:w="100" w:type="dxa"/>
            </w:tcMar>
          </w:tcPr>
          <w:p w14:paraId="4BA54170"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Log Likelihood</w:t>
            </w:r>
          </w:p>
        </w:tc>
        <w:tc>
          <w:tcPr>
            <w:tcW w:w="1455" w:type="dxa"/>
            <w:tcMar>
              <w:top w:w="100" w:type="dxa"/>
              <w:left w:w="100" w:type="dxa"/>
              <w:bottom w:w="100" w:type="dxa"/>
              <w:right w:w="100" w:type="dxa"/>
            </w:tcMar>
          </w:tcPr>
          <w:p w14:paraId="1DCC3184"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Matern</w:t>
            </w:r>
            <w:proofErr w:type="spellEnd"/>
            <w:r>
              <w:rPr>
                <w:rFonts w:ascii="Times New Roman" w:eastAsia="Times New Roman" w:hAnsi="Times New Roman" w:cs="Times New Roman"/>
              </w:rPr>
              <w:t xml:space="preserve"> range</w:t>
            </w:r>
          </w:p>
        </w:tc>
        <w:tc>
          <w:tcPr>
            <w:tcW w:w="1530" w:type="dxa"/>
            <w:tcMar>
              <w:top w:w="100" w:type="dxa"/>
              <w:left w:w="100" w:type="dxa"/>
              <w:bottom w:w="100" w:type="dxa"/>
              <w:right w:w="100" w:type="dxa"/>
            </w:tcMar>
          </w:tcPr>
          <w:p w14:paraId="3D9467E6"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Model weight</w:t>
            </w:r>
          </w:p>
        </w:tc>
      </w:tr>
      <w:tr w:rsidR="00323B44" w14:paraId="3430DC26" w14:textId="77777777">
        <w:tc>
          <w:tcPr>
            <w:tcW w:w="1650" w:type="dxa"/>
            <w:tcMar>
              <w:top w:w="100" w:type="dxa"/>
              <w:left w:w="100" w:type="dxa"/>
              <w:bottom w:w="100" w:type="dxa"/>
              <w:right w:w="100" w:type="dxa"/>
            </w:tcMar>
          </w:tcPr>
          <w:p w14:paraId="44525B52"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Shortspine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p>
        </w:tc>
        <w:tc>
          <w:tcPr>
            <w:tcW w:w="1560" w:type="dxa"/>
            <w:tcMar>
              <w:top w:w="100" w:type="dxa"/>
              <w:left w:w="100" w:type="dxa"/>
              <w:bottom w:w="100" w:type="dxa"/>
              <w:right w:w="100" w:type="dxa"/>
            </w:tcMar>
          </w:tcPr>
          <w:p w14:paraId="26862AEA"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425" w:type="dxa"/>
            <w:tcMar>
              <w:top w:w="100" w:type="dxa"/>
              <w:left w:w="100" w:type="dxa"/>
              <w:bottom w:w="100" w:type="dxa"/>
              <w:right w:w="100" w:type="dxa"/>
            </w:tcMar>
          </w:tcPr>
          <w:p w14:paraId="042914F3"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740" w:type="dxa"/>
            <w:tcMar>
              <w:top w:w="100" w:type="dxa"/>
              <w:left w:w="100" w:type="dxa"/>
              <w:bottom w:w="100" w:type="dxa"/>
              <w:right w:w="100" w:type="dxa"/>
            </w:tcMar>
          </w:tcPr>
          <w:p w14:paraId="37155BC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-21424</w:t>
            </w:r>
          </w:p>
        </w:tc>
        <w:tc>
          <w:tcPr>
            <w:tcW w:w="1455" w:type="dxa"/>
            <w:tcMar>
              <w:top w:w="100" w:type="dxa"/>
              <w:left w:w="100" w:type="dxa"/>
              <w:bottom w:w="100" w:type="dxa"/>
              <w:right w:w="100" w:type="dxa"/>
            </w:tcMar>
          </w:tcPr>
          <w:p w14:paraId="496E052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39.57</w:t>
            </w:r>
          </w:p>
        </w:tc>
        <w:tc>
          <w:tcPr>
            <w:tcW w:w="1530" w:type="dxa"/>
            <w:tcMar>
              <w:top w:w="100" w:type="dxa"/>
              <w:left w:w="100" w:type="dxa"/>
              <w:bottom w:w="100" w:type="dxa"/>
              <w:right w:w="100" w:type="dxa"/>
            </w:tcMar>
          </w:tcPr>
          <w:p w14:paraId="1CC7B329"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0.02</w:t>
            </w:r>
          </w:p>
        </w:tc>
      </w:tr>
      <w:tr w:rsidR="00323B44" w14:paraId="01BEC582" w14:textId="77777777">
        <w:tc>
          <w:tcPr>
            <w:tcW w:w="1650" w:type="dxa"/>
            <w:tcMar>
              <w:top w:w="100" w:type="dxa"/>
              <w:left w:w="100" w:type="dxa"/>
              <w:bottom w:w="100" w:type="dxa"/>
              <w:right w:w="100" w:type="dxa"/>
            </w:tcMar>
          </w:tcPr>
          <w:p w14:paraId="517A76BE"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Shortspine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p>
        </w:tc>
        <w:tc>
          <w:tcPr>
            <w:tcW w:w="1560" w:type="dxa"/>
            <w:tcMar>
              <w:top w:w="100" w:type="dxa"/>
              <w:left w:w="100" w:type="dxa"/>
              <w:bottom w:w="100" w:type="dxa"/>
              <w:right w:w="100" w:type="dxa"/>
            </w:tcMar>
          </w:tcPr>
          <w:p w14:paraId="622A482A"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425" w:type="dxa"/>
            <w:tcMar>
              <w:top w:w="100" w:type="dxa"/>
              <w:left w:w="100" w:type="dxa"/>
              <w:bottom w:w="100" w:type="dxa"/>
              <w:right w:w="100" w:type="dxa"/>
            </w:tcMar>
          </w:tcPr>
          <w:p w14:paraId="0B1F57BD"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740" w:type="dxa"/>
            <w:tcMar>
              <w:top w:w="100" w:type="dxa"/>
              <w:left w:w="100" w:type="dxa"/>
              <w:bottom w:w="100" w:type="dxa"/>
              <w:right w:w="100" w:type="dxa"/>
            </w:tcMar>
          </w:tcPr>
          <w:p w14:paraId="4C75B764"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-21234</w:t>
            </w:r>
          </w:p>
        </w:tc>
        <w:tc>
          <w:tcPr>
            <w:tcW w:w="1455" w:type="dxa"/>
            <w:tcMar>
              <w:top w:w="100" w:type="dxa"/>
              <w:left w:w="100" w:type="dxa"/>
              <w:bottom w:w="100" w:type="dxa"/>
              <w:right w:w="100" w:type="dxa"/>
            </w:tcMar>
          </w:tcPr>
          <w:p w14:paraId="5B0946FA"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41.77</w:t>
            </w:r>
          </w:p>
        </w:tc>
        <w:tc>
          <w:tcPr>
            <w:tcW w:w="1530" w:type="dxa"/>
            <w:tcMar>
              <w:top w:w="100" w:type="dxa"/>
              <w:left w:w="100" w:type="dxa"/>
              <w:bottom w:w="100" w:type="dxa"/>
              <w:right w:w="100" w:type="dxa"/>
            </w:tcMar>
          </w:tcPr>
          <w:p w14:paraId="0DF4C1E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0.34</w:t>
            </w:r>
          </w:p>
        </w:tc>
      </w:tr>
      <w:tr w:rsidR="00323B44" w14:paraId="035F7481" w14:textId="77777777">
        <w:tc>
          <w:tcPr>
            <w:tcW w:w="1650" w:type="dxa"/>
            <w:tcMar>
              <w:top w:w="100" w:type="dxa"/>
              <w:left w:w="100" w:type="dxa"/>
              <w:bottom w:w="100" w:type="dxa"/>
              <w:right w:w="100" w:type="dxa"/>
            </w:tcMar>
          </w:tcPr>
          <w:p w14:paraId="0EABCDDE"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Shortspine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p>
        </w:tc>
        <w:tc>
          <w:tcPr>
            <w:tcW w:w="1560" w:type="dxa"/>
            <w:tcMar>
              <w:top w:w="100" w:type="dxa"/>
              <w:left w:w="100" w:type="dxa"/>
              <w:bottom w:w="100" w:type="dxa"/>
              <w:right w:w="100" w:type="dxa"/>
            </w:tcMar>
          </w:tcPr>
          <w:p w14:paraId="7005759F"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425" w:type="dxa"/>
            <w:tcMar>
              <w:top w:w="100" w:type="dxa"/>
              <w:left w:w="100" w:type="dxa"/>
              <w:bottom w:w="100" w:type="dxa"/>
              <w:right w:w="100" w:type="dxa"/>
            </w:tcMar>
          </w:tcPr>
          <w:p w14:paraId="1C7E398B"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740" w:type="dxa"/>
            <w:tcMar>
              <w:top w:w="100" w:type="dxa"/>
              <w:left w:w="100" w:type="dxa"/>
              <w:bottom w:w="100" w:type="dxa"/>
              <w:right w:w="100" w:type="dxa"/>
            </w:tcMar>
          </w:tcPr>
          <w:p w14:paraId="317248D0"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-20905</w:t>
            </w:r>
          </w:p>
        </w:tc>
        <w:tc>
          <w:tcPr>
            <w:tcW w:w="1455" w:type="dxa"/>
            <w:tcMar>
              <w:top w:w="100" w:type="dxa"/>
              <w:left w:w="100" w:type="dxa"/>
              <w:bottom w:w="100" w:type="dxa"/>
              <w:right w:w="100" w:type="dxa"/>
            </w:tcMar>
          </w:tcPr>
          <w:p w14:paraId="086019B3"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49.26</w:t>
            </w:r>
          </w:p>
        </w:tc>
        <w:tc>
          <w:tcPr>
            <w:tcW w:w="1530" w:type="dxa"/>
            <w:tcMar>
              <w:top w:w="100" w:type="dxa"/>
              <w:left w:w="100" w:type="dxa"/>
              <w:bottom w:w="100" w:type="dxa"/>
              <w:right w:w="100" w:type="dxa"/>
            </w:tcMar>
          </w:tcPr>
          <w:p w14:paraId="69C69C1A"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&lt;0.01</w:t>
            </w:r>
          </w:p>
        </w:tc>
      </w:tr>
      <w:tr w:rsidR="00323B44" w14:paraId="5B0D8C72" w14:textId="77777777">
        <w:tc>
          <w:tcPr>
            <w:tcW w:w="1650" w:type="dxa"/>
            <w:tcMar>
              <w:top w:w="100" w:type="dxa"/>
              <w:left w:w="100" w:type="dxa"/>
              <w:bottom w:w="100" w:type="dxa"/>
              <w:right w:w="100" w:type="dxa"/>
            </w:tcMar>
          </w:tcPr>
          <w:p w14:paraId="0005314A"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Shortspine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p>
        </w:tc>
        <w:tc>
          <w:tcPr>
            <w:tcW w:w="1560" w:type="dxa"/>
            <w:tcMar>
              <w:top w:w="100" w:type="dxa"/>
              <w:left w:w="100" w:type="dxa"/>
              <w:bottom w:w="100" w:type="dxa"/>
              <w:right w:w="100" w:type="dxa"/>
            </w:tcMar>
          </w:tcPr>
          <w:p w14:paraId="62408EBD"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425" w:type="dxa"/>
            <w:tcMar>
              <w:top w:w="100" w:type="dxa"/>
              <w:left w:w="100" w:type="dxa"/>
              <w:bottom w:w="100" w:type="dxa"/>
              <w:right w:w="100" w:type="dxa"/>
            </w:tcMar>
          </w:tcPr>
          <w:p w14:paraId="61B0E4F7"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740" w:type="dxa"/>
            <w:tcMar>
              <w:top w:w="100" w:type="dxa"/>
              <w:left w:w="100" w:type="dxa"/>
              <w:bottom w:w="100" w:type="dxa"/>
              <w:right w:w="100" w:type="dxa"/>
            </w:tcMar>
          </w:tcPr>
          <w:p w14:paraId="5A4CCC8B"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-20791</w:t>
            </w:r>
          </w:p>
        </w:tc>
        <w:tc>
          <w:tcPr>
            <w:tcW w:w="1455" w:type="dxa"/>
            <w:tcMar>
              <w:top w:w="100" w:type="dxa"/>
              <w:left w:w="100" w:type="dxa"/>
              <w:bottom w:w="100" w:type="dxa"/>
              <w:right w:w="100" w:type="dxa"/>
            </w:tcMar>
          </w:tcPr>
          <w:p w14:paraId="4F4FD127"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49.24</w:t>
            </w:r>
          </w:p>
        </w:tc>
        <w:tc>
          <w:tcPr>
            <w:tcW w:w="1530" w:type="dxa"/>
            <w:tcMar>
              <w:top w:w="100" w:type="dxa"/>
              <w:left w:w="100" w:type="dxa"/>
              <w:bottom w:w="100" w:type="dxa"/>
              <w:right w:w="100" w:type="dxa"/>
            </w:tcMar>
          </w:tcPr>
          <w:p w14:paraId="4417AB25"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0.64</w:t>
            </w:r>
          </w:p>
        </w:tc>
      </w:tr>
    </w:tbl>
    <w:p w14:paraId="31D1E1BC" w14:textId="77777777" w:rsidR="00323B44" w:rsidRDefault="00323B44">
      <w:pPr>
        <w:rPr>
          <w:rFonts w:ascii="Times New Roman" w:eastAsia="Times New Roman" w:hAnsi="Times New Roman" w:cs="Times New Roman"/>
          <w:b/>
        </w:rPr>
      </w:pPr>
    </w:p>
    <w:p w14:paraId="5BCDA77C"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rPr>
        <w:t>Table A.3</w:t>
      </w:r>
      <w:r>
        <w:rPr>
          <w:rFonts w:ascii="Cardo" w:eastAsia="Cardo" w:hAnsi="Cardo" w:cs="Cardo"/>
        </w:rPr>
        <w:t xml:space="preserve"> Model fit statistics for the four </w:t>
      </w:r>
      <w:proofErr w:type="spellStart"/>
      <w:r>
        <w:rPr>
          <w:rFonts w:ascii="Cardo" w:eastAsia="Cardo" w:hAnsi="Cardo" w:cs="Cardo"/>
        </w:rPr>
        <w:t>shortspine</w:t>
      </w:r>
      <w:proofErr w:type="spellEnd"/>
      <w:r>
        <w:rPr>
          <w:rFonts w:ascii="Cardo" w:eastAsia="Cardo" w:hAnsi="Cardo" w:cs="Cardo"/>
        </w:rPr>
        <w:t xml:space="preserve"> </w:t>
      </w:r>
      <w:proofErr w:type="spellStart"/>
      <w:r>
        <w:rPr>
          <w:rFonts w:ascii="Cardo" w:eastAsia="Cardo" w:hAnsi="Cardo" w:cs="Cardo"/>
        </w:rPr>
        <w:t>thornyhead</w:t>
      </w:r>
      <w:proofErr w:type="spellEnd"/>
      <w:r>
        <w:rPr>
          <w:rFonts w:ascii="Cardo" w:eastAsia="Cardo" w:hAnsi="Cardo" w:cs="Cardo"/>
        </w:rPr>
        <w:t xml:space="preserve"> models, including the options chosen for each model (i.e., whether to include spatial fields and whether or not the relationships between CPUE and bottom temperature and oxygen were modelled as splines), the model weight in the ensemble after cross-validation (see Methods), the out-of-sample log likelihood from cross-validation, the </w:t>
      </w:r>
      <w:proofErr w:type="spellStart"/>
      <w:r>
        <w:rPr>
          <w:rFonts w:ascii="Cardo" w:eastAsia="Cardo" w:hAnsi="Cardo" w:cs="Cardo"/>
        </w:rPr>
        <w:t>Matern</w:t>
      </w:r>
      <w:proofErr w:type="spellEnd"/>
      <w:r>
        <w:rPr>
          <w:rFonts w:ascii="Cardo" w:eastAsia="Cardo" w:hAnsi="Cardo" w:cs="Cardo"/>
        </w:rPr>
        <w:t xml:space="preserve"> practical range parameter (defined as the distance at which the spatial correlation in the data drops to ⍴=0.13 (Lindgren and Rue 2015)), and finally the model weight used in subsequent analyses.</w:t>
      </w:r>
    </w:p>
    <w:p w14:paraId="7B9F371B" w14:textId="77777777" w:rsidR="00323B44" w:rsidRDefault="00323B44">
      <w:pPr>
        <w:rPr>
          <w:rFonts w:ascii="Times New Roman" w:eastAsia="Times New Roman" w:hAnsi="Times New Roman" w:cs="Times New Roman"/>
          <w:b/>
        </w:rPr>
      </w:pPr>
    </w:p>
    <w:p w14:paraId="2611F8B4"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noProof/>
          <w:lang w:val="en-US"/>
        </w:rPr>
        <w:drawing>
          <wp:inline distT="114300" distB="114300" distL="114300" distR="114300" wp14:anchorId="4084A5B4" wp14:editId="3BD5C488">
            <wp:extent cx="5943600" cy="22352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943600" cy="2235200"/>
                    </a:xfrm>
                    <a:prstGeom prst="rect">
                      <a:avLst/>
                    </a:prstGeom>
                    <a:ln/>
                  </pic:spPr>
                </pic:pic>
              </a:graphicData>
            </a:graphic>
          </wp:inline>
        </w:drawing>
      </w:r>
    </w:p>
    <w:p w14:paraId="1A7EC877" w14:textId="76643BAC" w:rsidR="00323B44" w:rsidRDefault="009F35E0">
      <w:pPr>
        <w:rPr>
          <w:rFonts w:ascii="Times New Roman" w:eastAsia="Times New Roman" w:hAnsi="Times New Roman" w:cs="Times New Roman"/>
        </w:rPr>
      </w:pPr>
      <w:r>
        <w:rPr>
          <w:rFonts w:ascii="Times New Roman" w:eastAsia="Times New Roman" w:hAnsi="Times New Roman" w:cs="Times New Roman"/>
          <w:b/>
        </w:rPr>
        <w:t>Figure A.5</w:t>
      </w:r>
      <w:r>
        <w:rPr>
          <w:rFonts w:ascii="Times New Roman" w:eastAsia="Times New Roman" w:hAnsi="Times New Roman" w:cs="Times New Roman"/>
        </w:rPr>
        <w:t xml:space="preserve"> </w:t>
      </w:r>
      <w:r w:rsidR="00A45880">
        <w:rPr>
          <w:rFonts w:ascii="Times New Roman" w:eastAsia="Times New Roman" w:hAnsi="Times New Roman" w:cs="Times New Roman"/>
        </w:rPr>
        <w:t>Random</w:t>
      </w:r>
      <w:r w:rsidR="00A45880" w:rsidRPr="00B25BCD">
        <w:rPr>
          <w:rFonts w:ascii="Times New Roman" w:eastAsia="Times New Roman" w:hAnsi="Times New Roman" w:cs="Times New Roman"/>
        </w:rPr>
        <w:t>ized quantile residual plots (</w:t>
      </w:r>
      <w:r w:rsidR="00A45880">
        <w:rPr>
          <w:rFonts w:ascii="Times New Roman" w:hAnsi="Times New Roman" w:cs="Times New Roman"/>
          <w:color w:val="000000"/>
        </w:rPr>
        <w:t>Dunn and</w:t>
      </w:r>
      <w:r w:rsidR="00A45880" w:rsidRPr="00B25BCD">
        <w:rPr>
          <w:rFonts w:ascii="Times New Roman" w:hAnsi="Times New Roman" w:cs="Times New Roman"/>
          <w:color w:val="000000"/>
        </w:rPr>
        <w:t xml:space="preserve"> Smyth 1996) </w:t>
      </w:r>
      <w:r w:rsidR="00A45880">
        <w:rPr>
          <w:rFonts w:ascii="Times New Roman" w:eastAsia="Times New Roman" w:hAnsi="Times New Roman" w:cs="Times New Roman"/>
        </w:rPr>
        <w:t xml:space="preserve">for </w:t>
      </w:r>
      <w:r>
        <w:rPr>
          <w:rFonts w:ascii="Times New Roman" w:eastAsia="Times New Roman" w:hAnsi="Times New Roman" w:cs="Times New Roman"/>
        </w:rPr>
        <w:t xml:space="preserve">the four </w:t>
      </w:r>
      <w:proofErr w:type="spellStart"/>
      <w:r>
        <w:rPr>
          <w:rFonts w:ascii="Times New Roman" w:eastAsia="Times New Roman" w:hAnsi="Times New Roman" w:cs="Times New Roman"/>
        </w:rPr>
        <w:t>shortspine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r>
        <w:rPr>
          <w:rFonts w:ascii="Times New Roman" w:eastAsia="Times New Roman" w:hAnsi="Times New Roman" w:cs="Times New Roman"/>
        </w:rPr>
        <w:t xml:space="preserve"> models described in Table A.3.</w:t>
      </w:r>
    </w:p>
    <w:p w14:paraId="0CDD441E" w14:textId="77777777" w:rsidR="00323B44" w:rsidRDefault="00323B44">
      <w:pPr>
        <w:rPr>
          <w:rFonts w:ascii="Times New Roman" w:eastAsia="Times New Roman" w:hAnsi="Times New Roman" w:cs="Times New Roman"/>
          <w:b/>
        </w:rPr>
      </w:pPr>
    </w:p>
    <w:p w14:paraId="1F8ADFEF" w14:textId="77777777" w:rsidR="00323B44" w:rsidRDefault="00323B44">
      <w:pPr>
        <w:rPr>
          <w:rFonts w:ascii="Times New Roman" w:eastAsia="Times New Roman" w:hAnsi="Times New Roman" w:cs="Times New Roman"/>
          <w:b/>
        </w:rPr>
      </w:pPr>
    </w:p>
    <w:p w14:paraId="2DBD8DAC"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noProof/>
          <w:lang w:val="en-US"/>
        </w:rPr>
        <w:drawing>
          <wp:inline distT="114300" distB="114300" distL="114300" distR="114300" wp14:anchorId="12E15C97" wp14:editId="6AA9D5C2">
            <wp:extent cx="5943600" cy="4457700"/>
            <wp:effectExtent l="0" t="0" r="0" b="0"/>
            <wp:docPr id="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
                    <a:srcRect/>
                    <a:stretch>
                      <a:fillRect/>
                    </a:stretch>
                  </pic:blipFill>
                  <pic:spPr>
                    <a:xfrm>
                      <a:off x="0" y="0"/>
                      <a:ext cx="5943600" cy="4457700"/>
                    </a:xfrm>
                    <a:prstGeom prst="rect">
                      <a:avLst/>
                    </a:prstGeom>
                    <a:ln/>
                  </pic:spPr>
                </pic:pic>
              </a:graphicData>
            </a:graphic>
          </wp:inline>
        </w:drawing>
      </w:r>
    </w:p>
    <w:p w14:paraId="5BF0BBA7"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rPr>
        <w:t xml:space="preserve">Figure A.6 </w:t>
      </w:r>
      <w:r>
        <w:rPr>
          <w:rFonts w:ascii="Times New Roman" w:eastAsia="Times New Roman" w:hAnsi="Times New Roman" w:cs="Times New Roman"/>
        </w:rPr>
        <w:t xml:space="preserve">Empirical environmental niche of </w:t>
      </w:r>
      <w:proofErr w:type="spellStart"/>
      <w:r>
        <w:rPr>
          <w:rFonts w:ascii="Times New Roman" w:eastAsia="Times New Roman" w:hAnsi="Times New Roman" w:cs="Times New Roman"/>
        </w:rPr>
        <w:t>shortspine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r>
        <w:rPr>
          <w:rFonts w:ascii="Times New Roman" w:eastAsia="Times New Roman" w:hAnsi="Times New Roman" w:cs="Times New Roman"/>
        </w:rPr>
        <w:t xml:space="preserve"> estimated using the ensemble predictions for 1985 to 2010 under the three separate Earth System Models (GFDL, IPSL, and HADL, respectively, from left to right). Each polygon is a concave hull outlining a range of bottom temperature (x-axis) and bottom oxygen (y-axis) values encompassing all values greater than or equal to the 5th, 50th, 75th, or 95th percentile of predicted CPUE values.</w:t>
      </w:r>
    </w:p>
    <w:p w14:paraId="3D5BCA0A" w14:textId="77777777" w:rsidR="00323B44" w:rsidRDefault="009F35E0">
      <w:pPr>
        <w:rPr>
          <w:rFonts w:ascii="Times New Roman" w:eastAsia="Times New Roman" w:hAnsi="Times New Roman" w:cs="Times New Roman"/>
          <w:b/>
        </w:rPr>
      </w:pPr>
      <w:r>
        <w:br w:type="page"/>
      </w:r>
    </w:p>
    <w:p w14:paraId="0562A958" w14:textId="77777777" w:rsidR="00323B44" w:rsidRDefault="009F35E0">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Longspine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Thornyhead</w:t>
      </w:r>
      <w:proofErr w:type="spellEnd"/>
    </w:p>
    <w:p w14:paraId="350741ED" w14:textId="77777777" w:rsidR="00323B44" w:rsidRDefault="009F35E0">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14:anchorId="107A6991" wp14:editId="43309D58">
            <wp:extent cx="1828800" cy="927279"/>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1828800" cy="927279"/>
                    </a:xfrm>
                    <a:prstGeom prst="rect">
                      <a:avLst/>
                    </a:prstGeom>
                    <a:ln/>
                  </pic:spPr>
                </pic:pic>
              </a:graphicData>
            </a:graphic>
          </wp:inline>
        </w:drawing>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1485"/>
        <w:gridCol w:w="1410"/>
        <w:gridCol w:w="1650"/>
        <w:gridCol w:w="1635"/>
        <w:gridCol w:w="1470"/>
      </w:tblGrid>
      <w:tr w:rsidR="00323B44" w14:paraId="555F0AF7" w14:textId="77777777">
        <w:tc>
          <w:tcPr>
            <w:tcW w:w="1710" w:type="dxa"/>
            <w:tcMar>
              <w:top w:w="100" w:type="dxa"/>
              <w:left w:w="100" w:type="dxa"/>
              <w:bottom w:w="100" w:type="dxa"/>
              <w:right w:w="100" w:type="dxa"/>
            </w:tcMar>
          </w:tcPr>
          <w:p w14:paraId="7278FA56"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Species</w:t>
            </w:r>
          </w:p>
        </w:tc>
        <w:tc>
          <w:tcPr>
            <w:tcW w:w="1485" w:type="dxa"/>
            <w:tcMar>
              <w:top w:w="100" w:type="dxa"/>
              <w:left w:w="100" w:type="dxa"/>
              <w:bottom w:w="100" w:type="dxa"/>
              <w:right w:w="100" w:type="dxa"/>
            </w:tcMar>
          </w:tcPr>
          <w:p w14:paraId="26289BE5"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Spatial Field?</w:t>
            </w:r>
          </w:p>
        </w:tc>
        <w:tc>
          <w:tcPr>
            <w:tcW w:w="1410" w:type="dxa"/>
            <w:tcMar>
              <w:top w:w="100" w:type="dxa"/>
              <w:left w:w="100" w:type="dxa"/>
              <w:bottom w:w="100" w:type="dxa"/>
              <w:right w:w="100" w:type="dxa"/>
            </w:tcMar>
          </w:tcPr>
          <w:p w14:paraId="7EF17455"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Environment Splines?</w:t>
            </w:r>
          </w:p>
        </w:tc>
        <w:tc>
          <w:tcPr>
            <w:tcW w:w="1650" w:type="dxa"/>
            <w:tcMar>
              <w:top w:w="100" w:type="dxa"/>
              <w:left w:w="100" w:type="dxa"/>
              <w:bottom w:w="100" w:type="dxa"/>
              <w:right w:w="100" w:type="dxa"/>
            </w:tcMar>
          </w:tcPr>
          <w:p w14:paraId="1008E069"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Log Likelihood</w:t>
            </w:r>
          </w:p>
        </w:tc>
        <w:tc>
          <w:tcPr>
            <w:tcW w:w="1635" w:type="dxa"/>
            <w:tcMar>
              <w:top w:w="100" w:type="dxa"/>
              <w:left w:w="100" w:type="dxa"/>
              <w:bottom w:w="100" w:type="dxa"/>
              <w:right w:w="100" w:type="dxa"/>
            </w:tcMar>
          </w:tcPr>
          <w:p w14:paraId="3F95D59D"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Matern</w:t>
            </w:r>
            <w:proofErr w:type="spellEnd"/>
            <w:r>
              <w:rPr>
                <w:rFonts w:ascii="Times New Roman" w:eastAsia="Times New Roman" w:hAnsi="Times New Roman" w:cs="Times New Roman"/>
              </w:rPr>
              <w:t xml:space="preserve"> range</w:t>
            </w:r>
          </w:p>
        </w:tc>
        <w:tc>
          <w:tcPr>
            <w:tcW w:w="1470" w:type="dxa"/>
            <w:tcMar>
              <w:top w:w="100" w:type="dxa"/>
              <w:left w:w="100" w:type="dxa"/>
              <w:bottom w:w="100" w:type="dxa"/>
              <w:right w:w="100" w:type="dxa"/>
            </w:tcMar>
          </w:tcPr>
          <w:p w14:paraId="7230CE16"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Model weight</w:t>
            </w:r>
          </w:p>
        </w:tc>
      </w:tr>
      <w:tr w:rsidR="00323B44" w14:paraId="6764C37F" w14:textId="77777777">
        <w:tc>
          <w:tcPr>
            <w:tcW w:w="1710" w:type="dxa"/>
            <w:tcMar>
              <w:top w:w="100" w:type="dxa"/>
              <w:left w:w="100" w:type="dxa"/>
              <w:bottom w:w="100" w:type="dxa"/>
              <w:right w:w="100" w:type="dxa"/>
            </w:tcMar>
          </w:tcPr>
          <w:p w14:paraId="3A349201"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Longspine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p>
        </w:tc>
        <w:tc>
          <w:tcPr>
            <w:tcW w:w="1485" w:type="dxa"/>
            <w:tcMar>
              <w:top w:w="100" w:type="dxa"/>
              <w:left w:w="100" w:type="dxa"/>
              <w:bottom w:w="100" w:type="dxa"/>
              <w:right w:w="100" w:type="dxa"/>
            </w:tcMar>
          </w:tcPr>
          <w:p w14:paraId="0DD1F5E6"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410" w:type="dxa"/>
            <w:tcMar>
              <w:top w:w="100" w:type="dxa"/>
              <w:left w:w="100" w:type="dxa"/>
              <w:bottom w:w="100" w:type="dxa"/>
              <w:right w:w="100" w:type="dxa"/>
            </w:tcMar>
          </w:tcPr>
          <w:p w14:paraId="4AD3419C"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650" w:type="dxa"/>
            <w:tcMar>
              <w:top w:w="100" w:type="dxa"/>
              <w:left w:w="100" w:type="dxa"/>
              <w:bottom w:w="100" w:type="dxa"/>
              <w:right w:w="100" w:type="dxa"/>
            </w:tcMar>
          </w:tcPr>
          <w:p w14:paraId="2588DB56"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-21390</w:t>
            </w:r>
          </w:p>
        </w:tc>
        <w:tc>
          <w:tcPr>
            <w:tcW w:w="1635" w:type="dxa"/>
            <w:tcMar>
              <w:top w:w="100" w:type="dxa"/>
              <w:left w:w="100" w:type="dxa"/>
              <w:bottom w:w="100" w:type="dxa"/>
              <w:right w:w="100" w:type="dxa"/>
            </w:tcMar>
          </w:tcPr>
          <w:p w14:paraId="0E5327AB"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161.74</w:t>
            </w:r>
          </w:p>
        </w:tc>
        <w:tc>
          <w:tcPr>
            <w:tcW w:w="1470" w:type="dxa"/>
            <w:tcMar>
              <w:top w:w="100" w:type="dxa"/>
              <w:left w:w="100" w:type="dxa"/>
              <w:bottom w:w="100" w:type="dxa"/>
              <w:right w:w="100" w:type="dxa"/>
            </w:tcMar>
          </w:tcPr>
          <w:p w14:paraId="27259228"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&lt;0.01</w:t>
            </w:r>
          </w:p>
        </w:tc>
      </w:tr>
      <w:tr w:rsidR="00323B44" w14:paraId="1057C3E2" w14:textId="77777777">
        <w:tc>
          <w:tcPr>
            <w:tcW w:w="1710" w:type="dxa"/>
            <w:tcMar>
              <w:top w:w="100" w:type="dxa"/>
              <w:left w:w="100" w:type="dxa"/>
              <w:bottom w:w="100" w:type="dxa"/>
              <w:right w:w="100" w:type="dxa"/>
            </w:tcMar>
          </w:tcPr>
          <w:p w14:paraId="1FACDD78"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Longspine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p>
        </w:tc>
        <w:tc>
          <w:tcPr>
            <w:tcW w:w="1485" w:type="dxa"/>
            <w:tcMar>
              <w:top w:w="100" w:type="dxa"/>
              <w:left w:w="100" w:type="dxa"/>
              <w:bottom w:w="100" w:type="dxa"/>
              <w:right w:w="100" w:type="dxa"/>
            </w:tcMar>
          </w:tcPr>
          <w:p w14:paraId="45B90183"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410" w:type="dxa"/>
            <w:tcMar>
              <w:top w:w="100" w:type="dxa"/>
              <w:left w:w="100" w:type="dxa"/>
              <w:bottom w:w="100" w:type="dxa"/>
              <w:right w:w="100" w:type="dxa"/>
            </w:tcMar>
          </w:tcPr>
          <w:p w14:paraId="657BCBEA"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650" w:type="dxa"/>
            <w:tcMar>
              <w:top w:w="100" w:type="dxa"/>
              <w:left w:w="100" w:type="dxa"/>
              <w:bottom w:w="100" w:type="dxa"/>
              <w:right w:w="100" w:type="dxa"/>
            </w:tcMar>
          </w:tcPr>
          <w:p w14:paraId="594ABB3B"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-16334</w:t>
            </w:r>
          </w:p>
        </w:tc>
        <w:tc>
          <w:tcPr>
            <w:tcW w:w="1635" w:type="dxa"/>
            <w:tcMar>
              <w:top w:w="100" w:type="dxa"/>
              <w:left w:w="100" w:type="dxa"/>
              <w:bottom w:w="100" w:type="dxa"/>
              <w:right w:w="100" w:type="dxa"/>
            </w:tcMar>
          </w:tcPr>
          <w:p w14:paraId="22FD9D81"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161.44</w:t>
            </w:r>
          </w:p>
        </w:tc>
        <w:tc>
          <w:tcPr>
            <w:tcW w:w="1470" w:type="dxa"/>
            <w:tcMar>
              <w:top w:w="100" w:type="dxa"/>
              <w:left w:w="100" w:type="dxa"/>
              <w:bottom w:w="100" w:type="dxa"/>
              <w:right w:w="100" w:type="dxa"/>
            </w:tcMar>
          </w:tcPr>
          <w:p w14:paraId="769013E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0.09</w:t>
            </w:r>
          </w:p>
        </w:tc>
      </w:tr>
      <w:tr w:rsidR="00323B44" w14:paraId="59DF7936" w14:textId="77777777">
        <w:tc>
          <w:tcPr>
            <w:tcW w:w="1710" w:type="dxa"/>
            <w:tcMar>
              <w:top w:w="100" w:type="dxa"/>
              <w:left w:w="100" w:type="dxa"/>
              <w:bottom w:w="100" w:type="dxa"/>
              <w:right w:w="100" w:type="dxa"/>
            </w:tcMar>
          </w:tcPr>
          <w:p w14:paraId="12027578"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Longspine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p>
        </w:tc>
        <w:tc>
          <w:tcPr>
            <w:tcW w:w="1485" w:type="dxa"/>
            <w:tcMar>
              <w:top w:w="100" w:type="dxa"/>
              <w:left w:w="100" w:type="dxa"/>
              <w:bottom w:w="100" w:type="dxa"/>
              <w:right w:w="100" w:type="dxa"/>
            </w:tcMar>
          </w:tcPr>
          <w:p w14:paraId="03613133"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410" w:type="dxa"/>
            <w:tcMar>
              <w:top w:w="100" w:type="dxa"/>
              <w:left w:w="100" w:type="dxa"/>
              <w:bottom w:w="100" w:type="dxa"/>
              <w:right w:w="100" w:type="dxa"/>
            </w:tcMar>
          </w:tcPr>
          <w:p w14:paraId="42A91245"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FALSE</w:t>
            </w:r>
          </w:p>
        </w:tc>
        <w:tc>
          <w:tcPr>
            <w:tcW w:w="1650" w:type="dxa"/>
            <w:tcMar>
              <w:top w:w="100" w:type="dxa"/>
              <w:left w:w="100" w:type="dxa"/>
              <w:bottom w:w="100" w:type="dxa"/>
              <w:right w:w="100" w:type="dxa"/>
            </w:tcMar>
          </w:tcPr>
          <w:p w14:paraId="6B2EC95D"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-19332</w:t>
            </w:r>
          </w:p>
        </w:tc>
        <w:tc>
          <w:tcPr>
            <w:tcW w:w="1635" w:type="dxa"/>
            <w:tcMar>
              <w:top w:w="100" w:type="dxa"/>
              <w:left w:w="100" w:type="dxa"/>
              <w:bottom w:w="100" w:type="dxa"/>
              <w:right w:w="100" w:type="dxa"/>
            </w:tcMar>
          </w:tcPr>
          <w:p w14:paraId="7CEFEEFD"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112.92</w:t>
            </w:r>
          </w:p>
        </w:tc>
        <w:tc>
          <w:tcPr>
            <w:tcW w:w="1470" w:type="dxa"/>
            <w:tcMar>
              <w:top w:w="100" w:type="dxa"/>
              <w:left w:w="100" w:type="dxa"/>
              <w:bottom w:w="100" w:type="dxa"/>
              <w:right w:w="100" w:type="dxa"/>
            </w:tcMar>
          </w:tcPr>
          <w:p w14:paraId="1BB06A01"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0.80</w:t>
            </w:r>
          </w:p>
        </w:tc>
      </w:tr>
      <w:tr w:rsidR="00323B44" w14:paraId="77BBB044" w14:textId="77777777">
        <w:tc>
          <w:tcPr>
            <w:tcW w:w="1710" w:type="dxa"/>
            <w:tcMar>
              <w:top w:w="100" w:type="dxa"/>
              <w:left w:w="100" w:type="dxa"/>
              <w:bottom w:w="100" w:type="dxa"/>
              <w:right w:w="100" w:type="dxa"/>
            </w:tcMar>
          </w:tcPr>
          <w:p w14:paraId="6D39E614" w14:textId="77777777" w:rsidR="00323B44" w:rsidRDefault="009F35E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Longspine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p>
        </w:tc>
        <w:tc>
          <w:tcPr>
            <w:tcW w:w="1485" w:type="dxa"/>
            <w:tcMar>
              <w:top w:w="100" w:type="dxa"/>
              <w:left w:w="100" w:type="dxa"/>
              <w:bottom w:w="100" w:type="dxa"/>
              <w:right w:w="100" w:type="dxa"/>
            </w:tcMar>
          </w:tcPr>
          <w:p w14:paraId="613C88D2"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410" w:type="dxa"/>
            <w:tcMar>
              <w:top w:w="100" w:type="dxa"/>
              <w:left w:w="100" w:type="dxa"/>
              <w:bottom w:w="100" w:type="dxa"/>
              <w:right w:w="100" w:type="dxa"/>
            </w:tcMar>
          </w:tcPr>
          <w:p w14:paraId="6A59CE5B"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TRUE</w:t>
            </w:r>
          </w:p>
        </w:tc>
        <w:tc>
          <w:tcPr>
            <w:tcW w:w="1650" w:type="dxa"/>
            <w:tcMar>
              <w:top w:w="100" w:type="dxa"/>
              <w:left w:w="100" w:type="dxa"/>
              <w:bottom w:w="100" w:type="dxa"/>
              <w:right w:w="100" w:type="dxa"/>
            </w:tcMar>
          </w:tcPr>
          <w:p w14:paraId="124E72BF"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-16095</w:t>
            </w:r>
          </w:p>
        </w:tc>
        <w:tc>
          <w:tcPr>
            <w:tcW w:w="1635" w:type="dxa"/>
            <w:tcMar>
              <w:top w:w="100" w:type="dxa"/>
              <w:left w:w="100" w:type="dxa"/>
              <w:bottom w:w="100" w:type="dxa"/>
              <w:right w:w="100" w:type="dxa"/>
            </w:tcMar>
          </w:tcPr>
          <w:p w14:paraId="6694BC43"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105.76</w:t>
            </w:r>
          </w:p>
        </w:tc>
        <w:tc>
          <w:tcPr>
            <w:tcW w:w="1470" w:type="dxa"/>
            <w:tcMar>
              <w:top w:w="100" w:type="dxa"/>
              <w:left w:w="100" w:type="dxa"/>
              <w:bottom w:w="100" w:type="dxa"/>
              <w:right w:w="100" w:type="dxa"/>
            </w:tcMar>
          </w:tcPr>
          <w:p w14:paraId="73073CFD" w14:textId="77777777" w:rsidR="00323B44" w:rsidRDefault="009F35E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0.11</w:t>
            </w:r>
          </w:p>
        </w:tc>
      </w:tr>
    </w:tbl>
    <w:p w14:paraId="7666125E" w14:textId="77777777" w:rsidR="00323B44" w:rsidRDefault="00323B44">
      <w:pPr>
        <w:rPr>
          <w:rFonts w:ascii="Times New Roman" w:eastAsia="Times New Roman" w:hAnsi="Times New Roman" w:cs="Times New Roman"/>
          <w:b/>
        </w:rPr>
      </w:pPr>
    </w:p>
    <w:p w14:paraId="44DB8F1E"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Table A.4</w:t>
      </w:r>
      <w:r>
        <w:rPr>
          <w:rFonts w:ascii="Cardo" w:eastAsia="Cardo" w:hAnsi="Cardo" w:cs="Cardo"/>
        </w:rPr>
        <w:t xml:space="preserve"> Model fit statistics for the four </w:t>
      </w:r>
      <w:proofErr w:type="spellStart"/>
      <w:r>
        <w:rPr>
          <w:rFonts w:ascii="Cardo" w:eastAsia="Cardo" w:hAnsi="Cardo" w:cs="Cardo"/>
        </w:rPr>
        <w:t>longspine</w:t>
      </w:r>
      <w:proofErr w:type="spellEnd"/>
      <w:r>
        <w:rPr>
          <w:rFonts w:ascii="Cardo" w:eastAsia="Cardo" w:hAnsi="Cardo" w:cs="Cardo"/>
        </w:rPr>
        <w:t xml:space="preserve"> </w:t>
      </w:r>
      <w:proofErr w:type="spellStart"/>
      <w:r>
        <w:rPr>
          <w:rFonts w:ascii="Cardo" w:eastAsia="Cardo" w:hAnsi="Cardo" w:cs="Cardo"/>
        </w:rPr>
        <w:t>thornyhead</w:t>
      </w:r>
      <w:proofErr w:type="spellEnd"/>
      <w:r>
        <w:rPr>
          <w:rFonts w:ascii="Cardo" w:eastAsia="Cardo" w:hAnsi="Cardo" w:cs="Cardo"/>
        </w:rPr>
        <w:t xml:space="preserve"> models, including the options chosen for each model (i.e., whether to include spatial fields and whether or not the relationships between CPUE and bottom temperature and oxygen were modelled as splines), the model weight in the ensemble after cross-validation (see Methods), the out-of-sample log likelihood from cross-validation, the </w:t>
      </w:r>
      <w:proofErr w:type="spellStart"/>
      <w:r>
        <w:rPr>
          <w:rFonts w:ascii="Cardo" w:eastAsia="Cardo" w:hAnsi="Cardo" w:cs="Cardo"/>
        </w:rPr>
        <w:t>Matern</w:t>
      </w:r>
      <w:proofErr w:type="spellEnd"/>
      <w:r>
        <w:rPr>
          <w:rFonts w:ascii="Cardo" w:eastAsia="Cardo" w:hAnsi="Cardo" w:cs="Cardo"/>
        </w:rPr>
        <w:t xml:space="preserve"> practical range parameter (defined as the distance at which the spatial correlation in the data drops to ⍴=0.13 (Lindgren and Rue 2015)), and finally the model weight used in subsequent analyses.</w:t>
      </w:r>
    </w:p>
    <w:p w14:paraId="360E4C30" w14:textId="77777777" w:rsidR="00323B44" w:rsidRDefault="00323B44">
      <w:pPr>
        <w:rPr>
          <w:rFonts w:ascii="Times New Roman" w:eastAsia="Times New Roman" w:hAnsi="Times New Roman" w:cs="Times New Roman"/>
        </w:rPr>
      </w:pPr>
    </w:p>
    <w:p w14:paraId="5D8DA28E"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noProof/>
          <w:lang w:val="en-US"/>
        </w:rPr>
        <w:drawing>
          <wp:inline distT="114300" distB="114300" distL="114300" distR="114300" wp14:anchorId="3B10FF41" wp14:editId="161D22A1">
            <wp:extent cx="5943600" cy="22352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943600" cy="2235200"/>
                    </a:xfrm>
                    <a:prstGeom prst="rect">
                      <a:avLst/>
                    </a:prstGeom>
                    <a:ln/>
                  </pic:spPr>
                </pic:pic>
              </a:graphicData>
            </a:graphic>
          </wp:inline>
        </w:drawing>
      </w:r>
    </w:p>
    <w:p w14:paraId="1DA2089D" w14:textId="32D42A56" w:rsidR="00323B44" w:rsidRDefault="009F35E0">
      <w:pPr>
        <w:rPr>
          <w:rFonts w:ascii="Times New Roman" w:eastAsia="Times New Roman" w:hAnsi="Times New Roman" w:cs="Times New Roman"/>
        </w:rPr>
      </w:pPr>
      <w:r>
        <w:rPr>
          <w:rFonts w:ascii="Times New Roman" w:eastAsia="Times New Roman" w:hAnsi="Times New Roman" w:cs="Times New Roman"/>
          <w:b/>
        </w:rPr>
        <w:t>Figure A.7</w:t>
      </w:r>
      <w:r>
        <w:rPr>
          <w:rFonts w:ascii="Times New Roman" w:eastAsia="Times New Roman" w:hAnsi="Times New Roman" w:cs="Times New Roman"/>
        </w:rPr>
        <w:t xml:space="preserve"> </w:t>
      </w:r>
      <w:r w:rsidR="00A45880">
        <w:rPr>
          <w:rFonts w:ascii="Times New Roman" w:eastAsia="Times New Roman" w:hAnsi="Times New Roman" w:cs="Times New Roman"/>
        </w:rPr>
        <w:t>Random</w:t>
      </w:r>
      <w:r w:rsidR="00A45880" w:rsidRPr="00B25BCD">
        <w:rPr>
          <w:rFonts w:ascii="Times New Roman" w:eastAsia="Times New Roman" w:hAnsi="Times New Roman" w:cs="Times New Roman"/>
        </w:rPr>
        <w:t>ized quantile residual plots (</w:t>
      </w:r>
      <w:r w:rsidR="00A45880">
        <w:rPr>
          <w:rFonts w:ascii="Times New Roman" w:hAnsi="Times New Roman" w:cs="Times New Roman"/>
          <w:color w:val="000000"/>
        </w:rPr>
        <w:t>Dunn and</w:t>
      </w:r>
      <w:r w:rsidR="00A45880" w:rsidRPr="00B25BCD">
        <w:rPr>
          <w:rFonts w:ascii="Times New Roman" w:hAnsi="Times New Roman" w:cs="Times New Roman"/>
          <w:color w:val="000000"/>
        </w:rPr>
        <w:t xml:space="preserve"> Smyth 1996) </w:t>
      </w:r>
      <w:r w:rsidR="00A45880">
        <w:rPr>
          <w:rFonts w:ascii="Times New Roman" w:eastAsia="Times New Roman" w:hAnsi="Times New Roman" w:cs="Times New Roman"/>
        </w:rPr>
        <w:t xml:space="preserve">for </w:t>
      </w:r>
      <w:r>
        <w:rPr>
          <w:rFonts w:ascii="Times New Roman" w:eastAsia="Times New Roman" w:hAnsi="Times New Roman" w:cs="Times New Roman"/>
        </w:rPr>
        <w:t xml:space="preserve">the four </w:t>
      </w:r>
      <w:proofErr w:type="spellStart"/>
      <w:r>
        <w:rPr>
          <w:rFonts w:ascii="Times New Roman" w:eastAsia="Times New Roman" w:hAnsi="Times New Roman" w:cs="Times New Roman"/>
        </w:rPr>
        <w:t>longspine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r>
        <w:rPr>
          <w:rFonts w:ascii="Times New Roman" w:eastAsia="Times New Roman" w:hAnsi="Times New Roman" w:cs="Times New Roman"/>
        </w:rPr>
        <w:t xml:space="preserve"> models described in Table A.4.</w:t>
      </w:r>
    </w:p>
    <w:p w14:paraId="6C313F81" w14:textId="77777777" w:rsidR="00323B44" w:rsidRDefault="00323B44">
      <w:pPr>
        <w:rPr>
          <w:rFonts w:ascii="Times New Roman" w:eastAsia="Times New Roman" w:hAnsi="Times New Roman" w:cs="Times New Roman"/>
          <w:b/>
        </w:rPr>
      </w:pPr>
    </w:p>
    <w:p w14:paraId="385E3B37" w14:textId="77777777" w:rsidR="00323B44" w:rsidRDefault="009F35E0">
      <w:pPr>
        <w:rPr>
          <w:rFonts w:ascii="Times New Roman" w:eastAsia="Times New Roman" w:hAnsi="Times New Roman" w:cs="Times New Roman"/>
          <w:b/>
        </w:rPr>
      </w:pPr>
      <w:r>
        <w:rPr>
          <w:rFonts w:ascii="Times New Roman" w:eastAsia="Times New Roman" w:hAnsi="Times New Roman" w:cs="Times New Roman"/>
          <w:b/>
          <w:noProof/>
          <w:lang w:val="en-US"/>
        </w:rPr>
        <w:lastRenderedPageBreak/>
        <w:drawing>
          <wp:inline distT="114300" distB="114300" distL="114300" distR="114300" wp14:anchorId="76C62EEF" wp14:editId="2C038CB9">
            <wp:extent cx="5943600" cy="44577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943600" cy="4457700"/>
                    </a:xfrm>
                    <a:prstGeom prst="rect">
                      <a:avLst/>
                    </a:prstGeom>
                    <a:ln/>
                  </pic:spPr>
                </pic:pic>
              </a:graphicData>
            </a:graphic>
          </wp:inline>
        </w:drawing>
      </w:r>
    </w:p>
    <w:p w14:paraId="1212707E"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 xml:space="preserve">Figure A.8 </w:t>
      </w:r>
      <w:r>
        <w:rPr>
          <w:rFonts w:ascii="Times New Roman" w:eastAsia="Times New Roman" w:hAnsi="Times New Roman" w:cs="Times New Roman"/>
        </w:rPr>
        <w:t xml:space="preserve">Empirical environmental niche of </w:t>
      </w:r>
      <w:proofErr w:type="spellStart"/>
      <w:r>
        <w:rPr>
          <w:rFonts w:ascii="Times New Roman" w:eastAsia="Times New Roman" w:hAnsi="Times New Roman" w:cs="Times New Roman"/>
        </w:rPr>
        <w:t>longspine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r>
        <w:rPr>
          <w:rFonts w:ascii="Times New Roman" w:eastAsia="Times New Roman" w:hAnsi="Times New Roman" w:cs="Times New Roman"/>
        </w:rPr>
        <w:t xml:space="preserve"> estimated using the ensemble predictions for 1985 to 2010 under the three separate Earth System Models (GFDL, IPSL, and HADL, respectively, from left to right). Each polygon is a concave hull outlining a range of bottom temperature (x-axis) and bottom oxygen (y-axis) values encompassing all values greater than or equal to the 5th, 50th, 75th, or 95th percentile of predicted CPUE values.</w:t>
      </w:r>
    </w:p>
    <w:p w14:paraId="68725E7F" w14:textId="77777777" w:rsidR="00323B44" w:rsidRDefault="009F35E0">
      <w:pPr>
        <w:rPr>
          <w:rFonts w:ascii="Times New Roman" w:eastAsia="Times New Roman" w:hAnsi="Times New Roman" w:cs="Times New Roman"/>
        </w:rPr>
      </w:pPr>
      <w:r>
        <w:br w:type="page"/>
      </w:r>
    </w:p>
    <w:p w14:paraId="5B4DF3A1" w14:textId="2DA1DFEC" w:rsidR="00542C2A" w:rsidRDefault="00542C2A" w:rsidP="00542C2A">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Appendix 2</w:t>
      </w:r>
    </w:p>
    <w:p w14:paraId="58884C44" w14:textId="30CAF619" w:rsidR="00542C2A" w:rsidRDefault="00542C2A" w:rsidP="00542C2A">
      <w:pPr>
        <w:rPr>
          <w:rFonts w:ascii="Times New Roman" w:eastAsia="Times New Roman" w:hAnsi="Times New Roman" w:cs="Times New Roman"/>
        </w:rPr>
      </w:pPr>
      <w:r>
        <w:rPr>
          <w:rFonts w:ascii="Times New Roman" w:eastAsia="Times New Roman" w:hAnsi="Times New Roman" w:cs="Times New Roman"/>
          <w:b/>
          <w:sz w:val="32"/>
          <w:szCs w:val="32"/>
        </w:rPr>
        <w:t>Supplementary Figures</w:t>
      </w:r>
    </w:p>
    <w:p w14:paraId="60E20E5D" w14:textId="77777777" w:rsidR="00542C2A" w:rsidRDefault="00542C2A">
      <w:pPr>
        <w:rPr>
          <w:rFonts w:ascii="Times New Roman" w:eastAsia="Times New Roman" w:hAnsi="Times New Roman" w:cs="Times New Roman"/>
        </w:rPr>
      </w:pPr>
    </w:p>
    <w:p w14:paraId="06A02E58" w14:textId="24C2D13E" w:rsidR="00323B44" w:rsidRDefault="009F35E0">
      <w:pPr>
        <w:rPr>
          <w:rFonts w:ascii="Times New Roman" w:eastAsia="Times New Roman" w:hAnsi="Times New Roman" w:cs="Times New Roman"/>
        </w:rPr>
      </w:pPr>
      <w:r>
        <w:rPr>
          <w:rFonts w:ascii="Times New Roman" w:eastAsia="Times New Roman" w:hAnsi="Times New Roman" w:cs="Times New Roman"/>
          <w:noProof/>
          <w:lang w:val="en-US"/>
        </w:rPr>
        <w:drawing>
          <wp:inline distT="114300" distB="114300" distL="114300" distR="114300" wp14:anchorId="1F3A5F77" wp14:editId="0D542096">
            <wp:extent cx="4929188" cy="6572250"/>
            <wp:effectExtent l="0" t="0" r="0" b="0"/>
            <wp:docPr id="1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
                    <a:srcRect/>
                    <a:stretch>
                      <a:fillRect/>
                    </a:stretch>
                  </pic:blipFill>
                  <pic:spPr>
                    <a:xfrm>
                      <a:off x="0" y="0"/>
                      <a:ext cx="4937716" cy="6583620"/>
                    </a:xfrm>
                    <a:prstGeom prst="rect">
                      <a:avLst/>
                    </a:prstGeom>
                    <a:ln/>
                  </pic:spPr>
                </pic:pic>
              </a:graphicData>
            </a:graphic>
          </wp:inline>
        </w:drawing>
      </w:r>
    </w:p>
    <w:p w14:paraId="4A1E9147"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 xml:space="preserve">Figure A.9 </w:t>
      </w:r>
      <w:r>
        <w:rPr>
          <w:rFonts w:ascii="Times New Roman" w:eastAsia="Times New Roman" w:hAnsi="Times New Roman" w:cs="Times New Roman"/>
        </w:rPr>
        <w:t xml:space="preserve">a) Fraction of all </w:t>
      </w:r>
      <w:proofErr w:type="spellStart"/>
      <w:r>
        <w:rPr>
          <w:rFonts w:ascii="Times New Roman" w:eastAsia="Times New Roman" w:hAnsi="Times New Roman" w:cs="Times New Roman"/>
        </w:rPr>
        <w:t>groundfish</w:t>
      </w:r>
      <w:proofErr w:type="spellEnd"/>
      <w:r>
        <w:rPr>
          <w:rFonts w:ascii="Times New Roman" w:eastAsia="Times New Roman" w:hAnsi="Times New Roman" w:cs="Times New Roman"/>
        </w:rPr>
        <w:t xml:space="preserve"> landings comprised of any combination of DTS species, by IO-PAC port group, and averaged across the years 1987-2019. b) Mean annual landings of DTS species by port group. For the main fishing footprint analysis, we selected all port groups whose mean landings fraction was greater than 0.6, indicated with the red dashed line in (a), and the Astoria port group, which had by far the greatest annual landings of DTS.</w:t>
      </w:r>
      <w:r>
        <w:br w:type="page"/>
      </w:r>
    </w:p>
    <w:p w14:paraId="11B82A30" w14:textId="77777777" w:rsidR="00323B44" w:rsidRDefault="009F35E0">
      <w:pPr>
        <w:rPr>
          <w:rFonts w:ascii="Times New Roman" w:eastAsia="Times New Roman" w:hAnsi="Times New Roman" w:cs="Times New Roman"/>
        </w:rPr>
      </w:pPr>
      <w:r>
        <w:rPr>
          <w:rFonts w:ascii="Times New Roman" w:eastAsia="Times New Roman" w:hAnsi="Times New Roman" w:cs="Times New Roman"/>
          <w:noProof/>
          <w:lang w:val="en-US"/>
        </w:rPr>
        <w:lastRenderedPageBreak/>
        <w:drawing>
          <wp:inline distT="114300" distB="114300" distL="114300" distR="114300" wp14:anchorId="7B6F9009" wp14:editId="01F59CAA">
            <wp:extent cx="5943600" cy="445770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943600" cy="4457700"/>
                    </a:xfrm>
                    <a:prstGeom prst="rect">
                      <a:avLst/>
                    </a:prstGeom>
                    <a:ln/>
                  </pic:spPr>
                </pic:pic>
              </a:graphicData>
            </a:graphic>
          </wp:inline>
        </w:drawing>
      </w:r>
    </w:p>
    <w:p w14:paraId="61371B4C"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 xml:space="preserve">Figure A.10. </w:t>
      </w:r>
      <w:r>
        <w:rPr>
          <w:rFonts w:ascii="Times New Roman" w:eastAsia="Times New Roman" w:hAnsi="Times New Roman" w:cs="Times New Roman"/>
        </w:rPr>
        <w:t xml:space="preserve">Cumulative depth distribution change for a) Dover sole, b) sablefish, c) </w:t>
      </w:r>
      <w:proofErr w:type="spellStart"/>
      <w:r>
        <w:rPr>
          <w:rFonts w:ascii="Times New Roman" w:eastAsia="Times New Roman" w:hAnsi="Times New Roman" w:cs="Times New Roman"/>
        </w:rPr>
        <w:t>shortspine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r>
        <w:rPr>
          <w:rFonts w:ascii="Times New Roman" w:eastAsia="Times New Roman" w:hAnsi="Times New Roman" w:cs="Times New Roman"/>
        </w:rPr>
        <w:t xml:space="preserve">, and d) </w:t>
      </w:r>
      <w:proofErr w:type="spellStart"/>
      <w:r>
        <w:rPr>
          <w:rFonts w:ascii="Times New Roman" w:eastAsia="Times New Roman" w:hAnsi="Times New Roman" w:cs="Times New Roman"/>
        </w:rPr>
        <w:t>longspine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thornyhead</w:t>
      </w:r>
      <w:proofErr w:type="spellEnd"/>
      <w:r>
        <w:rPr>
          <w:rFonts w:ascii="Times New Roman" w:eastAsia="Times New Roman" w:hAnsi="Times New Roman" w:cs="Times New Roman"/>
        </w:rPr>
        <w:t xml:space="preserve"> between 1985-2010 (blue line) and 2075-2100 (red line). Values shown as the proportion of total projected biomass (mean, 5th, and 95th percentiles across all CCROMS models and simulations) that is expected to occur shallower than any given depth. Therefore, a red line below a blue line indicates a projected shift to greater depths, and vice versa. Dotted line at 700 fathoms indicates the regulatory depth limit of bottom trawling (see Methods).</w:t>
      </w:r>
      <w:r>
        <w:br w:type="page"/>
      </w:r>
    </w:p>
    <w:p w14:paraId="1A1F24BA" w14:textId="77777777" w:rsidR="00323B44" w:rsidRDefault="009F35E0">
      <w:pPr>
        <w:rPr>
          <w:rFonts w:ascii="Times New Roman" w:eastAsia="Times New Roman" w:hAnsi="Times New Roman" w:cs="Times New Roman"/>
        </w:rPr>
      </w:pPr>
      <w:r>
        <w:rPr>
          <w:rFonts w:ascii="Times New Roman" w:eastAsia="Times New Roman" w:hAnsi="Times New Roman" w:cs="Times New Roman"/>
          <w:noProof/>
          <w:lang w:val="en-US"/>
        </w:rPr>
        <w:lastRenderedPageBreak/>
        <w:drawing>
          <wp:inline distT="114300" distB="114300" distL="114300" distR="114300" wp14:anchorId="4687CEBE" wp14:editId="63133693">
            <wp:extent cx="5943600" cy="36703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5943600" cy="3670300"/>
                    </a:xfrm>
                    <a:prstGeom prst="rect">
                      <a:avLst/>
                    </a:prstGeom>
                    <a:ln/>
                  </pic:spPr>
                </pic:pic>
              </a:graphicData>
            </a:graphic>
          </wp:inline>
        </w:drawing>
      </w:r>
    </w:p>
    <w:p w14:paraId="37D0BF8C"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Figure A.11</w:t>
      </w:r>
      <w:r>
        <w:rPr>
          <w:rFonts w:ascii="Times New Roman" w:eastAsia="Times New Roman" w:hAnsi="Times New Roman" w:cs="Times New Roman"/>
        </w:rPr>
        <w:t>. Landed value of DTS species by year. Data include all ports in Washington, Oregon, and California, 1980-2020, collected from https://www.fisheries.noaa.gov/foss.</w:t>
      </w:r>
      <w:r>
        <w:br w:type="page"/>
      </w:r>
    </w:p>
    <w:p w14:paraId="5E513EBD" w14:textId="77777777" w:rsidR="00323B44" w:rsidRDefault="00323B44">
      <w:pPr>
        <w:rPr>
          <w:rFonts w:ascii="Times New Roman" w:eastAsia="Times New Roman" w:hAnsi="Times New Roman" w:cs="Times New Roman"/>
        </w:rPr>
      </w:pPr>
    </w:p>
    <w:p w14:paraId="6DE0D38A" w14:textId="77777777" w:rsidR="00323B44" w:rsidRDefault="009F35E0">
      <w:pPr>
        <w:rPr>
          <w:rFonts w:ascii="Times New Roman" w:eastAsia="Times New Roman" w:hAnsi="Times New Roman" w:cs="Times New Roman"/>
        </w:rPr>
      </w:pPr>
      <w:r>
        <w:rPr>
          <w:rFonts w:ascii="Times New Roman" w:eastAsia="Times New Roman" w:hAnsi="Times New Roman" w:cs="Times New Roman"/>
          <w:noProof/>
          <w:lang w:val="en-US"/>
        </w:rPr>
        <w:drawing>
          <wp:inline distT="114300" distB="114300" distL="114300" distR="114300" wp14:anchorId="7321974A" wp14:editId="6AB5F5AE">
            <wp:extent cx="5943600" cy="3670300"/>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5943600" cy="3670300"/>
                    </a:xfrm>
                    <a:prstGeom prst="rect">
                      <a:avLst/>
                    </a:prstGeom>
                    <a:ln/>
                  </pic:spPr>
                </pic:pic>
              </a:graphicData>
            </a:graphic>
          </wp:inline>
        </w:drawing>
      </w:r>
    </w:p>
    <w:p w14:paraId="65205123"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Figure A.12</w:t>
      </w:r>
      <w:r>
        <w:rPr>
          <w:rFonts w:ascii="Times New Roman" w:eastAsia="Times New Roman" w:hAnsi="Times New Roman" w:cs="Times New Roman"/>
        </w:rPr>
        <w:t>. Price per pound of DTS species by year. Data include all ports in Washington, Oregon, and California, 1980-2020, collected from https://www.fisheries.noaa.gov/foss.</w:t>
      </w:r>
      <w:r>
        <w:br w:type="page"/>
      </w:r>
    </w:p>
    <w:p w14:paraId="23D59D3C" w14:textId="77777777" w:rsidR="00323B44" w:rsidRDefault="009F35E0">
      <w:pPr>
        <w:rPr>
          <w:rFonts w:ascii="Times New Roman" w:eastAsia="Times New Roman" w:hAnsi="Times New Roman" w:cs="Times New Roman"/>
        </w:rPr>
      </w:pPr>
      <w:r>
        <w:rPr>
          <w:rFonts w:ascii="Times New Roman" w:eastAsia="Times New Roman" w:hAnsi="Times New Roman" w:cs="Times New Roman"/>
          <w:noProof/>
          <w:lang w:val="en-US"/>
        </w:rPr>
        <w:lastRenderedPageBreak/>
        <w:drawing>
          <wp:inline distT="114300" distB="114300" distL="114300" distR="114300" wp14:anchorId="619F0188" wp14:editId="1F505256">
            <wp:extent cx="5943600" cy="3657599"/>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5943600" cy="3657599"/>
                    </a:xfrm>
                    <a:prstGeom prst="rect">
                      <a:avLst/>
                    </a:prstGeom>
                    <a:ln/>
                  </pic:spPr>
                </pic:pic>
              </a:graphicData>
            </a:graphic>
          </wp:inline>
        </w:drawing>
      </w:r>
    </w:p>
    <w:p w14:paraId="7C2D0B4F" w14:textId="77777777" w:rsidR="000B1A98" w:rsidRDefault="009F35E0">
      <w:pPr>
        <w:rPr>
          <w:rFonts w:ascii="Times New Roman" w:eastAsia="Times New Roman" w:hAnsi="Times New Roman" w:cs="Times New Roman"/>
        </w:rPr>
      </w:pPr>
      <w:r>
        <w:rPr>
          <w:rFonts w:ascii="Times New Roman" w:eastAsia="Times New Roman" w:hAnsi="Times New Roman" w:cs="Times New Roman"/>
          <w:b/>
        </w:rPr>
        <w:t>Figure A.13</w:t>
      </w:r>
      <w:r>
        <w:rPr>
          <w:rFonts w:ascii="Times New Roman" w:eastAsia="Times New Roman" w:hAnsi="Times New Roman" w:cs="Times New Roman"/>
        </w:rPr>
        <w:t>. Landings of DTS species in thousands of pounds by year. Data include all ports in Washington, Oregon, and California, 1980-2020, collected from https://www.fisheries.noaa.gov/foss.</w:t>
      </w:r>
    </w:p>
    <w:p w14:paraId="15177777" w14:textId="77777777" w:rsidR="000B1A98" w:rsidRDefault="000B1A98">
      <w:pPr>
        <w:rPr>
          <w:rFonts w:ascii="Times New Roman" w:eastAsia="Times New Roman" w:hAnsi="Times New Roman" w:cs="Times New Roman"/>
        </w:rPr>
      </w:pPr>
      <w:r>
        <w:rPr>
          <w:rFonts w:ascii="Times New Roman" w:eastAsia="Times New Roman" w:hAnsi="Times New Roman" w:cs="Times New Roman"/>
        </w:rPr>
        <w:br w:type="page"/>
      </w:r>
    </w:p>
    <w:p w14:paraId="4F0585D8" w14:textId="77777777" w:rsidR="000B1A98" w:rsidRDefault="00043CD7">
      <w:r>
        <w:lastRenderedPageBreak/>
        <w:pict w14:anchorId="084F0F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in">
            <v:imagedata r:id="rId21" o:title="fig_dts_landings_prop"/>
          </v:shape>
        </w:pict>
      </w:r>
    </w:p>
    <w:p w14:paraId="54FDC164" w14:textId="1C51E445" w:rsidR="00323B44" w:rsidRDefault="000B1A98">
      <w:pPr>
        <w:rPr>
          <w:rFonts w:ascii="Times New Roman" w:eastAsia="Times New Roman" w:hAnsi="Times New Roman" w:cs="Times New Roman"/>
        </w:rPr>
      </w:pPr>
      <w:r>
        <w:rPr>
          <w:rFonts w:ascii="Times New Roman" w:eastAsia="Times New Roman" w:hAnsi="Times New Roman" w:cs="Times New Roman"/>
          <w:b/>
        </w:rPr>
        <w:t>Figure A.14</w:t>
      </w:r>
      <w:r>
        <w:rPr>
          <w:rFonts w:ascii="Times New Roman" w:eastAsia="Times New Roman" w:hAnsi="Times New Roman" w:cs="Times New Roman"/>
        </w:rPr>
        <w:t xml:space="preserve">. Landings of DTS species as a proportion of all trawl-caught </w:t>
      </w:r>
      <w:proofErr w:type="spellStart"/>
      <w:r>
        <w:rPr>
          <w:rFonts w:ascii="Times New Roman" w:eastAsia="Times New Roman" w:hAnsi="Times New Roman" w:cs="Times New Roman"/>
        </w:rPr>
        <w:t>groundfish</w:t>
      </w:r>
      <w:proofErr w:type="spellEnd"/>
      <w:r>
        <w:rPr>
          <w:rFonts w:ascii="Times New Roman" w:eastAsia="Times New Roman" w:hAnsi="Times New Roman" w:cs="Times New Roman"/>
        </w:rPr>
        <w:t xml:space="preserve"> species on the U.S. West Coast. Data collected from the Pacific Fisheries Information Network (</w:t>
      </w:r>
      <w:proofErr w:type="spellStart"/>
      <w:r>
        <w:rPr>
          <w:rFonts w:ascii="Times New Roman" w:eastAsia="Times New Roman" w:hAnsi="Times New Roman" w:cs="Times New Roman"/>
        </w:rPr>
        <w:t>PacFIN</w:t>
      </w:r>
      <w:proofErr w:type="spellEnd"/>
      <w:r>
        <w:rPr>
          <w:rFonts w:ascii="Times New Roman" w:eastAsia="Times New Roman" w:hAnsi="Times New Roman" w:cs="Times New Roman"/>
        </w:rPr>
        <w:t>)</w:t>
      </w:r>
      <w:r>
        <w:rPr>
          <w:rStyle w:val="Strong"/>
          <w:rFonts w:ascii="Times New Roman" w:hAnsi="Times New Roman" w:cs="Times New Roman"/>
          <w:b w:val="0"/>
          <w:color w:val="000000"/>
          <w:bdr w:val="none" w:sz="0" w:space="0" w:color="auto" w:frame="1"/>
          <w:shd w:val="clear" w:color="auto" w:fill="FFFFFF"/>
        </w:rPr>
        <w:t>,</w:t>
      </w:r>
      <w:r w:rsidRPr="000B1A98">
        <w:rPr>
          <w:rStyle w:val="Strong"/>
          <w:rFonts w:ascii="Times New Roman" w:hAnsi="Times New Roman" w:cs="Times New Roman"/>
          <w:b w:val="0"/>
          <w:color w:val="000000"/>
          <w:bdr w:val="none" w:sz="0" w:space="0" w:color="auto" w:frame="1"/>
          <w:shd w:val="clear" w:color="auto" w:fill="FFFFFF"/>
        </w:rPr>
        <w:t xml:space="preserve"> </w:t>
      </w:r>
      <w:r>
        <w:rPr>
          <w:rStyle w:val="Strong"/>
          <w:rFonts w:ascii="Times New Roman" w:hAnsi="Times New Roman" w:cs="Times New Roman"/>
          <w:b w:val="0"/>
          <w:color w:val="000000"/>
          <w:bdr w:val="none" w:sz="0" w:space="0" w:color="auto" w:frame="1"/>
          <w:shd w:val="clear" w:color="auto" w:fill="FFFFFF"/>
        </w:rPr>
        <w:t xml:space="preserve">retrieved </w:t>
      </w:r>
      <w:r>
        <w:rPr>
          <w:rFonts w:ascii="Times New Roman" w:eastAsia="Times New Roman" w:hAnsi="Times New Roman" w:cs="Times New Roman"/>
        </w:rPr>
        <w:t>13 December 2022.</w:t>
      </w:r>
      <w:r w:rsidR="009F35E0" w:rsidRPr="000B1A98">
        <w:rPr>
          <w:rFonts w:ascii="Times New Roman" w:eastAsia="Times New Roman" w:hAnsi="Times New Roman" w:cs="Times New Roman"/>
        </w:rPr>
        <w:br w:type="page"/>
      </w:r>
    </w:p>
    <w:p w14:paraId="25F0F4D1" w14:textId="77777777" w:rsidR="00323B44" w:rsidRDefault="009F35E0">
      <w:pPr>
        <w:rPr>
          <w:rFonts w:ascii="Times New Roman" w:eastAsia="Times New Roman" w:hAnsi="Times New Roman" w:cs="Times New Roman"/>
        </w:rPr>
      </w:pPr>
      <w:r>
        <w:rPr>
          <w:rFonts w:ascii="Times New Roman" w:eastAsia="Times New Roman" w:hAnsi="Times New Roman" w:cs="Times New Roman"/>
          <w:noProof/>
          <w:lang w:val="en-US"/>
        </w:rPr>
        <w:lastRenderedPageBreak/>
        <w:drawing>
          <wp:inline distT="114300" distB="114300" distL="114300" distR="114300" wp14:anchorId="2D9399A8" wp14:editId="127A7E94">
            <wp:extent cx="7215187" cy="5054248"/>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l="21" r="21"/>
                    <a:stretch>
                      <a:fillRect/>
                    </a:stretch>
                  </pic:blipFill>
                  <pic:spPr>
                    <a:xfrm rot="16200000">
                      <a:off x="0" y="0"/>
                      <a:ext cx="7215187" cy="5054248"/>
                    </a:xfrm>
                    <a:prstGeom prst="rect">
                      <a:avLst/>
                    </a:prstGeom>
                    <a:ln/>
                  </pic:spPr>
                </pic:pic>
              </a:graphicData>
            </a:graphic>
          </wp:inline>
        </w:drawing>
      </w:r>
    </w:p>
    <w:p w14:paraId="27ECC773"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 xml:space="preserve">Figure A.14 </w:t>
      </w:r>
      <w:r>
        <w:rPr>
          <w:rFonts w:ascii="Times New Roman" w:eastAsia="Times New Roman" w:hAnsi="Times New Roman" w:cs="Times New Roman"/>
        </w:rPr>
        <w:t>Projected change in bottom temperature (degrees C) and bottom oxygen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/m3), comparing the 2075-2100 mean to a 1985-2010 baseline period under three alternative Earth System models: </w:t>
      </w:r>
      <w:proofErr w:type="spellStart"/>
      <w:r>
        <w:rPr>
          <w:rFonts w:ascii="Times New Roman" w:eastAsia="Times New Roman" w:hAnsi="Times New Roman" w:cs="Times New Roman"/>
        </w:rPr>
        <w:t>Institut</w:t>
      </w:r>
      <w:proofErr w:type="spellEnd"/>
      <w:r>
        <w:rPr>
          <w:rFonts w:ascii="Times New Roman" w:eastAsia="Times New Roman" w:hAnsi="Times New Roman" w:cs="Times New Roman"/>
        </w:rPr>
        <w:t xml:space="preserve"> Pierre Simon Laplace CM5A-MR (IPSL), Hadley Center HadGEM2-ES (HADL), and Geophysical Fluid Dynamics Laboratory ESM2M (GFDL) ESMs. All of these models assume the RCP8.5 emissions scenario.</w:t>
      </w:r>
      <w:r>
        <w:br w:type="page"/>
      </w:r>
      <w:r>
        <w:rPr>
          <w:rFonts w:ascii="Times New Roman" w:eastAsia="Times New Roman" w:hAnsi="Times New Roman" w:cs="Times New Roman"/>
          <w:noProof/>
          <w:lang w:val="en-US"/>
        </w:rPr>
        <w:lastRenderedPageBreak/>
        <w:drawing>
          <wp:inline distT="114300" distB="114300" distL="114300" distR="114300" wp14:anchorId="00569E41" wp14:editId="1601D6B8">
            <wp:extent cx="5943600" cy="44577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5943600" cy="4457700"/>
                    </a:xfrm>
                    <a:prstGeom prst="rect">
                      <a:avLst/>
                    </a:prstGeom>
                    <a:ln/>
                  </pic:spPr>
                </pic:pic>
              </a:graphicData>
            </a:graphic>
          </wp:inline>
        </w:drawing>
      </w:r>
    </w:p>
    <w:p w14:paraId="41AC523B" w14:textId="77777777" w:rsidR="00323B44" w:rsidRDefault="009F35E0">
      <w:pPr>
        <w:rPr>
          <w:rFonts w:ascii="Times New Roman" w:eastAsia="Times New Roman" w:hAnsi="Times New Roman" w:cs="Times New Roman"/>
        </w:rPr>
      </w:pPr>
      <w:r>
        <w:rPr>
          <w:rFonts w:ascii="Times New Roman" w:eastAsia="Times New Roman" w:hAnsi="Times New Roman" w:cs="Times New Roman"/>
          <w:b/>
        </w:rPr>
        <w:t xml:space="preserve">Figure A.15. </w:t>
      </w:r>
      <w:r>
        <w:rPr>
          <w:rFonts w:ascii="Times New Roman" w:eastAsia="Times New Roman" w:hAnsi="Times New Roman" w:cs="Times New Roman"/>
        </w:rPr>
        <w:t>Projected percent change in CPUE from a 1985-2010 mean to a 2075-2100 mean for sablefish and Dover sole within major U.S. west coast DTS fishing grounds under alternative CCROMS ESM projections (rows).</w:t>
      </w:r>
      <w:r>
        <w:br w:type="page"/>
      </w:r>
    </w:p>
    <w:p w14:paraId="0ADB77E8" w14:textId="77777777" w:rsidR="00323B44" w:rsidRDefault="00323B44">
      <w:pPr>
        <w:rPr>
          <w:rFonts w:ascii="Times New Roman" w:eastAsia="Times New Roman" w:hAnsi="Times New Roman" w:cs="Times New Roman"/>
        </w:rPr>
      </w:pPr>
    </w:p>
    <w:p w14:paraId="2093A3EC" w14:textId="77777777" w:rsidR="00323B44" w:rsidRDefault="009F35E0">
      <w:pPr>
        <w:rPr>
          <w:rFonts w:ascii="Times New Roman" w:eastAsia="Times New Roman" w:hAnsi="Times New Roman" w:cs="Times New Roman"/>
        </w:rPr>
      </w:pPr>
      <w:r>
        <w:rPr>
          <w:rFonts w:ascii="Times New Roman" w:eastAsia="Times New Roman" w:hAnsi="Times New Roman" w:cs="Times New Roman"/>
          <w:noProof/>
          <w:lang w:val="en-US"/>
        </w:rPr>
        <w:drawing>
          <wp:inline distT="114300" distB="114300" distL="114300" distR="114300" wp14:anchorId="5F96FFAC" wp14:editId="3EDB65D9">
            <wp:extent cx="5943600" cy="3670300"/>
            <wp:effectExtent l="0" t="0" r="0" b="0"/>
            <wp:docPr id="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5943600" cy="3670300"/>
                    </a:xfrm>
                    <a:prstGeom prst="rect">
                      <a:avLst/>
                    </a:prstGeom>
                    <a:ln/>
                  </pic:spPr>
                </pic:pic>
              </a:graphicData>
            </a:graphic>
          </wp:inline>
        </w:drawing>
      </w:r>
    </w:p>
    <w:p w14:paraId="5B0467C1" w14:textId="3FA1C436" w:rsidR="00323B44" w:rsidRDefault="009F35E0">
      <w:pPr>
        <w:rPr>
          <w:rFonts w:ascii="Times New Roman" w:eastAsia="Times New Roman" w:hAnsi="Times New Roman" w:cs="Times New Roman"/>
        </w:rPr>
      </w:pPr>
      <w:r>
        <w:rPr>
          <w:rFonts w:ascii="Times New Roman" w:eastAsia="Times New Roman" w:hAnsi="Times New Roman" w:cs="Times New Roman"/>
          <w:b/>
        </w:rPr>
        <w:t xml:space="preserve">Figure A.16 </w:t>
      </w:r>
      <w:r>
        <w:rPr>
          <w:rFonts w:ascii="Times New Roman" w:eastAsia="Times New Roman" w:hAnsi="Times New Roman" w:cs="Times New Roman"/>
        </w:rPr>
        <w:t xml:space="preserve">Change in overlap from a 1985-2010 mean to a 2075-2100 mean for sablefish and Dover sole across major U.S. west coast DTS fishing grounds, measured by the Bhattacharyya’s </w:t>
      </w:r>
      <w:proofErr w:type="gramStart"/>
      <w:r>
        <w:rPr>
          <w:rFonts w:ascii="Times New Roman" w:eastAsia="Times New Roman" w:hAnsi="Times New Roman" w:cs="Times New Roman"/>
        </w:rPr>
        <w:t>coefficient  under</w:t>
      </w:r>
      <w:proofErr w:type="gramEnd"/>
      <w:r>
        <w:rPr>
          <w:rFonts w:ascii="Times New Roman" w:eastAsia="Times New Roman" w:hAnsi="Times New Roman" w:cs="Times New Roman"/>
        </w:rPr>
        <w:t xml:space="preserve"> alternative CCROMS ESM projections (rows).</w:t>
      </w:r>
    </w:p>
    <w:sectPr w:rsidR="00323B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do">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B44"/>
    <w:rsid w:val="00043CD7"/>
    <w:rsid w:val="000B1A98"/>
    <w:rsid w:val="0014782E"/>
    <w:rsid w:val="00162C34"/>
    <w:rsid w:val="00323B44"/>
    <w:rsid w:val="003A19CF"/>
    <w:rsid w:val="00542C2A"/>
    <w:rsid w:val="009F35E0"/>
    <w:rsid w:val="00A45880"/>
    <w:rsid w:val="00B25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328D2"/>
  <w15:docId w15:val="{D35B976C-44BC-4ACA-AA6A-E1D689F5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4782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82E"/>
    <w:rPr>
      <w:rFonts w:ascii="Segoe UI" w:hAnsi="Segoe UI" w:cs="Segoe UI"/>
      <w:sz w:val="18"/>
      <w:szCs w:val="18"/>
    </w:rPr>
  </w:style>
  <w:style w:type="character" w:styleId="Strong">
    <w:name w:val="Strong"/>
    <w:basedOn w:val="DefaultParagraphFont"/>
    <w:uiPriority w:val="22"/>
    <w:qFormat/>
    <w:rsid w:val="000B1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NWFSC</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Owen.Liu</dc:creator>
  <cp:lastModifiedBy>Owen.Liu</cp:lastModifiedBy>
  <cp:revision>2</cp:revision>
  <dcterms:created xsi:type="dcterms:W3CDTF">2022-12-20T00:19:00Z</dcterms:created>
  <dcterms:modified xsi:type="dcterms:W3CDTF">2022-12-20T00:19:00Z</dcterms:modified>
</cp:coreProperties>
</file>