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eastAsia="宋体" w:cs="Times New Roman"/>
          <w:b/>
          <w:sz w:val="36"/>
          <w:szCs w:val="36"/>
          <w:lang w:bidi="ar"/>
        </w:rPr>
        <w:t>Supporting information</w:t>
      </w:r>
    </w:p>
    <w:p>
      <w:pPr>
        <w:topLinePunct/>
        <w:spacing w:line="360" w:lineRule="auto"/>
        <w:rPr>
          <w:rFonts w:ascii="Times New Roman" w:hAnsi="Times New Roman" w:eastAsia="等线" w:cs="Times New Roman"/>
          <w:b/>
          <w:bCs/>
          <w:sz w:val="24"/>
          <w:szCs w:val="24"/>
          <w:lang w:bidi="ar"/>
        </w:rPr>
      </w:pPr>
    </w:p>
    <w:p>
      <w:pPr>
        <w:topLinePunct/>
        <w:spacing w:line="360" w:lineRule="auto"/>
        <w:rPr>
          <w:rFonts w:ascii="Times New Roman" w:hAnsi="Times New Roman" w:eastAsia="等线" w:cs="Times New Roman"/>
          <w:b/>
          <w:bCs/>
          <w:sz w:val="24"/>
          <w:szCs w:val="24"/>
          <w:lang w:bidi="ar"/>
        </w:rPr>
      </w:pPr>
      <w:r>
        <w:rPr>
          <w:rFonts w:ascii="Times New Roman" w:hAnsi="Times New Roman" w:eastAsia="等线" w:cs="Times New Roman"/>
          <w:b/>
          <w:bCs/>
          <w:sz w:val="24"/>
          <w:szCs w:val="24"/>
          <w:lang w:bidi="ar"/>
        </w:rPr>
        <w:t>A poly(carbazole-alt-triazole) with thiabendazole side groups as an “on-off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bidi="ar"/>
        </w:rPr>
        <w:t>-</w:t>
      </w:r>
      <w:r>
        <w:rPr>
          <w:rFonts w:ascii="Times New Roman" w:hAnsi="Times New Roman" w:eastAsia="等线" w:cs="Times New Roman"/>
          <w:b/>
          <w:bCs/>
          <w:sz w:val="24"/>
          <w:szCs w:val="24"/>
          <w:lang w:bidi="ar"/>
        </w:rPr>
        <w:t>on” fluorescent probe for detection of Cu(Ⅱ)</w:t>
      </w:r>
      <w:r>
        <w:rPr>
          <w:rFonts w:hint="eastAsia" w:ascii="Times New Roman" w:hAnsi="Times New Roman" w:eastAsia="等线" w:cs="Times New Roman"/>
          <w:b/>
          <w:bCs/>
          <w:sz w:val="24"/>
          <w:szCs w:val="24"/>
          <w:lang w:bidi="ar"/>
        </w:rPr>
        <w:t xml:space="preserve"> </w:t>
      </w:r>
      <w:r>
        <w:rPr>
          <w:rFonts w:ascii="Times New Roman" w:hAnsi="Times New Roman" w:eastAsia="等线" w:cs="Times New Roman"/>
          <w:b/>
          <w:bCs/>
          <w:sz w:val="24"/>
          <w:szCs w:val="24"/>
          <w:lang w:bidi="ar"/>
        </w:rPr>
        <w:t>ion and cysteine</w:t>
      </w:r>
    </w:p>
    <w:p>
      <w:pPr>
        <w:topLinePunct/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rPr>
          <w:rFonts w:hint="eastAsia" w:ascii="Times New Roman" w:hAnsi="Times New Roman" w:eastAsia="等线" w:cs="Times New Roman"/>
          <w:b/>
          <w:bCs/>
          <w:sz w:val="24"/>
          <w:szCs w:val="24"/>
          <w:lang w:bidi="ar"/>
        </w:rPr>
      </w:pPr>
      <w:r>
        <w:rPr>
          <w:rFonts w:ascii="Times New Roman" w:hAnsi="Times New Roman"/>
          <w:sz w:val="24"/>
          <w:szCs w:val="24"/>
        </w:rPr>
        <w:t>Liting Gao</w:t>
      </w:r>
      <w:r>
        <w:rPr>
          <w:rFonts w:hint="eastAsia" w:ascii="Times New Roman" w:hAnsi="Times New Roman"/>
          <w:sz w:val="24"/>
          <w:szCs w:val="24"/>
        </w:rPr>
        <w:t xml:space="preserve">, </w:t>
      </w:r>
      <w:r>
        <w:rPr>
          <w:rFonts w:ascii="Times New Roman" w:hAnsi="Times New Roman"/>
          <w:sz w:val="24"/>
          <w:szCs w:val="24"/>
        </w:rPr>
        <w:t>Jinyao Xu, Haoyue Luo,</w:t>
      </w:r>
      <w:r>
        <w:rPr>
          <w:rFonts w:hint="eastAsia" w:ascii="Times New Roman" w:hAnsi="Times New Roman"/>
          <w:sz w:val="24"/>
          <w:szCs w:val="24"/>
        </w:rPr>
        <w:t xml:space="preserve"> Hong Lei, Xinai Chen, Jiayi Wan,</w:t>
      </w:r>
      <w:r>
        <w:rPr>
          <w:rFonts w:hint="eastAsia" w:ascii="Times New Roman" w:hAnsi="Times New Roman"/>
          <w:sz w:val="24"/>
          <w:szCs w:val="24"/>
          <w:lang w:val="en-US" w:eastAsia="zh-CN"/>
        </w:rPr>
        <w:t xml:space="preserve"> </w:t>
      </w:r>
      <w:r>
        <w:rPr>
          <w:rFonts w:hint="eastAsia" w:ascii="Times New Roman" w:hAnsi="Times New Roman"/>
          <w:sz w:val="24"/>
          <w:szCs w:val="24"/>
        </w:rPr>
        <w:t xml:space="preserve">Juhua Feng, </w:t>
      </w:r>
      <w:r>
        <w:rPr>
          <w:rFonts w:ascii="Times New Roman" w:hAnsi="Times New Roman"/>
          <w:sz w:val="24"/>
          <w:szCs w:val="24"/>
        </w:rPr>
        <w:t>Kuan Liu</w:t>
      </w:r>
      <w:r>
        <w:rPr>
          <w:rFonts w:hint="eastAsia" w:ascii="Times New Roman" w:hAnsi="Times New Roman"/>
          <w:sz w:val="24"/>
          <w:szCs w:val="24"/>
          <w:vertAlign w:val="superscript"/>
        </w:rPr>
        <w:t>*</w:t>
      </w:r>
      <w:bookmarkStart w:id="26" w:name="_GoBack"/>
      <w:bookmarkEnd w:id="26"/>
    </w:p>
    <w:sdt>
      <w:sdtPr>
        <w:rPr>
          <w:lang w:val="zh-CN"/>
        </w:rPr>
        <w:id w:val="-1675792266"/>
        <w:docPartObj>
          <w:docPartGallery w:val="Table of Contents"/>
          <w:docPartUnique/>
        </w:docPartObj>
      </w:sdtPr>
      <w:sdtEndPr>
        <w:rPr>
          <w:rFonts w:ascii="Times New Roman" w:hAnsi="Times New Roman" w:cs="Times New Roman" w:eastAsiaTheme="minorEastAsia"/>
          <w:b/>
          <w:bCs/>
          <w:color w:val="auto"/>
          <w:kern w:val="2"/>
          <w:sz w:val="24"/>
          <w:szCs w:val="24"/>
          <w:lang w:val="zh-CN"/>
        </w:rPr>
      </w:sdtEndPr>
      <w:sdtContent>
        <w:p>
          <w:pPr>
            <w:pStyle w:val="11"/>
            <w:spacing w:line="360" w:lineRule="auto"/>
            <w:rPr>
              <w:rFonts w:hint="eastAsia"/>
            </w:rPr>
          </w:pP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fldChar w:fldCharType="begin"/>
          </w:r>
          <w:r>
            <w:instrText xml:space="preserve"> HYPERLINK \l "_Toc121243995"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S1.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 xml:space="preserve">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H NMR spectrum of compound 2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_Toc121243995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2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"_Toc121243996"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S2.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H NMR spectrum of monomer 1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_Toc121243996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2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"_Toc121243997"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S3.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C NMR spectrum of monomer 1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_Toc121243997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"_Toc121243998"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S4.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High resolution mass spectrum of monomer 1.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_Toc121243998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"_Toc121243999"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S5.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H NMR spectrum of monomer 2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_Toc121243999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3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"_Toc121244000"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S6.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C NMR spectrum of monomer 2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_Toc121244000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4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"_Toc121244001"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S7.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H NMR spectrum of PCZBTA-TBZ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_Toc121244001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4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"_Toc121244002"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S8.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13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C NMR spectrum of PCZBTA-TBZ in CDCl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3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_Toc121244002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5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"_Toc121244003"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S9.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GPC results of PCZBTA-TBZ in THF.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_Toc121244003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6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"_Toc121244004"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S10.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Fluorescence spectra of PCZBTA-TBZ solutions with different concentrations.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_Toc121244004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7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"_Toc121244005"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S11.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Cyclic voltammetry curves of PCZBTA-TBZ film on platinum electrode in 0.1 mol/L Bu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4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NClO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4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 xml:space="preserve"> in CH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2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Cl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bscript"/>
            </w:rPr>
            <w:t>2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 xml:space="preserve"> solution, at a scan rate of 50 mV/s.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_Toc121244005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7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"_Toc121244006"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S12.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The plot of the fluorescence intensity ratio of [PCZBTA-TBZ-Cu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2+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] at 417 nm versus different concentration of cysteine (0-3.2×10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-4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 xml:space="preserve"> mol/L).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_Toc121244006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8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pStyle w:val="5"/>
            <w:tabs>
              <w:tab w:val="right" w:leader="dot" w:pos="8296"/>
            </w:tabs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fldChar w:fldCharType="begin"/>
          </w:r>
          <w:r>
            <w:instrText xml:space="preserve"> HYPERLINK \l "_Toc121244007" </w:instrText>
          </w:r>
          <w:r>
            <w:fldChar w:fldCharType="separate"/>
          </w:r>
          <w:r>
            <w:rPr>
              <w:rStyle w:val="8"/>
              <w:rFonts w:hint="eastAsia" w:ascii="Times New Roman" w:hAnsi="Times New Roman" w:cs="Times New Roman"/>
              <w:sz w:val="24"/>
              <w:szCs w:val="24"/>
              <w:lang w:eastAsia="zh-CN"/>
            </w:rPr>
            <w:t>Fig</w:t>
          </w:r>
          <w:r>
            <w:rPr>
              <w:rStyle w:val="8"/>
              <w:rFonts w:ascii="Times New Roman" w:hAnsi="Times New Roman" w:cs="Times New Roman"/>
              <w:sz w:val="24"/>
              <w:szCs w:val="24"/>
            </w:rPr>
            <w:t xml:space="preserve"> S13. 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Fluorescence changes of [PCZBTA-TBZ-Ag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+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>] in the presence of different amino acids with a concentration 1.8×10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  <w:vertAlign w:val="superscript"/>
            </w:rPr>
            <w:t>-4</w:t>
          </w:r>
          <w:r>
            <w:rPr>
              <w:rStyle w:val="8"/>
              <w:rFonts w:ascii="Times New Roman" w:hAnsi="Times New Roman" w:cs="Times New Roman"/>
              <w:bCs/>
              <w:sz w:val="24"/>
              <w:szCs w:val="24"/>
            </w:rPr>
            <w:t xml:space="preserve"> mol/L.</w:t>
          </w:r>
          <w:r>
            <w:rPr>
              <w:rFonts w:ascii="Times New Roman" w:hAnsi="Times New Roman" w:cs="Times New Roman"/>
              <w:sz w:val="24"/>
              <w:szCs w:val="24"/>
            </w:rPr>
            <w:tab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>
            <w:rPr>
              <w:rFonts w:ascii="Times New Roman" w:hAnsi="Times New Roman" w:cs="Times New Roman"/>
              <w:sz w:val="24"/>
              <w:szCs w:val="24"/>
            </w:rPr>
            <w:instrText xml:space="preserve"> PAGEREF _Toc121244007 \h </w:instrTex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r>
            <w:rPr>
              <w:rFonts w:ascii="Times New Roman" w:hAnsi="Times New Roman" w:cs="Times New Roman"/>
              <w:sz w:val="24"/>
              <w:szCs w:val="24"/>
            </w:rPr>
            <w:t>8</w:t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  <w:r>
            <w:rPr>
              <w:rFonts w:ascii="Times New Roman" w:hAnsi="Times New Roman" w:cs="Times New Roman"/>
              <w:sz w:val="24"/>
              <w:szCs w:val="24"/>
            </w:rPr>
            <w:fldChar w:fldCharType="end"/>
          </w:r>
        </w:p>
        <w:p>
          <w:pPr>
            <w:spacing w:line="480" w:lineRule="auto"/>
            <w:rPr>
              <w:rFonts w:ascii="Times New Roman" w:hAnsi="Times New Roman" w:cs="Times New Roman"/>
              <w:sz w:val="24"/>
              <w:szCs w:val="24"/>
            </w:rPr>
          </w:pPr>
          <w:r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>
      <w:pPr>
        <w:jc w:val="center"/>
      </w:pPr>
      <w:bookmarkStart w:id="0" w:name="_Toc5496"/>
      <w:r>
        <w:drawing>
          <wp:inline distT="0" distB="0" distL="114300" distR="114300">
            <wp:extent cx="4625975" cy="3239770"/>
            <wp:effectExtent l="0" t="0" r="3175" b="0"/>
            <wp:docPr id="8" name="图片 8" descr="化合物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化合物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2626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1" w:name="_Toc121243995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S1.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H NMR spectrum of compound 2 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bookmarkEnd w:id="0"/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1"/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/>
        </w:rPr>
      </w:pPr>
      <w:bookmarkStart w:id="2" w:name="_Toc5967"/>
      <w:r>
        <w:drawing>
          <wp:inline distT="0" distB="0" distL="114300" distR="114300">
            <wp:extent cx="4623435" cy="3239770"/>
            <wp:effectExtent l="0" t="0" r="5715" b="0"/>
            <wp:docPr id="10" name="图片 10" descr="单体1 氢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单体1 氢谱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23477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hint="eastAsia" w:ascii="Times New Roman" w:hAnsi="Times New Roman" w:cs="Times New Roman"/>
          <w:sz w:val="24"/>
          <w:szCs w:val="24"/>
        </w:rPr>
      </w:pPr>
      <w:bookmarkStart w:id="3" w:name="_Toc121243996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S2.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H NMR spectrum of monomer 1 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3"/>
    </w:p>
    <w:p>
      <w:pPr>
        <w:jc w:val="left"/>
        <w:rPr>
          <w:rFonts w:hint="eastAsia"/>
        </w:rPr>
      </w:pPr>
    </w:p>
    <w:bookmarkEnd w:id="2"/>
    <w:p>
      <w:pPr>
        <w:jc w:val="center"/>
        <w:rPr>
          <w:rFonts w:hint="eastAsia"/>
        </w:rPr>
      </w:pPr>
      <w:bookmarkStart w:id="4" w:name="_Toc30081"/>
      <w:r>
        <w:rPr>
          <w:rFonts w:hint="eastAsia"/>
        </w:rPr>
        <w:drawing>
          <wp:inline distT="0" distB="0" distL="114300" distR="114300">
            <wp:extent cx="4629785" cy="3239770"/>
            <wp:effectExtent l="0" t="0" r="0" b="0"/>
            <wp:docPr id="11" name="图片 11" descr="单体1 碳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单体1 碳谱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30244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5" w:name="_Toc121243997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S3.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C NMR spectrum of monomer 1 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4"/>
      <w:bookmarkEnd w:id="5"/>
    </w:p>
    <w:p/>
    <w:p/>
    <w:p>
      <w:pPr>
        <w:jc w:val="center"/>
        <w:rPr>
          <w:rFonts w:hint="eastAsia"/>
        </w:rPr>
      </w:pPr>
      <w:r>
        <w:drawing>
          <wp:inline distT="0" distB="0" distL="0" distR="0">
            <wp:extent cx="5274310" cy="2414905"/>
            <wp:effectExtent l="0" t="0" r="2540" b="444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4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</w:pPr>
      <w:bookmarkStart w:id="6" w:name="_Toc121243998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S4.</w:t>
      </w:r>
      <w:r>
        <w:t xml:space="preserve"> </w:t>
      </w:r>
      <w:bookmarkStart w:id="7" w:name="OLE_LINK1"/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High resolution mass spectrum of 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m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onomer </w:t>
      </w:r>
      <w:bookmarkEnd w:id="7"/>
      <w:r>
        <w:rPr>
          <w:rFonts w:ascii="Times New Roman" w:hAnsi="Times New Roman" w:cs="Times New Roman"/>
          <w:b w:val="0"/>
          <w:bCs/>
          <w:sz w:val="24"/>
          <w:szCs w:val="24"/>
        </w:rPr>
        <w:t>1.</w:t>
      </w:r>
      <w:bookmarkEnd w:id="6"/>
    </w:p>
    <w:p/>
    <w:p/>
    <w:p>
      <w:pPr>
        <w:jc w:val="center"/>
        <w:rPr>
          <w:rFonts w:hint="eastAsia"/>
        </w:rPr>
      </w:pPr>
      <w:bookmarkStart w:id="8" w:name="_Toc19384"/>
      <w:r>
        <w:rPr>
          <w:rFonts w:hint="eastAsia"/>
        </w:rPr>
        <w:drawing>
          <wp:inline distT="0" distB="0" distL="114300" distR="114300">
            <wp:extent cx="4623435" cy="3239770"/>
            <wp:effectExtent l="0" t="0" r="5715" b="0"/>
            <wp:docPr id="13" name="图片 13" descr="单体2 氢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单体2 氢谱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623477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9" w:name="_Toc121243999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S5.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H NMR spectrum of monomer 2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8"/>
      <w:bookmarkEnd w:id="9"/>
    </w:p>
    <w:p>
      <w:pPr>
        <w:rPr>
          <w:rFonts w:hint="eastAsia"/>
        </w:rPr>
      </w:pPr>
    </w:p>
    <w:p/>
    <w:p>
      <w:pPr>
        <w:jc w:val="center"/>
        <w:rPr>
          <w:rFonts w:hint="eastAsia"/>
        </w:rPr>
      </w:pPr>
      <w:bookmarkStart w:id="10" w:name="_Toc25309"/>
      <w:r>
        <w:drawing>
          <wp:inline distT="0" distB="0" distL="114300" distR="114300">
            <wp:extent cx="4610735" cy="3239770"/>
            <wp:effectExtent l="0" t="0" r="0" b="0"/>
            <wp:docPr id="14" name="图片 14" descr="单体2 碳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单体2 碳谱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611196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11" w:name="_Toc121244000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S6.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perscript"/>
        </w:rPr>
        <w:t>3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C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NMR spectrum of monomer 2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10"/>
      <w:bookmarkEnd w:id="11"/>
    </w:p>
    <w:p/>
    <w:p/>
    <w:p>
      <w:pPr>
        <w:jc w:val="center"/>
        <w:rPr>
          <w:rFonts w:hint="eastAsia"/>
        </w:rPr>
      </w:pPr>
      <w:bookmarkStart w:id="12" w:name="_Toc19332"/>
      <w:r>
        <w:drawing>
          <wp:inline distT="0" distB="0" distL="114300" distR="114300">
            <wp:extent cx="4810760" cy="3239770"/>
            <wp:effectExtent l="0" t="0" r="8890" b="0"/>
            <wp:docPr id="15" name="图片 15" descr="聚合物氢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聚合物氢谱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11330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13" w:name="_Toc121244001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S7.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H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NMR spectrum of PCZBTA-TBZ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12"/>
      <w:bookmarkEnd w:id="13"/>
      <w:bookmarkStart w:id="14" w:name="_Toc21751"/>
    </w:p>
    <w:p/>
    <w:p>
      <w:pPr>
        <w:rPr>
          <w:rFonts w:hint="eastAsia"/>
        </w:rPr>
      </w:pPr>
    </w:p>
    <w:p>
      <w:pPr>
        <w:jc w:val="center"/>
        <w:rPr>
          <w:rFonts w:ascii="Times New Roman" w:hAnsi="Times New Roman" w:cs="Times New Roman"/>
          <w:sz w:val="24"/>
          <w:szCs w:val="24"/>
        </w:rPr>
      </w:pPr>
      <w:r>
        <w:drawing>
          <wp:inline distT="0" distB="0" distL="114300" distR="114300">
            <wp:extent cx="4610735" cy="3239770"/>
            <wp:effectExtent l="0" t="0" r="0" b="0"/>
            <wp:docPr id="16" name="图片 16" descr="聚合物碳谱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聚合物碳谱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611196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15" w:name="_Toc121244002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S8.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1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perscript"/>
        </w:rPr>
        <w:t>3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C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NMR spectrum of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PCZBTA-TBZ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in CDCl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15"/>
    </w:p>
    <w:p>
      <w:pPr>
        <w:jc w:val="center"/>
        <w:rPr>
          <w:rFonts w:hint="eastAsia"/>
        </w:rPr>
      </w:pPr>
    </w:p>
    <w:bookmarkEnd w:id="14"/>
    <w:p>
      <w:pPr>
        <w:jc w:val="center"/>
      </w:pPr>
      <w:bookmarkStart w:id="16" w:name="_Toc17748"/>
      <w:r>
        <w:drawing>
          <wp:inline distT="0" distB="0" distL="0" distR="0">
            <wp:extent cx="5274310" cy="5751830"/>
            <wp:effectExtent l="0" t="0" r="2540" b="127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751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</w:pPr>
      <w:bookmarkStart w:id="17" w:name="_Toc121244003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S9.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GPC results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of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PCZBTA-TBZ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in 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THF.</w:t>
      </w:r>
      <w:bookmarkEnd w:id="17"/>
    </w:p>
    <w:p/>
    <w:bookmarkEnd w:id="16"/>
    <w:p>
      <w:pPr>
        <w:jc w:val="center"/>
        <w:rPr>
          <w:rFonts w:hint="eastAsia"/>
        </w:rPr>
      </w:pPr>
      <w:bookmarkStart w:id="18" w:name="_Toc2382"/>
      <w:r>
        <w:drawing>
          <wp:inline distT="0" distB="0" distL="0" distR="0">
            <wp:extent cx="4137660" cy="323977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38149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hint="eastAsia" w:ascii="Times New Roman" w:hAnsi="Times New Roman" w:cs="Times New Roman"/>
          <w:b w:val="0"/>
          <w:bCs/>
          <w:sz w:val="24"/>
          <w:szCs w:val="24"/>
        </w:rPr>
      </w:pPr>
      <w:bookmarkStart w:id="19" w:name="_Toc121244004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S10.</w:t>
      </w:r>
      <w:r>
        <w:rPr>
          <w:rFonts w:hint="eastAsia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Fluorescence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spectra of PCZBTA-TBZ solutions with different concentrations.</w:t>
      </w:r>
      <w:bookmarkEnd w:id="18"/>
      <w:bookmarkEnd w:id="19"/>
    </w:p>
    <w:p>
      <w:pPr>
        <w:jc w:val="center"/>
        <w:rPr>
          <w:rFonts w:hint="eastAsia"/>
        </w:rPr>
      </w:pPr>
      <w:r>
        <w:drawing>
          <wp:inline distT="0" distB="0" distL="114300" distR="114300">
            <wp:extent cx="4232910" cy="3239770"/>
            <wp:effectExtent l="0" t="0" r="0" b="0"/>
            <wp:docPr id="20" name="图片 20" descr="Graph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Graph1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3351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0" w:name="_Toc3230"/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21" w:name="_Toc121244005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1</w:t>
      </w:r>
      <w:r>
        <w:rPr>
          <w:rFonts w:hint="eastAsia" w:ascii="Times New Roman" w:hAnsi="Times New Roman" w:cs="Times New Roman"/>
          <w:sz w:val="24"/>
          <w:szCs w:val="24"/>
        </w:rPr>
        <w:t>.</w:t>
      </w:r>
      <w:r>
        <w:rPr>
          <w:rFonts w:hint="eastAsia"/>
        </w:rPr>
        <w:t xml:space="preserve"> 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Cyclic voltammetry curves of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PCZBTA-TBZ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film on platinum electrode in 0.1 mol/L Bu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bscript"/>
        </w:rPr>
        <w:t>4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NClO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bscript"/>
        </w:rPr>
        <w:t>4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in CH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Cl</w:t>
      </w:r>
      <w:r>
        <w:rPr>
          <w:rFonts w:hint="eastAsia" w:ascii="Times New Roman" w:hAnsi="Times New Roman" w:cs="Times New Roman"/>
          <w:b w:val="0"/>
          <w:bCs/>
          <w:sz w:val="24"/>
          <w:szCs w:val="24"/>
          <w:vertAlign w:val="subscript"/>
        </w:rPr>
        <w:t>2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solution, at a scan rate of 50 mV/s</w:t>
      </w:r>
      <w:bookmarkEnd w:id="20"/>
      <w:r>
        <w:rPr>
          <w:rFonts w:ascii="Times New Roman" w:hAnsi="Times New Roman" w:cs="Times New Roman"/>
          <w:b w:val="0"/>
          <w:bCs/>
          <w:sz w:val="24"/>
          <w:szCs w:val="24"/>
        </w:rPr>
        <w:t>.</w:t>
      </w:r>
      <w:bookmarkEnd w:id="21"/>
    </w:p>
    <w:p/>
    <w:p>
      <w:pPr>
        <w:jc w:val="center"/>
        <w:rPr>
          <w:rFonts w:hint="eastAsia"/>
        </w:rPr>
      </w:pPr>
      <w:r>
        <w:drawing>
          <wp:inline distT="0" distB="0" distL="0" distR="0">
            <wp:extent cx="3978910" cy="323977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79212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hint="eastAsia" w:ascii="Times New Roman" w:hAnsi="Times New Roman" w:cs="Times New Roman"/>
          <w:b w:val="0"/>
          <w:bCs/>
          <w:sz w:val="24"/>
          <w:szCs w:val="24"/>
        </w:rPr>
      </w:pPr>
      <w:bookmarkStart w:id="22" w:name="_Toc10663"/>
      <w:bookmarkStart w:id="23" w:name="_Toc121244006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2.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The plot of the fluorescence intensity ratio of [PCZBTA-TBZ-Cu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2+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] at 417 nm versus different concentration of cysteine (0-3.2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×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-4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mol/L).</w:t>
      </w:r>
      <w:bookmarkEnd w:id="22"/>
      <w:bookmarkEnd w:id="23"/>
    </w:p>
    <w:p>
      <w:pPr>
        <w:jc w:val="center"/>
        <w:rPr>
          <w:rFonts w:hint="eastAsia"/>
        </w:rPr>
      </w:pPr>
      <w:bookmarkStart w:id="24" w:name="_Toc24468"/>
      <w:r>
        <w:drawing>
          <wp:inline distT="0" distB="0" distL="0" distR="0">
            <wp:extent cx="4202430" cy="3239770"/>
            <wp:effectExtent l="0" t="0" r="762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2558" cy="32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jc w:val="center"/>
        <w:rPr>
          <w:rFonts w:ascii="Times New Roman" w:hAnsi="Times New Roman" w:cs="Times New Roman"/>
          <w:b w:val="0"/>
          <w:bCs/>
          <w:sz w:val="24"/>
          <w:szCs w:val="24"/>
        </w:rPr>
      </w:pPr>
      <w:bookmarkStart w:id="25" w:name="_Toc121244007"/>
      <w:r>
        <w:rPr>
          <w:rFonts w:hint="eastAsia" w:ascii="Times New Roman" w:hAnsi="Times New Roman" w:cs="Times New Roman"/>
          <w:sz w:val="24"/>
          <w:szCs w:val="24"/>
          <w:lang w:eastAsia="zh-CN"/>
        </w:rPr>
        <w:t>Fig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>
        <w:rPr>
          <w:rFonts w:hint="eastAsia"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>3.</w:t>
      </w:r>
      <w: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Fluorescence changes of [PCZBTA-TBZ-Ag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] in the presence of different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amino acids with a concentration 1.8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×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>10</w:t>
      </w:r>
      <w:r>
        <w:rPr>
          <w:rFonts w:ascii="Times New Roman" w:hAnsi="Times New Roman" w:cs="Times New Roman"/>
          <w:b w:val="0"/>
          <w:bCs/>
          <w:sz w:val="24"/>
          <w:szCs w:val="24"/>
          <w:vertAlign w:val="superscript"/>
        </w:rPr>
        <w:t>-4</w:t>
      </w:r>
      <w:r>
        <w:rPr>
          <w:rFonts w:ascii="Times New Roman" w:hAnsi="Times New Roman" w:cs="Times New Roman"/>
          <w:b w:val="0"/>
          <w:bCs/>
          <w:sz w:val="24"/>
          <w:szCs w:val="24"/>
        </w:rPr>
        <w:t xml:space="preserve"> mol/L</w:t>
      </w:r>
      <w:r>
        <w:rPr>
          <w:rFonts w:hint="eastAsia" w:ascii="Times New Roman" w:hAnsi="Times New Roman" w:cs="Times New Roman"/>
          <w:b w:val="0"/>
          <w:bCs/>
          <w:sz w:val="24"/>
          <w:szCs w:val="24"/>
        </w:rPr>
        <w:t>.</w:t>
      </w:r>
      <w:bookmarkEnd w:id="24"/>
      <w:bookmarkEnd w:id="25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JjOTFmMmMwMDA4MzNlMTY0Nzk3N2Y4YTEzYmM1MTkifQ=="/>
  </w:docVars>
  <w:rsids>
    <w:rsidRoot w:val="0005229F"/>
    <w:rsid w:val="00007F6B"/>
    <w:rsid w:val="00022A46"/>
    <w:rsid w:val="0005229F"/>
    <w:rsid w:val="000B2C11"/>
    <w:rsid w:val="001410AD"/>
    <w:rsid w:val="00154080"/>
    <w:rsid w:val="00163C5C"/>
    <w:rsid w:val="00335E56"/>
    <w:rsid w:val="0035091C"/>
    <w:rsid w:val="0039246F"/>
    <w:rsid w:val="00466CCF"/>
    <w:rsid w:val="007A46D2"/>
    <w:rsid w:val="00832350"/>
    <w:rsid w:val="008401D3"/>
    <w:rsid w:val="00920A5F"/>
    <w:rsid w:val="00923912"/>
    <w:rsid w:val="00A133D5"/>
    <w:rsid w:val="00AE3753"/>
    <w:rsid w:val="00C44DB2"/>
    <w:rsid w:val="00D534FA"/>
    <w:rsid w:val="00D90C95"/>
    <w:rsid w:val="00DC0FAA"/>
    <w:rsid w:val="00E378E1"/>
    <w:rsid w:val="00E903CF"/>
    <w:rsid w:val="01A6753A"/>
    <w:rsid w:val="01D902C3"/>
    <w:rsid w:val="01F35812"/>
    <w:rsid w:val="03BE08DA"/>
    <w:rsid w:val="04C2742E"/>
    <w:rsid w:val="06F31B2D"/>
    <w:rsid w:val="06F32374"/>
    <w:rsid w:val="06F7755F"/>
    <w:rsid w:val="095B3FCA"/>
    <w:rsid w:val="0BAC1403"/>
    <w:rsid w:val="0BC15838"/>
    <w:rsid w:val="0C515360"/>
    <w:rsid w:val="0D7F02AE"/>
    <w:rsid w:val="0FEF61AD"/>
    <w:rsid w:val="12C33160"/>
    <w:rsid w:val="14C9363B"/>
    <w:rsid w:val="168626AD"/>
    <w:rsid w:val="16F92E7F"/>
    <w:rsid w:val="17D91669"/>
    <w:rsid w:val="1E522F60"/>
    <w:rsid w:val="20257A96"/>
    <w:rsid w:val="21480BBF"/>
    <w:rsid w:val="232C62D3"/>
    <w:rsid w:val="249C77F1"/>
    <w:rsid w:val="25103453"/>
    <w:rsid w:val="26FD79F9"/>
    <w:rsid w:val="27EB05C2"/>
    <w:rsid w:val="28ED036A"/>
    <w:rsid w:val="2DF6381D"/>
    <w:rsid w:val="30811DDD"/>
    <w:rsid w:val="31B859B9"/>
    <w:rsid w:val="39930875"/>
    <w:rsid w:val="3B4D03DB"/>
    <w:rsid w:val="3BA65FFE"/>
    <w:rsid w:val="3CBF7768"/>
    <w:rsid w:val="3DDD1FB7"/>
    <w:rsid w:val="3FF57DD8"/>
    <w:rsid w:val="401A2EF0"/>
    <w:rsid w:val="42442195"/>
    <w:rsid w:val="42F068C8"/>
    <w:rsid w:val="459D2F65"/>
    <w:rsid w:val="464438E9"/>
    <w:rsid w:val="47D46525"/>
    <w:rsid w:val="49107A31"/>
    <w:rsid w:val="4BF2600A"/>
    <w:rsid w:val="500D0A30"/>
    <w:rsid w:val="50AE4ADA"/>
    <w:rsid w:val="52350508"/>
    <w:rsid w:val="56CB31E9"/>
    <w:rsid w:val="5B484E08"/>
    <w:rsid w:val="5B5C4D58"/>
    <w:rsid w:val="5C213749"/>
    <w:rsid w:val="5C7D2259"/>
    <w:rsid w:val="5CDD3C76"/>
    <w:rsid w:val="60654397"/>
    <w:rsid w:val="632A43A4"/>
    <w:rsid w:val="639D1585"/>
    <w:rsid w:val="66D0529B"/>
    <w:rsid w:val="68276504"/>
    <w:rsid w:val="686F13BE"/>
    <w:rsid w:val="698C2CE9"/>
    <w:rsid w:val="6A4D355A"/>
    <w:rsid w:val="6DF20CC2"/>
    <w:rsid w:val="6E7004A6"/>
    <w:rsid w:val="75C2345E"/>
    <w:rsid w:val="77F51EB7"/>
    <w:rsid w:val="7A96064B"/>
    <w:rsid w:val="7CAF243A"/>
    <w:rsid w:val="7E3D5ECB"/>
    <w:rsid w:val="7FF27C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oc 1"/>
    <w:basedOn w:val="1"/>
    <w:next w:val="1"/>
    <w:unhideWhenUsed/>
    <w:qFormat/>
    <w:uiPriority w:val="39"/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页眉 字符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11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color w:val="2F5597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customXml" Target="../customXml/item1.xml"/><Relationship Id="rId16" Type="http://schemas.openxmlformats.org/officeDocument/2006/relationships/image" Target="media/image13.tiff"/><Relationship Id="rId15" Type="http://schemas.openxmlformats.org/officeDocument/2006/relationships/image" Target="media/image12.tiff"/><Relationship Id="rId14" Type="http://schemas.openxmlformats.org/officeDocument/2006/relationships/image" Target="media/image11.tiff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98CA2E-D290-4FB3-BD53-C8F4E3BC2E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355</Words>
  <Characters>1706</Characters>
  <Lines>21</Lines>
  <Paragraphs>6</Paragraphs>
  <TotalTime>0</TotalTime>
  <ScaleCrop>false</ScaleCrop>
  <LinksUpToDate>false</LinksUpToDate>
  <CharactersWithSpaces>2055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2022-10-31T03:30:00Z</dcterms:created>
  <dc:creator>高 丽婷</dc:creator>
  <cp:lastModifiedBy>婷婷丫</cp:lastModifiedBy>
  <dcterms:modified xsi:type="dcterms:W3CDTF">2022-12-20T10:53:16Z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85ED7B6F8A764E73ACE90626BFA0EFFB</vt:lpwstr>
  </property>
</Properties>
</file>