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rPr>
          <w:rStyle w:val="13"/>
          <w:rFonts w:hint="eastAsia"/>
          <w:b/>
          <w:color w:val="auto"/>
        </w:rPr>
      </w:pPr>
      <w:r>
        <w:rPr>
          <w:rStyle w:val="13"/>
          <w:b/>
          <w:bCs/>
          <w:color w:val="auto"/>
        </w:rPr>
        <w:t xml:space="preserve">Supporting Information </w:t>
      </w:r>
      <w:r>
        <w:rPr>
          <w:rStyle w:val="13"/>
          <w:b/>
          <w:color w:val="auto"/>
        </w:rPr>
        <w:t>for</w:t>
      </w:r>
    </w:p>
    <w:p>
      <w:pPr>
        <w:jc w:val="center"/>
        <w:rPr>
          <w:rFonts w:ascii="Times New Roman" w:hAnsi="Times New Roman" w:eastAsia="微软雅黑" w:cs="Times New Roman"/>
          <w:b/>
          <w:sz w:val="32"/>
          <w:szCs w:val="32"/>
          <w:shd w:val="clear" w:color="auto" w:fill="FCFDFE"/>
        </w:rPr>
      </w:pPr>
      <w:r>
        <w:rPr>
          <w:rFonts w:hint="eastAsia" w:ascii="Times New Roman" w:hAnsi="Times New Roman" w:eastAsia="微软雅黑" w:cs="Times New Roman"/>
          <w:b/>
          <w:sz w:val="32"/>
          <w:szCs w:val="32"/>
          <w:shd w:val="clear" w:color="auto" w:fill="FCFDFE"/>
        </w:rPr>
        <w:t>Functionalization of melamine sponge for the efficient recovery of Pt(IV) from acid leachates</w:t>
      </w:r>
    </w:p>
    <w:p>
      <w:pPr>
        <w:spacing w:before="100" w:beforeAutospacing="1" w:after="100" w:afterAutospacing="1" w:line="480" w:lineRule="auto"/>
        <w:rPr>
          <w:rFonts w:ascii="Times New Roman" w:hAnsi="Times New Roman" w:cs="Times New Roman"/>
          <w:b/>
          <w:bCs/>
          <w:sz w:val="24"/>
          <w:lang w:val="it-IT"/>
        </w:rPr>
      </w:pPr>
      <w:r>
        <w:rPr>
          <w:rFonts w:hint="eastAsia" w:ascii="Times New Roman" w:hAnsi="Times New Roman" w:cs="Times New Roman"/>
          <w:b/>
          <w:bCs/>
          <w:sz w:val="24"/>
        </w:rPr>
        <w:t>Zhaojiang</w:t>
      </w:r>
      <w:r>
        <w:rPr>
          <w:rFonts w:hint="eastAsia" w:ascii="Times New Roman" w:hAnsi="Times New Roman" w:cs="Times New Roman"/>
          <w:b/>
          <w:bCs/>
          <w:sz w:val="24"/>
          <w:vertAlign w:val="superscript"/>
        </w:rPr>
        <w:t xml:space="preserve"> </w:t>
      </w:r>
      <w:r>
        <w:rPr>
          <w:rFonts w:hint="eastAsia" w:ascii="Times New Roman" w:hAnsi="Times New Roman" w:cs="Times New Roman"/>
          <w:b/>
          <w:bCs/>
          <w:sz w:val="24"/>
        </w:rPr>
        <w:t>Wu</w:t>
      </w:r>
      <w:r>
        <w:rPr>
          <w:rFonts w:ascii="Times New Roman" w:hAnsi="Times New Roman" w:cs="Times New Roman"/>
          <w:b/>
          <w:bCs/>
          <w:sz w:val="24"/>
          <w:vertAlign w:val="superscript"/>
          <w:lang w:val="it-IT"/>
        </w:rPr>
        <w:t xml:space="preserve"> a</w:t>
      </w:r>
      <w:r>
        <w:rPr>
          <w:rFonts w:ascii="Times New Roman" w:hAnsi="Times New Roman" w:cs="Times New Roman"/>
          <w:b/>
          <w:bCs/>
          <w:sz w:val="24"/>
          <w:lang w:val="it-IT"/>
        </w:rPr>
        <w:t xml:space="preserve">, </w:t>
      </w:r>
      <w:r>
        <w:rPr>
          <w:rFonts w:hint="eastAsia" w:ascii="Times New Roman" w:hAnsi="Times New Roman" w:cs="Times New Roman"/>
          <w:b/>
          <w:bCs/>
          <w:sz w:val="24"/>
        </w:rPr>
        <w:t>Zheng Lin</w:t>
      </w:r>
      <w:r>
        <w:rPr>
          <w:rFonts w:ascii="Times New Roman" w:hAnsi="Times New Roman" w:cs="Times New Roman"/>
          <w:b/>
          <w:bCs/>
          <w:sz w:val="24"/>
          <w:vertAlign w:val="superscript"/>
          <w:lang w:val="it-IT"/>
        </w:rPr>
        <w:t xml:space="preserve"> a</w:t>
      </w:r>
      <w:r>
        <w:rPr>
          <w:rFonts w:ascii="Times New Roman" w:hAnsi="Times New Roman" w:cs="Times New Roman"/>
          <w:b/>
          <w:bCs/>
          <w:sz w:val="24"/>
          <w:lang w:val="it-IT"/>
        </w:rPr>
        <w:t>,</w:t>
      </w:r>
      <w:r>
        <w:rPr>
          <w:rFonts w:hint="eastAsia" w:ascii="Times New Roman" w:hAnsi="Times New Roman" w:cs="Times New Roman"/>
          <w:b/>
          <w:bCs/>
          <w:sz w:val="24"/>
        </w:rPr>
        <w:t xml:space="preserve"> </w:t>
      </w:r>
      <w:r>
        <w:rPr>
          <w:rFonts w:ascii="Times New Roman" w:hAnsi="Times New Roman" w:cs="Times New Roman"/>
          <w:b/>
          <w:bCs/>
          <w:sz w:val="24"/>
          <w:lang w:val="it-IT"/>
        </w:rPr>
        <w:t>S</w:t>
      </w:r>
      <w:r>
        <w:rPr>
          <w:rFonts w:hint="eastAsia" w:ascii="Times New Roman" w:hAnsi="Times New Roman" w:cs="Times New Roman"/>
          <w:b/>
          <w:bCs/>
          <w:sz w:val="24"/>
        </w:rPr>
        <w:t>hengye</w:t>
      </w:r>
      <w:r>
        <w:rPr>
          <w:rFonts w:ascii="Times New Roman" w:hAnsi="Times New Roman" w:cs="Times New Roman"/>
          <w:b/>
          <w:bCs/>
          <w:sz w:val="24"/>
          <w:lang w:val="it-IT"/>
        </w:rPr>
        <w:t xml:space="preserve"> </w:t>
      </w:r>
      <w:r>
        <w:rPr>
          <w:rFonts w:hint="eastAsia" w:ascii="Times New Roman" w:hAnsi="Times New Roman" w:cs="Times New Roman"/>
          <w:b/>
          <w:bCs/>
          <w:sz w:val="24"/>
        </w:rPr>
        <w:t>Wang</w:t>
      </w:r>
      <w:r>
        <w:rPr>
          <w:rFonts w:ascii="Times New Roman" w:hAnsi="Times New Roman" w:cs="Times New Roman"/>
          <w:b/>
          <w:bCs/>
          <w:sz w:val="24"/>
          <w:vertAlign w:val="superscript"/>
          <w:lang w:val="it-IT"/>
        </w:rPr>
        <w:t xml:space="preserve"> a</w:t>
      </w:r>
      <w:r>
        <w:rPr>
          <w:rFonts w:ascii="Times New Roman" w:hAnsi="Times New Roman" w:cs="Times New Roman"/>
          <w:b/>
          <w:bCs/>
          <w:sz w:val="24"/>
          <w:lang w:val="it-IT"/>
        </w:rPr>
        <w:t xml:space="preserve">, </w:t>
      </w:r>
      <w:r>
        <w:rPr>
          <w:rFonts w:hint="eastAsia" w:ascii="Times New Roman" w:hAnsi="Times New Roman" w:cs="Times New Roman"/>
          <w:b/>
          <w:bCs/>
          <w:sz w:val="24"/>
        </w:rPr>
        <w:t>Bo</w:t>
      </w:r>
      <w:r>
        <w:rPr>
          <w:rFonts w:hint="eastAsia" w:ascii="Times New Roman" w:hAnsi="Times New Roman" w:cs="Times New Roman"/>
          <w:b/>
          <w:bCs/>
          <w:sz w:val="24"/>
          <w:lang w:val="it-IT"/>
        </w:rPr>
        <w:t xml:space="preserve"> Y</w:t>
      </w:r>
      <w:r>
        <w:rPr>
          <w:rFonts w:hint="eastAsia" w:ascii="Times New Roman" w:hAnsi="Times New Roman" w:cs="Times New Roman"/>
          <w:b/>
          <w:bCs/>
          <w:sz w:val="24"/>
        </w:rPr>
        <w:t>ang</w:t>
      </w:r>
      <w:r>
        <w:rPr>
          <w:rFonts w:ascii="Times New Roman" w:hAnsi="Times New Roman" w:cs="Times New Roman"/>
          <w:b/>
          <w:bCs/>
          <w:sz w:val="24"/>
          <w:vertAlign w:val="superscript"/>
          <w:lang w:val="it-IT"/>
        </w:rPr>
        <w:t xml:space="preserve"> </w:t>
      </w:r>
      <w:r>
        <w:rPr>
          <w:rFonts w:hint="eastAsia" w:ascii="Times New Roman" w:hAnsi="Times New Roman" w:cs="Times New Roman"/>
          <w:b/>
          <w:bCs/>
          <w:sz w:val="24"/>
          <w:vertAlign w:val="superscript"/>
        </w:rPr>
        <w:t>a</w:t>
      </w:r>
      <w:r>
        <w:rPr>
          <w:rFonts w:hint="eastAsia" w:ascii="Times New Roman" w:hAnsi="Times New Roman" w:cs="Times New Roman"/>
          <w:b/>
          <w:bCs/>
          <w:sz w:val="24"/>
          <w:lang w:val="it-IT"/>
        </w:rPr>
        <w:t>,</w:t>
      </w:r>
      <w:r>
        <w:rPr>
          <w:rFonts w:hint="eastAsia" w:ascii="Times New Roman" w:hAnsi="Times New Roman" w:cs="Times New Roman"/>
          <w:b/>
          <w:bCs/>
          <w:sz w:val="24"/>
        </w:rPr>
        <w:t xml:space="preserve"> Ke Xiao</w:t>
      </w:r>
      <w:r>
        <w:rPr>
          <w:rFonts w:hint="eastAsia" w:ascii="Times New Roman" w:hAnsi="Times New Roman" w:cs="Times New Roman"/>
          <w:b/>
          <w:bCs/>
          <w:sz w:val="24"/>
          <w:vertAlign w:val="superscript"/>
        </w:rPr>
        <w:t xml:space="preserve"> a</w:t>
      </w:r>
      <w:r>
        <w:rPr>
          <w:rStyle w:val="10"/>
          <w:rFonts w:ascii="Times New Roman" w:hAnsi="Times New Roman" w:cs="Times New Roman"/>
          <w:b/>
          <w:bCs/>
          <w:lang w:val="it-IT"/>
        </w:rPr>
        <w:footnoteReference w:id="0" w:customMarkFollows="1"/>
        <w:sym w:font="Symbol" w:char="F02A"/>
      </w:r>
      <w:bookmarkStart w:id="4" w:name="_GoBack"/>
      <w:bookmarkEnd w:id="4"/>
    </w:p>
    <w:p>
      <w:pPr>
        <w:pStyle w:val="3"/>
        <w:spacing w:before="100" w:beforeAutospacing="1" w:after="100" w:afterAutospacing="1" w:line="480" w:lineRule="auto"/>
        <w:rPr>
          <w:rFonts w:ascii="Times New Roman" w:hAnsi="Times New Roman" w:cs="Times New Roman"/>
          <w:i/>
          <w:iCs/>
          <w:lang w:val="it-IT"/>
        </w:rPr>
      </w:pPr>
      <w:r>
        <w:rPr>
          <w:rFonts w:ascii="Times New Roman" w:hAnsi="Times New Roman" w:cs="Times New Roman"/>
          <w:iCs/>
          <w:vertAlign w:val="superscript"/>
        </w:rPr>
        <w:t xml:space="preserve">a </w:t>
      </w:r>
      <w:r>
        <w:rPr>
          <w:rFonts w:ascii="Times New Roman" w:hAnsi="Times New Roman" w:cs="Times New Roman"/>
          <w:i/>
          <w:iCs/>
        </w:rPr>
        <w:t>College of Chemistry and Environmental Engineering, Shenzhen University, Shenzhen 518060</w:t>
      </w:r>
      <w:r>
        <w:rPr>
          <w:rFonts w:ascii="Times New Roman" w:hAnsi="Times New Roman" w:cs="Times New Roman"/>
          <w:i/>
          <w:iCs/>
          <w:lang w:val="it-IT"/>
        </w:rPr>
        <w:t>, China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5"/>
        <w:adjustRightInd w:val="0"/>
        <w:snapToGrid w:val="0"/>
        <w:spacing w:before="240"/>
        <w:ind w:firstLine="0"/>
        <w:rPr>
          <w:rFonts w:ascii="Times New Roman" w:hAnsi="Times New Roman" w:cs="Times New Roman"/>
          <w:b/>
          <w:bCs/>
          <w:sz w:val="32"/>
          <w:szCs w:val="32"/>
          <w:lang w:eastAsia="zh-CN"/>
        </w:rPr>
      </w:pPr>
      <w:bookmarkStart w:id="0" w:name="OLE_LINK77"/>
      <w:bookmarkStart w:id="1" w:name="OLE_LINK76"/>
      <w:r>
        <w:rPr>
          <w:rFonts w:hint="eastAsia" w:ascii="Times New Roman" w:hAnsi="Times New Roman" w:cs="Times New Roman"/>
          <w:b/>
          <w:bCs/>
          <w:sz w:val="32"/>
          <w:szCs w:val="32"/>
          <w:lang w:eastAsia="zh-CN"/>
        </w:rPr>
        <w:t xml:space="preserve">2. </w:t>
      </w:r>
      <w:r>
        <w:rPr>
          <w:rFonts w:ascii="Times New Roman" w:hAnsi="Times New Roman" w:cs="Times New Roman"/>
          <w:b/>
          <w:bCs/>
          <w:sz w:val="32"/>
          <w:szCs w:val="32"/>
          <w:lang w:eastAsia="zh-CN"/>
        </w:rPr>
        <w:t>Methods</w:t>
      </w:r>
      <w:bookmarkEnd w:id="0"/>
      <w:bookmarkEnd w:id="1"/>
    </w:p>
    <w:p>
      <w:pPr>
        <w:pStyle w:val="15"/>
        <w:adjustRightInd w:val="0"/>
        <w:snapToGrid w:val="0"/>
        <w:ind w:firstLine="0"/>
        <w:rPr>
          <w:rFonts w:hint="eastAsia" w:ascii="Times New Roman" w:hAnsi="Times New Roman" w:cs="Times New Roman"/>
          <w:bCs/>
          <w:i/>
          <w:lang w:eastAsia="zh-CN"/>
        </w:rPr>
      </w:pPr>
      <w:r>
        <w:rPr>
          <w:rFonts w:hint="eastAsia" w:ascii="Times New Roman" w:hAnsi="Times New Roman" w:cs="Times New Roman"/>
          <w:bCs/>
          <w:i/>
          <w:lang w:eastAsia="zh-CN"/>
        </w:rPr>
        <w:t>2.</w:t>
      </w:r>
      <w:r>
        <w:rPr>
          <w:rFonts w:hint="eastAsia" w:ascii="Times New Roman" w:hAnsi="Times New Roman" w:cs="Times New Roman"/>
          <w:bCs/>
          <w:i/>
          <w:lang w:val="en-US" w:eastAsia="zh-CN"/>
        </w:rPr>
        <w:t>1</w:t>
      </w:r>
      <w:r>
        <w:rPr>
          <w:rFonts w:hint="eastAsia" w:ascii="Times New Roman" w:hAnsi="Times New Roman" w:cs="Times New Roman"/>
          <w:bCs/>
          <w:i/>
          <w:lang w:eastAsia="zh-CN"/>
        </w:rPr>
        <w:t>. Materials</w:t>
      </w:r>
    </w:p>
    <w:p>
      <w:pPr>
        <w:pStyle w:val="17"/>
        <w:adjustRightInd w:val="0"/>
        <w:snapToGrid w:val="0"/>
        <w:spacing w:line="480" w:lineRule="auto"/>
        <w:ind w:firstLine="480" w:firstLineChars="200"/>
        <w:jc w:val="left"/>
        <w:rPr>
          <w:rFonts w:ascii="Times New Roman" w:hAnsi="Times New Roman" w:cs="Times New Roman"/>
          <w:sz w:val="24"/>
          <w:szCs w:val="24"/>
          <w:lang w:val="en-GB"/>
        </w:rPr>
      </w:pPr>
      <w:r>
        <w:rPr>
          <w:rFonts w:ascii="Times New Roman" w:hAnsi="Times New Roman" w:cs="Times New Roman" w:eastAsiaTheme="minorEastAsia"/>
          <w:bCs/>
          <w:kern w:val="0"/>
          <w:sz w:val="24"/>
          <w:szCs w:val="22"/>
          <w:lang w:val="en-US" w:eastAsia="en-US" w:bidi="ar-SA"/>
        </w:rPr>
        <w:fldChar w:fldCharType="begin"/>
      </w:r>
      <w:r>
        <w:rPr>
          <w:rFonts w:ascii="Times New Roman" w:hAnsi="Times New Roman" w:cs="Times New Roman" w:eastAsiaTheme="minorEastAsia"/>
          <w:bCs/>
          <w:kern w:val="0"/>
          <w:sz w:val="24"/>
          <w:szCs w:val="22"/>
          <w:lang w:val="en-US" w:eastAsia="en-US" w:bidi="ar-SA"/>
        </w:rPr>
        <w:instrText xml:space="preserve"> HYPERLINK "javascript:;" </w:instrText>
      </w:r>
      <w:r>
        <w:rPr>
          <w:rFonts w:ascii="Times New Roman" w:hAnsi="Times New Roman" w:cs="Times New Roman" w:eastAsiaTheme="minorEastAsia"/>
          <w:bCs/>
          <w:kern w:val="0"/>
          <w:sz w:val="24"/>
          <w:szCs w:val="22"/>
          <w:lang w:val="en-US" w:eastAsia="en-US" w:bidi="ar-SA"/>
        </w:rPr>
        <w:fldChar w:fldCharType="separate"/>
      </w:r>
      <w:r>
        <w:rPr>
          <w:rFonts w:ascii="Times New Roman" w:hAnsi="Times New Roman" w:cs="Times New Roman" w:eastAsiaTheme="minorEastAsia"/>
          <w:bCs/>
          <w:kern w:val="0"/>
          <w:sz w:val="24"/>
          <w:szCs w:val="22"/>
          <w:lang w:val="en-US" w:eastAsia="en-US" w:bidi="ar-SA"/>
        </w:rPr>
        <w:t>Hydrochloric acid</w:t>
      </w:r>
      <w:r>
        <w:rPr>
          <w:rFonts w:ascii="Times New Roman" w:hAnsi="Times New Roman" w:cs="Times New Roman" w:eastAsiaTheme="minorEastAsia"/>
          <w:bCs/>
          <w:kern w:val="0"/>
          <w:sz w:val="24"/>
          <w:szCs w:val="22"/>
          <w:lang w:val="en-US" w:eastAsia="en-US" w:bidi="ar-SA"/>
        </w:rPr>
        <w:fldChar w:fldCharType="end"/>
      </w:r>
      <w:r>
        <w:rPr>
          <w:rFonts w:ascii="Times New Roman" w:hAnsi="Times New Roman" w:cs="Times New Roman" w:eastAsiaTheme="minorEastAsia"/>
          <w:bCs/>
          <w:kern w:val="0"/>
          <w:sz w:val="24"/>
          <w:szCs w:val="22"/>
          <w:lang w:val="en-US" w:eastAsia="en-US" w:bidi="ar-SA"/>
        </w:rPr>
        <w:t xml:space="preserve"> and </w:t>
      </w:r>
      <w:r>
        <w:rPr>
          <w:rFonts w:ascii="Times New Roman" w:hAnsi="Times New Roman" w:cs="Times New Roman" w:eastAsiaTheme="minorEastAsia"/>
          <w:bCs/>
          <w:kern w:val="0"/>
          <w:sz w:val="24"/>
          <w:szCs w:val="22"/>
          <w:lang w:val="en-US" w:eastAsia="en-US" w:bidi="ar-SA"/>
        </w:rPr>
        <w:fldChar w:fldCharType="begin"/>
      </w:r>
      <w:r>
        <w:rPr>
          <w:rFonts w:ascii="Times New Roman" w:hAnsi="Times New Roman" w:cs="Times New Roman" w:eastAsiaTheme="minorEastAsia"/>
          <w:bCs/>
          <w:kern w:val="0"/>
          <w:sz w:val="24"/>
          <w:szCs w:val="22"/>
          <w:lang w:val="en-US" w:eastAsia="en-US" w:bidi="ar-SA"/>
        </w:rPr>
        <w:instrText xml:space="preserve"> HYPERLINK "javascript:;" </w:instrText>
      </w:r>
      <w:r>
        <w:rPr>
          <w:rFonts w:ascii="Times New Roman" w:hAnsi="Times New Roman" w:cs="Times New Roman" w:eastAsiaTheme="minorEastAsia"/>
          <w:bCs/>
          <w:kern w:val="0"/>
          <w:sz w:val="24"/>
          <w:szCs w:val="22"/>
          <w:lang w:val="en-US" w:eastAsia="en-US" w:bidi="ar-SA"/>
        </w:rPr>
        <w:fldChar w:fldCharType="separate"/>
      </w:r>
      <w:r>
        <w:rPr>
          <w:rFonts w:ascii="Times New Roman" w:hAnsi="Times New Roman" w:cs="Times New Roman" w:eastAsiaTheme="minorEastAsia"/>
          <w:bCs/>
          <w:kern w:val="0"/>
          <w:sz w:val="24"/>
          <w:szCs w:val="22"/>
          <w:lang w:val="en-US" w:eastAsia="en-US" w:bidi="ar-SA"/>
        </w:rPr>
        <w:t>sulfuric acid</w:t>
      </w:r>
      <w:r>
        <w:rPr>
          <w:rFonts w:ascii="Times New Roman" w:hAnsi="Times New Roman" w:cs="Times New Roman" w:eastAsiaTheme="minorEastAsia"/>
          <w:bCs/>
          <w:kern w:val="0"/>
          <w:sz w:val="24"/>
          <w:szCs w:val="22"/>
          <w:lang w:val="en-US" w:eastAsia="en-US" w:bidi="ar-SA"/>
        </w:rPr>
        <w:fldChar w:fldCharType="end"/>
      </w:r>
      <w:r>
        <w:rPr>
          <w:rFonts w:ascii="Times New Roman" w:hAnsi="Times New Roman" w:cs="Times New Roman" w:eastAsiaTheme="minorEastAsia"/>
          <w:bCs/>
          <w:kern w:val="0"/>
          <w:sz w:val="24"/>
          <w:szCs w:val="22"/>
          <w:lang w:val="en-US" w:eastAsia="en-US" w:bidi="ar-SA"/>
        </w:rPr>
        <w:t xml:space="preserve"> were acquired from Energy Chemical Co., Ltd (China). Potassium hexachloroplatinate(IV), cupric sulfate, aluminum chloride, iron chloride hexahydrate, sodium chloride, and sodium sulfate anhydrous were acquired from West Long Chemical Co., Ltd. (China) and used as a </w:t>
      </w:r>
      <w:r>
        <w:rPr>
          <w:rFonts w:hint="eastAsia" w:ascii="Times New Roman" w:hAnsi="Times New Roman" w:cs="Times New Roman" w:eastAsiaTheme="minorEastAsia"/>
          <w:bCs/>
          <w:kern w:val="0"/>
          <w:sz w:val="24"/>
          <w:szCs w:val="22"/>
          <w:lang w:val="en-US" w:eastAsia="zh-CN" w:bidi="ar-SA"/>
        </w:rPr>
        <w:t>s</w:t>
      </w:r>
      <w:r>
        <w:rPr>
          <w:rFonts w:hint="eastAsia" w:ascii="Times New Roman" w:hAnsi="Times New Roman" w:cs="Times New Roman" w:eastAsiaTheme="minorEastAsia"/>
          <w:bCs/>
          <w:kern w:val="0"/>
          <w:sz w:val="24"/>
          <w:szCs w:val="22"/>
          <w:lang w:val="en-US" w:eastAsia="en-US" w:bidi="ar-SA"/>
        </w:rPr>
        <w:t>imulated</w:t>
      </w:r>
      <w:r>
        <w:rPr>
          <w:rFonts w:ascii="Times New Roman" w:hAnsi="Times New Roman" w:cs="Times New Roman" w:eastAsiaTheme="minorEastAsia"/>
          <w:bCs/>
          <w:kern w:val="0"/>
          <w:sz w:val="24"/>
          <w:szCs w:val="22"/>
          <w:lang w:val="en-US" w:eastAsia="en-US" w:bidi="ar-SA"/>
        </w:rPr>
        <w:t xml:space="preserve"> </w:t>
      </w:r>
      <w:r>
        <w:rPr>
          <w:rFonts w:hint="eastAsia" w:ascii="Times New Roman" w:hAnsi="Times New Roman" w:cs="Times New Roman" w:eastAsiaTheme="minorEastAsia"/>
          <w:bCs/>
          <w:kern w:val="0"/>
          <w:sz w:val="24"/>
          <w:szCs w:val="22"/>
          <w:lang w:val="en-US" w:eastAsia="en-US" w:bidi="ar-SA"/>
        </w:rPr>
        <w:t>Pt(IV)</w:t>
      </w:r>
      <w:r>
        <w:rPr>
          <w:rFonts w:hint="eastAsia" w:ascii="Times New Roman" w:hAnsi="Times New Roman" w:cs="Times New Roman" w:eastAsiaTheme="minorEastAsia"/>
          <w:bCs/>
          <w:kern w:val="0"/>
          <w:sz w:val="24"/>
          <w:szCs w:val="22"/>
          <w:lang w:val="en-US" w:eastAsia="zh-CN" w:bidi="ar-SA"/>
        </w:rPr>
        <w:t>-</w:t>
      </w:r>
      <w:r>
        <w:rPr>
          <w:rFonts w:ascii="Times New Roman" w:hAnsi="Times New Roman" w:cs="Times New Roman" w:eastAsiaTheme="minorEastAsia"/>
          <w:bCs/>
          <w:kern w:val="0"/>
          <w:sz w:val="24"/>
          <w:szCs w:val="22"/>
          <w:lang w:val="en-US" w:eastAsia="en-US" w:bidi="ar-SA"/>
        </w:rPr>
        <w:t xml:space="preserve">containing </w:t>
      </w:r>
      <w:r>
        <w:rPr>
          <w:rFonts w:hint="eastAsia" w:ascii="Times New Roman" w:hAnsi="Times New Roman" w:cs="Times New Roman" w:eastAsiaTheme="minorEastAsia"/>
          <w:bCs/>
          <w:kern w:val="0"/>
          <w:sz w:val="24"/>
          <w:szCs w:val="22"/>
          <w:lang w:val="en-US" w:eastAsia="en-US" w:bidi="ar-SA"/>
        </w:rPr>
        <w:t>acid leachates</w:t>
      </w:r>
      <w:r>
        <w:rPr>
          <w:rFonts w:ascii="Times New Roman" w:hAnsi="Times New Roman" w:cs="Times New Roman" w:eastAsiaTheme="minorEastAsia"/>
          <w:bCs/>
          <w:kern w:val="0"/>
          <w:sz w:val="24"/>
          <w:szCs w:val="22"/>
          <w:lang w:val="en-US" w:eastAsia="en-US" w:bidi="ar-SA"/>
        </w:rPr>
        <w:t xml:space="preserve"> (</w:t>
      </w:r>
      <w:r>
        <w:rPr>
          <w:rFonts w:ascii="Times New Roman" w:hAnsi="Times New Roman" w:cs="Times New Roman" w:eastAsiaTheme="minorEastAsia"/>
          <w:bCs/>
          <w:kern w:val="0"/>
          <w:sz w:val="24"/>
          <w:szCs w:val="22"/>
          <w:lang w:val="en-US" w:eastAsia="en-US" w:bidi="ar-SA"/>
        </w:rPr>
        <w:fldChar w:fldCharType="begin"/>
      </w:r>
      <w:r>
        <w:rPr>
          <w:rFonts w:ascii="Times New Roman" w:hAnsi="Times New Roman" w:cs="Times New Roman" w:eastAsiaTheme="minorEastAsia"/>
          <w:bCs/>
          <w:kern w:val="0"/>
          <w:sz w:val="24"/>
          <w:szCs w:val="22"/>
          <w:lang w:val="en-US" w:eastAsia="en-US" w:bidi="ar-SA"/>
        </w:rPr>
        <w:instrText xml:space="preserve"> HYPERLINK "javascript:;" </w:instrText>
      </w:r>
      <w:r>
        <w:rPr>
          <w:rFonts w:ascii="Times New Roman" w:hAnsi="Times New Roman" w:cs="Times New Roman" w:eastAsiaTheme="minorEastAsia"/>
          <w:bCs/>
          <w:kern w:val="0"/>
          <w:sz w:val="24"/>
          <w:szCs w:val="22"/>
          <w:lang w:val="en-US" w:eastAsia="en-US" w:bidi="ar-SA"/>
        </w:rPr>
        <w:fldChar w:fldCharType="separate"/>
      </w:r>
      <w:r>
        <w:rPr>
          <w:rFonts w:ascii="Times New Roman" w:hAnsi="Times New Roman" w:cs="Times New Roman" w:eastAsiaTheme="minorEastAsia"/>
          <w:bCs/>
          <w:kern w:val="0"/>
          <w:sz w:val="24"/>
          <w:szCs w:val="22"/>
          <w:lang w:val="en-US" w:eastAsia="en-US" w:bidi="ar-SA"/>
        </w:rPr>
        <w:t xml:space="preserve">Table </w:t>
      </w:r>
      <w:r>
        <w:rPr>
          <w:rFonts w:hint="eastAsia" w:ascii="Times New Roman" w:hAnsi="Times New Roman" w:cs="Times New Roman" w:eastAsiaTheme="minorEastAsia"/>
          <w:bCs/>
          <w:kern w:val="0"/>
          <w:sz w:val="24"/>
          <w:szCs w:val="22"/>
          <w:lang w:val="en-US" w:eastAsia="zh-CN" w:bidi="ar-SA"/>
        </w:rPr>
        <w:t>S</w:t>
      </w:r>
      <w:r>
        <w:rPr>
          <w:rFonts w:ascii="Times New Roman" w:hAnsi="Times New Roman" w:cs="Times New Roman" w:eastAsiaTheme="minorEastAsia"/>
          <w:bCs/>
          <w:kern w:val="0"/>
          <w:sz w:val="24"/>
          <w:szCs w:val="22"/>
          <w:lang w:val="en-US" w:eastAsia="en-US" w:bidi="ar-SA"/>
        </w:rPr>
        <w:t>1</w:t>
      </w:r>
      <w:r>
        <w:rPr>
          <w:rFonts w:ascii="Times New Roman" w:hAnsi="Times New Roman" w:cs="Times New Roman" w:eastAsiaTheme="minorEastAsia"/>
          <w:bCs/>
          <w:kern w:val="0"/>
          <w:sz w:val="24"/>
          <w:szCs w:val="22"/>
          <w:lang w:val="en-US" w:eastAsia="en-US" w:bidi="ar-SA"/>
        </w:rPr>
        <w:fldChar w:fldCharType="end"/>
      </w:r>
      <w:r>
        <w:rPr>
          <w:rFonts w:ascii="Times New Roman" w:hAnsi="Times New Roman" w:cs="Times New Roman" w:eastAsiaTheme="minorEastAsia"/>
          <w:bCs/>
          <w:kern w:val="0"/>
          <w:sz w:val="24"/>
          <w:szCs w:val="22"/>
          <w:lang w:val="en-US" w:eastAsia="en-US" w:bidi="ar-SA"/>
        </w:rPr>
        <w:t>).</w:t>
      </w:r>
    </w:p>
    <w:p>
      <w:pPr>
        <w:pStyle w:val="17"/>
        <w:adjustRightInd w:val="0"/>
        <w:snapToGrid w:val="0"/>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Table </w:t>
      </w:r>
      <w:r>
        <w:rPr>
          <w:rFonts w:hint="eastAsia" w:ascii="Times New Roman" w:hAnsi="Times New Roman" w:cs="Times New Roman"/>
          <w:sz w:val="24"/>
          <w:szCs w:val="24"/>
          <w:lang w:val="en-US" w:eastAsia="zh-CN"/>
        </w:rPr>
        <w:t>S</w:t>
      </w:r>
      <w:r>
        <w:rPr>
          <w:rFonts w:ascii="Times New Roman" w:hAnsi="Times New Roman" w:cs="Times New Roman"/>
          <w:sz w:val="24"/>
          <w:szCs w:val="24"/>
          <w:lang w:val="en-GB"/>
        </w:rPr>
        <w:t xml:space="preserve">1 </w:t>
      </w:r>
      <w:r>
        <w:rPr>
          <w:rFonts w:hint="eastAsia" w:ascii="Times New Roman" w:hAnsi="Times New Roman" w:cs="Times New Roman"/>
          <w:sz w:val="24"/>
          <w:szCs w:val="24"/>
          <w:lang w:val="en-US" w:eastAsia="zh-CN"/>
        </w:rPr>
        <w:t>S</w:t>
      </w:r>
      <w:r>
        <w:rPr>
          <w:rFonts w:hint="eastAsia" w:ascii="Times New Roman" w:hAnsi="Times New Roman" w:cs="Times New Roman"/>
          <w:sz w:val="24"/>
          <w:szCs w:val="24"/>
          <w:lang w:val="en-GB"/>
        </w:rPr>
        <w:t>imulated Pt(IV)-containing acid leachates</w:t>
      </w:r>
      <w:r>
        <w:rPr>
          <w:rFonts w:ascii="Times New Roman" w:hAnsi="Times New Roman" w:cs="Times New Roman"/>
          <w:sz w:val="24"/>
          <w:szCs w:val="24"/>
          <w:lang w:val="en-GB"/>
        </w:rPr>
        <w:t>.</w:t>
      </w:r>
    </w:p>
    <w:tbl>
      <w:tblPr>
        <w:tblStyle w:val="7"/>
        <w:tblW w:w="843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707"/>
        <w:gridCol w:w="1426"/>
        <w:gridCol w:w="1428"/>
        <w:gridCol w:w="1428"/>
        <w:gridCol w:w="1429"/>
        <w:gridCol w:w="1012"/>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54" w:hRule="atLeast"/>
          <w:jc w:val="center"/>
        </w:trPr>
        <w:tc>
          <w:tcPr>
            <w:tcW w:w="1707"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rPr>
              <w:t>Parameter</w:t>
            </w:r>
          </w:p>
        </w:tc>
        <w:tc>
          <w:tcPr>
            <w:tcW w:w="1426"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Pt</w:t>
            </w:r>
          </w:p>
        </w:tc>
        <w:tc>
          <w:tcPr>
            <w:tcW w:w="1428"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Cu</w:t>
            </w:r>
          </w:p>
        </w:tc>
        <w:tc>
          <w:tcPr>
            <w:tcW w:w="1428"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Zn</w:t>
            </w:r>
          </w:p>
        </w:tc>
        <w:tc>
          <w:tcPr>
            <w:tcW w:w="1429"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Ni</w:t>
            </w:r>
          </w:p>
        </w:tc>
        <w:tc>
          <w:tcPr>
            <w:tcW w:w="1012"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Na</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54" w:hRule="atLeast"/>
          <w:jc w:val="center"/>
        </w:trPr>
        <w:tc>
          <w:tcPr>
            <w:tcW w:w="1707"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rPr>
              <w:t>Unit</w:t>
            </w:r>
            <w:r>
              <w:rPr>
                <w:rFonts w:ascii="Times New Roman" w:hAnsi="Times New Roman" w:eastAsia="宋体" w:cs="Times New Roman"/>
                <w:kern w:val="0"/>
                <w:sz w:val="24"/>
                <w:szCs w:val="24"/>
                <w:lang w:val="en-GB"/>
              </w:rPr>
              <w:t>（mg/L）</w:t>
            </w:r>
          </w:p>
        </w:tc>
        <w:tc>
          <w:tcPr>
            <w:tcW w:w="1426"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17.2</w:t>
            </w:r>
          </w:p>
        </w:tc>
        <w:tc>
          <w:tcPr>
            <w:tcW w:w="1428"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0.3</w:t>
            </w:r>
          </w:p>
        </w:tc>
        <w:tc>
          <w:tcPr>
            <w:tcW w:w="1428"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4.4</w:t>
            </w:r>
          </w:p>
        </w:tc>
        <w:tc>
          <w:tcPr>
            <w:tcW w:w="1429"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0.6</w:t>
            </w:r>
          </w:p>
        </w:tc>
        <w:tc>
          <w:tcPr>
            <w:tcW w:w="1012" w:type="dxa"/>
            <w:vAlign w:val="center"/>
          </w:tcPr>
          <w:p>
            <w:pPr>
              <w:pStyle w:val="17"/>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2100</w:t>
            </w:r>
          </w:p>
        </w:tc>
      </w:tr>
    </w:tbl>
    <w:p>
      <w:pPr>
        <w:pStyle w:val="15"/>
        <w:adjustRightInd w:val="0"/>
        <w:snapToGrid w:val="0"/>
        <w:ind w:firstLine="0"/>
        <w:rPr>
          <w:rFonts w:hint="eastAsia" w:ascii="Times New Roman" w:hAnsi="Times New Roman" w:cs="Times New Roman"/>
          <w:bCs/>
          <w:i/>
          <w:lang w:eastAsia="zh-CN"/>
        </w:rPr>
      </w:pPr>
    </w:p>
    <w:p>
      <w:pPr>
        <w:pStyle w:val="15"/>
        <w:adjustRightInd w:val="0"/>
        <w:snapToGrid w:val="0"/>
        <w:ind w:firstLine="0"/>
        <w:rPr>
          <w:rFonts w:ascii="Times New Roman" w:hAnsi="Times New Roman" w:cs="Times New Roman"/>
          <w:bCs/>
          <w:i/>
          <w:lang w:eastAsia="zh-CN"/>
        </w:rPr>
      </w:pPr>
      <w:r>
        <w:rPr>
          <w:rFonts w:hint="eastAsia" w:ascii="Times New Roman" w:hAnsi="Times New Roman" w:cs="Times New Roman"/>
          <w:bCs/>
          <w:i/>
          <w:lang w:eastAsia="zh-CN"/>
        </w:rPr>
        <w:t xml:space="preserve">2.4. </w:t>
      </w:r>
      <w:r>
        <w:rPr>
          <w:rFonts w:hint="eastAsia" w:ascii="Times New Roman" w:hAnsi="Times New Roman" w:cs="Times New Roman"/>
          <w:bCs/>
          <w:i/>
        </w:rPr>
        <w:t xml:space="preserve">ML and </w:t>
      </w:r>
      <w:r>
        <w:rPr>
          <w:rFonts w:ascii="Times New Roman" w:hAnsi="Times New Roman" w:cs="Times New Roman"/>
          <w:bCs/>
          <w:i/>
        </w:rPr>
        <w:t>ML/ACPG</w:t>
      </w:r>
      <w:r>
        <w:rPr>
          <w:rFonts w:hint="eastAsia" w:ascii="Times New Roman" w:hAnsi="Times New Roman" w:cs="Times New Roman"/>
          <w:bCs/>
          <w:i/>
        </w:rPr>
        <w:t xml:space="preserve"> sponges stabilization and adsorption experiments</w:t>
      </w:r>
    </w:p>
    <w:p>
      <w:pPr>
        <w:pStyle w:val="15"/>
        <w:adjustRightInd w:val="0"/>
        <w:snapToGrid w:val="0"/>
        <w:ind w:firstLine="0"/>
        <w:rPr>
          <w:rFonts w:ascii="Times New Roman" w:hAnsi="Times New Roman" w:cs="Times New Roman"/>
          <w:bCs/>
          <w:lang w:eastAsia="zh-CN"/>
        </w:rPr>
      </w:pPr>
      <w:r>
        <w:rPr>
          <w:rFonts w:ascii="Times New Roman" w:hAnsi="Times New Roman" w:cs="Times New Roman"/>
        </w:rPr>
        <w:t>2.4.1</w:t>
      </w:r>
      <w:r>
        <w:rPr>
          <w:rFonts w:ascii="Times New Roman" w:hAnsi="Times New Roman" w:cs="Times New Roman"/>
          <w:lang w:eastAsia="zh-CN"/>
        </w:rPr>
        <w:t>.</w:t>
      </w:r>
      <w:r>
        <w:rPr>
          <w:rFonts w:ascii="Times New Roman" w:hAnsi="Times New Roman" w:cs="Times New Roman"/>
        </w:rPr>
        <w:t xml:space="preserve"> </w:t>
      </w:r>
      <w:r>
        <w:rPr>
          <w:rFonts w:hint="eastAsia" w:ascii="Times New Roman" w:hAnsi="Times New Roman" w:cs="Times New Roman"/>
          <w:lang w:val="en-US" w:eastAsia="zh-CN"/>
        </w:rPr>
        <w:t>Ads</w:t>
      </w:r>
      <w:r>
        <w:rPr>
          <w:rFonts w:ascii="Times New Roman" w:hAnsi="Times New Roman" w:cs="Times New Roman"/>
        </w:rPr>
        <w:t>orption isotherm</w:t>
      </w:r>
    </w:p>
    <w:p>
      <w:pPr>
        <w:adjustRightInd w:val="0"/>
        <w:snapToGrid w:val="0"/>
        <w:spacing w:line="480" w:lineRule="auto"/>
        <w:ind w:firstLine="480" w:firstLineChars="200"/>
        <w:rPr>
          <w:rFonts w:ascii="Times New Roman" w:hAnsi="Times New Roman" w:cs="Times New Roman"/>
          <w:bCs/>
          <w:kern w:val="0"/>
          <w:sz w:val="24"/>
          <w:lang w:eastAsia="en-US"/>
        </w:rPr>
      </w:pPr>
      <w:r>
        <w:rPr>
          <w:rFonts w:ascii="Times New Roman" w:hAnsi="Times New Roman" w:cs="Times New Roman"/>
          <w:bCs/>
          <w:kern w:val="0"/>
          <w:sz w:val="24"/>
          <w:lang w:eastAsia="en-US"/>
        </w:rPr>
        <w:t>15</w:t>
      </w:r>
      <w:r>
        <w:rPr>
          <w:rFonts w:hint="eastAsia" w:ascii="Times New Roman" w:hAnsi="Times New Roman" w:cs="Times New Roman"/>
          <w:bCs/>
          <w:kern w:val="0"/>
          <w:sz w:val="24"/>
          <w:lang w:val="en-US" w:eastAsia="zh-CN"/>
        </w:rPr>
        <w:t>0</w:t>
      </w:r>
      <w:r>
        <w:rPr>
          <w:rFonts w:ascii="Times New Roman" w:hAnsi="Times New Roman" w:cs="Times New Roman"/>
          <w:bCs/>
          <w:kern w:val="0"/>
          <w:sz w:val="24"/>
          <w:lang w:eastAsia="en-US"/>
        </w:rPr>
        <w:t xml:space="preserve"> mg of ML/ACPG sponges were added to Pt(IV) solution containing 100 mL and pH = 1, and the initial concentrations of Pt(IV) in the solution</w:t>
      </w:r>
      <w:r>
        <w:rPr>
          <w:rFonts w:hint="eastAsia" w:ascii="Times New Roman" w:hAnsi="Times New Roman" w:cs="Times New Roman"/>
          <w:bCs/>
          <w:kern w:val="0"/>
          <w:sz w:val="24"/>
          <w:lang w:val="en-US" w:eastAsia="zh-CN"/>
        </w:rPr>
        <w:t>s</w:t>
      </w:r>
      <w:r>
        <w:rPr>
          <w:rFonts w:ascii="Times New Roman" w:hAnsi="Times New Roman" w:cs="Times New Roman"/>
          <w:bCs/>
          <w:kern w:val="0"/>
          <w:sz w:val="24"/>
          <w:lang w:eastAsia="en-US"/>
        </w:rPr>
        <w:t xml:space="preserve"> were 10, 20, 30, 50, 75, 100, 150, and 200 mg/L at room temperature (25 ± 2</w:t>
      </w:r>
      <w:r>
        <w:rPr>
          <w:rFonts w:ascii="Times New Roman" w:hAnsi="Times New Roman" w:eastAsia="宋体" w:cs="Times New Roman"/>
          <w:sz w:val="24"/>
          <w:szCs w:val="24"/>
        </w:rPr>
        <w:t xml:space="preserve"> °C</w:t>
      </w:r>
      <w:r>
        <w:rPr>
          <w:rFonts w:ascii="Times New Roman" w:hAnsi="Times New Roman" w:cs="Times New Roman"/>
          <w:bCs/>
          <w:kern w:val="0"/>
          <w:sz w:val="24"/>
          <w:lang w:eastAsia="en-US"/>
        </w:rPr>
        <w:t>)</w:t>
      </w:r>
      <w:r>
        <w:rPr>
          <w:rFonts w:hint="eastAsia" w:ascii="Times New Roman" w:hAnsi="Times New Roman" w:cs="Times New Roman"/>
          <w:bCs/>
          <w:kern w:val="0"/>
          <w:sz w:val="24"/>
          <w:lang w:val="en-US" w:eastAsia="zh-CN"/>
        </w:rPr>
        <w:t>, respectively</w:t>
      </w:r>
      <w:r>
        <w:rPr>
          <w:rFonts w:ascii="Times New Roman" w:hAnsi="Times New Roman" w:cs="Times New Roman"/>
          <w:bCs/>
          <w:kern w:val="0"/>
          <w:sz w:val="24"/>
          <w:lang w:eastAsia="en-US"/>
        </w:rPr>
        <w:t>. After shaking at 200 rpm for 48 h, the samples were taken before and after the reaction. After the samples were filtered through 0.22 μm filter membrane, the concentration of Pt(IV) ions in the filtrate was detected by ICP.</w:t>
      </w:r>
    </w:p>
    <w:p>
      <w:pPr>
        <w:pStyle w:val="21"/>
        <w:shd w:val="clear" w:color="auto" w:fill="FCFDFE"/>
        <w:adjustRightInd w:val="0"/>
        <w:snapToGrid w:val="0"/>
        <w:spacing w:before="0" w:beforeAutospacing="0" w:after="0" w:afterAutospacing="0" w:line="480" w:lineRule="auto"/>
        <w:ind w:firstLine="480" w:firstLineChars="200"/>
        <w:jc w:val="both"/>
        <w:rPr>
          <w:rFonts w:ascii="Times New Roman" w:hAnsi="Times New Roman" w:cs="Times New Roman" w:eastAsiaTheme="minorEastAsia"/>
          <w:kern w:val="2"/>
        </w:rPr>
      </w:pPr>
      <w:r>
        <w:rPr>
          <w:rFonts w:hint="eastAsia" w:ascii="Times New Roman" w:hAnsi="Times New Roman" w:cs="Times New Roman" w:eastAsiaTheme="minorEastAsia"/>
          <w:kern w:val="2"/>
          <w:lang w:val="en-US" w:eastAsia="zh-CN"/>
        </w:rPr>
        <w:t>Ads</w:t>
      </w:r>
      <w:r>
        <w:rPr>
          <w:rFonts w:hint="eastAsia" w:ascii="Times New Roman" w:hAnsi="Times New Roman" w:cs="Times New Roman" w:eastAsiaTheme="minorEastAsia"/>
          <w:kern w:val="2"/>
        </w:rPr>
        <w:t xml:space="preserve">orption isotherms of </w:t>
      </w:r>
      <w:r>
        <w:rPr>
          <w:rFonts w:hint="eastAsia" w:ascii="Times New Roman" w:hAnsi="Times New Roman" w:cs="Times New Roman"/>
          <w:sz w:val="24"/>
          <w:szCs w:val="24"/>
        </w:rPr>
        <w:t>Pt(IV)</w:t>
      </w:r>
      <w:r>
        <w:rPr>
          <w:rFonts w:hint="eastAsia" w:ascii="Times New Roman" w:hAnsi="Times New Roman" w:cs="Times New Roman" w:eastAsiaTheme="minorEastAsia"/>
          <w:kern w:val="2"/>
        </w:rPr>
        <w:t xml:space="preserve"> </w:t>
      </w:r>
      <w:r>
        <w:rPr>
          <w:rFonts w:hint="eastAsia" w:ascii="Times New Roman" w:hAnsi="Times New Roman" w:cs="Times New Roman" w:eastAsiaTheme="minorEastAsia"/>
          <w:kern w:val="2"/>
          <w:lang w:val="en-US" w:eastAsia="zh-CN"/>
        </w:rPr>
        <w:t>by</w:t>
      </w:r>
      <w:r>
        <w:rPr>
          <w:rFonts w:hint="eastAsia" w:ascii="Times New Roman" w:hAnsi="Times New Roman" w:cs="Times New Roman" w:eastAsiaTheme="minorEastAsia"/>
          <w:kern w:val="2"/>
        </w:rPr>
        <w:t xml:space="preserve"> </w:t>
      </w:r>
      <w:r>
        <w:rPr>
          <w:rFonts w:hint="eastAsia" w:ascii="Times New Roman" w:hAnsi="Times New Roman" w:cs="Times New Roman"/>
          <w:sz w:val="24"/>
          <w:szCs w:val="24"/>
        </w:rPr>
        <w:t>sponges</w:t>
      </w:r>
      <w:r>
        <w:rPr>
          <w:rFonts w:hint="eastAsia" w:ascii="Times New Roman" w:hAnsi="Times New Roman" w:cs="Times New Roman" w:eastAsiaTheme="minorEastAsia"/>
          <w:kern w:val="2"/>
          <w:lang w:val="en-US" w:eastAsia="zh-CN"/>
        </w:rPr>
        <w:t xml:space="preserve"> were described by</w:t>
      </w:r>
      <w:r>
        <w:rPr>
          <w:rFonts w:hint="eastAsia" w:ascii="Times New Roman" w:hAnsi="Times New Roman" w:cs="Times New Roman" w:eastAsiaTheme="minorEastAsia"/>
          <w:kern w:val="2"/>
        </w:rPr>
        <w:t xml:space="preserve"> the Freundlich and</w:t>
      </w:r>
      <w:r>
        <w:rPr>
          <w:rFonts w:hint="eastAsia" w:ascii="Times New Roman" w:hAnsi="Times New Roman" w:cs="Times New Roman" w:eastAsiaTheme="minorEastAsia"/>
          <w:kern w:val="2"/>
          <w:lang w:val="en-US" w:eastAsia="zh-CN"/>
        </w:rPr>
        <w:t xml:space="preserve"> </w:t>
      </w:r>
      <w:r>
        <w:rPr>
          <w:rFonts w:hint="eastAsia" w:ascii="Times New Roman" w:hAnsi="Times New Roman" w:cs="Times New Roman" w:eastAsiaTheme="minorEastAsia"/>
          <w:kern w:val="2"/>
        </w:rPr>
        <w:t xml:space="preserve">Langmuir </w:t>
      </w:r>
      <w:r>
        <w:rPr>
          <w:rFonts w:hint="eastAsia" w:ascii="Times New Roman" w:hAnsi="Times New Roman" w:cs="Times New Roman" w:eastAsiaTheme="minorEastAsia"/>
          <w:kern w:val="2"/>
          <w:lang w:val="en-US" w:eastAsia="zh-CN"/>
        </w:rPr>
        <w:t>model</w:t>
      </w:r>
      <w:r>
        <w:rPr>
          <w:rFonts w:hint="eastAsia" w:ascii="Times New Roman" w:hAnsi="Times New Roman" w:cs="Times New Roman" w:eastAsiaTheme="minorEastAsia"/>
          <w:kern w:val="2"/>
        </w:rPr>
        <w:t>s.</w:t>
      </w:r>
      <w:r>
        <w:rPr>
          <w:rFonts w:hint="eastAsia" w:ascii="Times New Roman" w:hAnsi="Times New Roman" w:cs="Times New Roman" w:eastAsiaTheme="minorEastAsia"/>
          <w:kern w:val="2"/>
          <w:lang w:val="en-US" w:eastAsia="zh-CN"/>
        </w:rPr>
        <w:t xml:space="preserve"> </w:t>
      </w:r>
    </w:p>
    <w:p>
      <w:pPr>
        <w:rPr>
          <w:rFonts w:ascii="Times New Roman" w:hAnsi="Times New Roman" w:cs="Times New Roman"/>
          <w:sz w:val="24"/>
          <w:szCs w:val="24"/>
        </w:rPr>
      </w:pPr>
      <w:r>
        <w:rPr>
          <w:rFonts w:ascii="Times New Roman" w:hAnsi="Times New Roman" w:cs="Times New Roman"/>
          <w:sz w:val="24"/>
          <w:szCs w:val="24"/>
        </w:rPr>
        <w:t>Langmuir</w:t>
      </w:r>
      <w:r>
        <w:rPr>
          <w:rFonts w:hint="eastAsia" w:ascii="Times New Roman" w:hAnsi="Times New Roman" w:cs="Times New Roman"/>
          <w:sz w:val="24"/>
          <w:szCs w:val="24"/>
        </w:rPr>
        <w:t xml:space="preserve"> </w:t>
      </w:r>
      <w:r>
        <w:rPr>
          <w:rFonts w:ascii="Times New Roman" w:hAnsi="Times New Roman" w:cs="Times New Roman"/>
          <w:sz w:val="24"/>
          <w:szCs w:val="24"/>
        </w:rPr>
        <w:t>model：</w:t>
      </w:r>
      <w:r>
        <w:rPr>
          <w:rFonts w:hint="eastAsia" w:ascii="Times New Roman" w:hAnsi="Times New Roman" w:cs="Times New Roman"/>
          <w:sz w:val="24"/>
          <w:szCs w:val="24"/>
        </w:rPr>
        <w:t xml:space="preserve">               </w:t>
      </w:r>
      <w:r>
        <w:rPr>
          <w:rFonts w:ascii="Times New Roman" w:hAnsi="Times New Roman" w:cs="Times New Roman"/>
          <w:position w:val="-30"/>
          <w:sz w:val="24"/>
          <w:szCs w:val="24"/>
        </w:rPr>
        <w:object>
          <v:shape id="_x0000_i1025" o:spt="75" type="#_x0000_t75" style="height:34.2pt;width:62.9pt;" o:ole="t" filled="f" o:preferrelative="t" stroked="f" coordsize="21600,21600">
            <v:path/>
            <v:fill on="f" focussize="0,0"/>
            <v:stroke on="f" joinstyle="miter"/>
            <v:imagedata r:id="rId6" embosscolor="#FFFFFF" o:title=""/>
            <o:lock v:ext="edit" aspectratio="t"/>
            <w10:wrap type="none"/>
            <w10:anchorlock/>
          </v:shape>
          <o:OLEObject Type="Embed" ProgID="Equation.3" ShapeID="_x0000_i1025" DrawAspect="Content" ObjectID="_1468075725" r:id="rId5">
            <o:LockedField>false</o:LockedField>
          </o:OLEObject>
        </w:object>
      </w:r>
      <w:r>
        <w:rPr>
          <w:rFonts w:ascii="Times New Roman" w:hAnsi="Times New Roman" w:cs="Times New Roman"/>
          <w:position w:val="-30"/>
          <w:sz w:val="24"/>
          <w:szCs w:val="24"/>
        </w:rPr>
        <w:t xml:space="preserve">              </w:t>
      </w:r>
      <w:r>
        <w:rPr>
          <w:rFonts w:hint="eastAsia" w:ascii="Times New Roman" w:hAnsi="Times New Roman" w:cs="Times New Roman"/>
          <w:position w:val="-30"/>
          <w:sz w:val="24"/>
          <w:szCs w:val="24"/>
        </w:rPr>
        <w:t xml:space="preserve">    </w:t>
      </w:r>
      <w:r>
        <w:rPr>
          <w:rFonts w:ascii="Times New Roman" w:hAnsi="Times New Roman" w:cs="Times New Roman"/>
          <w:position w:val="-30"/>
          <w:sz w:val="24"/>
          <w:szCs w:val="24"/>
        </w:rPr>
        <w:t xml:space="preserve">    </w:t>
      </w:r>
      <w:r>
        <w:rPr>
          <w:rFonts w:hint="eastAsia" w:ascii="Times New Roman" w:hAnsi="Times New Roman" w:cs="Times New Roman"/>
          <w:position w:val="-30"/>
          <w:sz w:val="24"/>
          <w:szCs w:val="24"/>
        </w:rPr>
        <w:t xml:space="preserve"> </w:t>
      </w:r>
      <w:r>
        <w:rPr>
          <w:rFonts w:ascii="Times New Roman" w:hAnsi="Times New Roman" w:cs="Times New Roman"/>
          <w:position w:val="-30"/>
          <w:sz w:val="24"/>
          <w:szCs w:val="24"/>
        </w:rPr>
        <w:t xml:space="preserve"> </w:t>
      </w:r>
      <w:r>
        <w:rPr>
          <w:rFonts w:ascii="Times New Roman" w:hAnsi="Times New Roman" w:cs="Times New Roman"/>
          <w:position w:val="-24"/>
          <w:sz w:val="24"/>
          <w:szCs w:val="24"/>
        </w:rPr>
        <w:t xml:space="preserve"> </w:t>
      </w:r>
      <w:r>
        <w:rPr>
          <w:rFonts w:ascii="Times New Roman" w:hAnsi="Times New Roman" w:eastAsia="宋体" w:cs="Times New Roman"/>
          <w:sz w:val="24"/>
          <w:szCs w:val="24"/>
          <w:lang w:val="en-GB"/>
        </w:rPr>
        <w:t>(</w:t>
      </w:r>
      <w:r>
        <w:rPr>
          <w:rFonts w:hint="eastAsia" w:ascii="Times New Roman" w:hAnsi="Times New Roman" w:eastAsia="宋体" w:cs="Times New Roman"/>
          <w:sz w:val="24"/>
          <w:szCs w:val="24"/>
          <w:lang w:val="en-US" w:eastAsia="zh-CN"/>
        </w:rPr>
        <w:t>S1</w:t>
      </w:r>
      <w:r>
        <w:rPr>
          <w:rFonts w:ascii="Times New Roman" w:hAnsi="Times New Roman" w:eastAsia="宋体" w:cs="Times New Roman"/>
          <w:sz w:val="24"/>
          <w:szCs w:val="24"/>
          <w:lang w:val="en-GB"/>
        </w:rPr>
        <w:t>)</w:t>
      </w:r>
    </w:p>
    <w:p>
      <w:pPr>
        <w:rPr>
          <w:rFonts w:ascii="Times New Roman" w:hAnsi="Times New Roman" w:cs="Times New Roman"/>
          <w:sz w:val="24"/>
          <w:szCs w:val="24"/>
        </w:rPr>
      </w:pPr>
      <w:r>
        <w:rPr>
          <w:rFonts w:ascii="Times New Roman" w:hAnsi="Times New Roman" w:cs="Times New Roman"/>
          <w:sz w:val="24"/>
          <w:szCs w:val="24"/>
        </w:rPr>
        <w:t>Freundlich model：</w:t>
      </w:r>
      <w:r>
        <w:rPr>
          <w:rFonts w:hint="eastAsia" w:ascii="Times New Roman" w:hAnsi="Times New Roman" w:cs="Times New Roman"/>
          <w:sz w:val="24"/>
          <w:szCs w:val="24"/>
        </w:rPr>
        <w:t xml:space="preserve">               </w:t>
      </w:r>
      <m:oMath>
        <m:sSubSup>
          <m:sSubSupPr>
            <m:ctrlPr>
              <w:rPr>
                <w:rFonts w:ascii="Cambria Math" w:hAnsi="Cambria Math" w:cs="Times New Roman"/>
              </w:rPr>
            </m:ctrlPr>
          </m:sSubSupPr>
          <m:e>
            <m:sSub>
              <m:sSubPr>
                <m:ctrlPr>
                  <w:rPr>
                    <w:rFonts w:ascii="Cambria Math" w:hAnsi="Cambria Math" w:cs="Times New Roman"/>
                  </w:rPr>
                </m:ctrlPr>
              </m:sSubPr>
              <m:e>
                <m:r>
                  <w:rPr>
                    <w:rFonts w:ascii="Cambria Math" w:hAnsi="Cambria Math" w:cs="Times New Roman"/>
                  </w:rPr>
                  <m:t>q</m:t>
                </m:r>
                <m:ctrlPr>
                  <w:rPr>
                    <w:rFonts w:ascii="Cambria Math" w:hAnsi="Cambria Math" w:cs="Times New Roman"/>
                  </w:rPr>
                </m:ctrlPr>
              </m:e>
              <m:sub>
                <m:r>
                  <w:rPr>
                    <w:rFonts w:ascii="Cambria Math" w:hAnsi="Cambria Math" w:cs="Times New Roman"/>
                  </w:rPr>
                  <m:t>e</m:t>
                </m:r>
                <m:ctrlPr>
                  <w:rPr>
                    <w:rFonts w:ascii="Cambria Math" w:hAnsi="Cambria Math" w:cs="Times New Roman"/>
                  </w:rPr>
                </m:ctrlPr>
              </m:sub>
            </m:sSub>
            <m:r>
              <m:rPr>
                <m:sty m:val="p"/>
              </m:rPr>
              <w:rPr>
                <w:rFonts w:ascii="Cambria Math" w:hAnsi="Cambria Math" w:cs="Times New Roman"/>
              </w:rPr>
              <m:t>=</m:t>
            </m:r>
            <m:r>
              <w:rPr>
                <w:rFonts w:ascii="Cambria Math" w:hAnsi="Cambria Math" w:cs="Times New Roman"/>
              </w:rPr>
              <m:t>KC</m:t>
            </m:r>
            <m:ctrlPr>
              <w:rPr>
                <w:rFonts w:ascii="Cambria Math" w:hAnsi="Cambria Math" w:cs="Times New Roman"/>
              </w:rPr>
            </m:ctrlPr>
          </m:e>
          <m:sub>
            <m:r>
              <w:rPr>
                <w:rFonts w:ascii="Cambria Math" w:hAnsi="Cambria Math" w:cs="Times New Roman"/>
              </w:rPr>
              <m:t>e</m:t>
            </m:r>
            <m:ctrlPr>
              <w:rPr>
                <w:rFonts w:ascii="Cambria Math" w:hAnsi="Cambria Math" w:cs="Times New Roman"/>
              </w:rPr>
            </m:ctrlPr>
          </m:sub>
          <m:sup>
            <m:r>
              <m:rPr>
                <m:sty m:val="p"/>
              </m:rPr>
              <w:rPr>
                <w:rFonts w:ascii="Cambria Math" w:hAnsi="Cambria Math" w:cs="Times New Roman"/>
              </w:rPr>
              <m:t>1/</m:t>
            </m:r>
            <m:r>
              <w:rPr>
                <w:rFonts w:ascii="Cambria Math" w:hAnsi="Cambria Math" w:cs="Times New Roman"/>
              </w:rPr>
              <m:t>n</m:t>
            </m:r>
            <m:ctrlPr>
              <w:rPr>
                <w:rFonts w:ascii="Cambria Math" w:hAnsi="Cambria Math" w:cs="Times New Roman"/>
              </w:rPr>
            </m:ctrlPr>
          </m:sup>
        </m:sSubSup>
      </m:oMath>
      <w:r>
        <w:rPr>
          <w:rFonts w:hint="eastAsia" w:ascii="Times New Roman" w:hAnsi="Times New Roman" w:cs="Times New Roman"/>
        </w:rPr>
        <w:t xml:space="preserve">                              </w:t>
      </w:r>
      <w:r>
        <w:rPr>
          <w:rFonts w:ascii="Times New Roman" w:hAnsi="Times New Roman" w:eastAsia="宋体" w:cs="Times New Roman"/>
          <w:sz w:val="24"/>
          <w:szCs w:val="24"/>
          <w:lang w:val="en-GB"/>
        </w:rPr>
        <w:t>(</w:t>
      </w:r>
      <w:r>
        <w:rPr>
          <w:rFonts w:hint="eastAsia" w:ascii="Times New Roman" w:hAnsi="Times New Roman" w:eastAsia="宋体" w:cs="Times New Roman"/>
          <w:sz w:val="24"/>
          <w:szCs w:val="24"/>
          <w:lang w:val="en-US" w:eastAsia="zh-CN"/>
        </w:rPr>
        <w:t>S2</w:t>
      </w:r>
      <w:r>
        <w:rPr>
          <w:rFonts w:ascii="Times New Roman" w:hAnsi="Times New Roman" w:eastAsia="宋体" w:cs="Times New Roman"/>
          <w:sz w:val="24"/>
          <w:szCs w:val="24"/>
          <w:lang w:val="en-GB"/>
        </w:rPr>
        <w:t>)</w:t>
      </w:r>
    </w:p>
    <w:p>
      <w:pPr>
        <w:pStyle w:val="21"/>
        <w:shd w:val="clear" w:color="auto" w:fill="FCFDFE"/>
        <w:adjustRightInd w:val="0"/>
        <w:snapToGrid w:val="0"/>
        <w:spacing w:before="0" w:beforeAutospacing="0" w:after="0" w:afterAutospacing="0" w:line="480" w:lineRule="auto"/>
        <w:jc w:val="both"/>
        <w:rPr>
          <w:rFonts w:ascii="Times New Roman" w:hAnsi="Times New Roman" w:cs="Times New Roman"/>
          <w:bCs/>
          <w:kern w:val="0"/>
          <w:sz w:val="24"/>
          <w:lang w:eastAsia="en-US"/>
        </w:rPr>
      </w:pPr>
      <w:r>
        <w:rPr>
          <w:rFonts w:ascii="Times New Roman" w:hAnsi="Times New Roman" w:cs="Times New Roman" w:eastAsiaTheme="minorEastAsia"/>
          <w:kern w:val="2"/>
        </w:rPr>
        <w:t xml:space="preserve">where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q</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e</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the equilibrium</w:t>
      </w:r>
      <w:r>
        <w:rPr>
          <w:rFonts w:hint="eastAsia" w:ascii="Times New Roman" w:hAnsi="Times New Roman" w:cs="Times New Roman" w:eastAsiaTheme="minorEastAsia"/>
          <w:kern w:val="2"/>
          <w:lang w:val="en-US" w:eastAsia="zh-CN"/>
        </w:rPr>
        <w:t xml:space="preserve"> </w:t>
      </w:r>
      <w:r>
        <w:rPr>
          <w:rFonts w:ascii="Times New Roman" w:hAnsi="Times New Roman" w:cs="Times New Roman" w:eastAsiaTheme="minorEastAsia"/>
          <w:kern w:val="2"/>
        </w:rPr>
        <w:t xml:space="preserve">adsorption </w:t>
      </w:r>
      <w:r>
        <w:rPr>
          <w:rFonts w:hint="eastAsia" w:ascii="Times New Roman" w:hAnsi="Times New Roman" w:cs="Times New Roman" w:eastAsiaTheme="minorEastAsia"/>
          <w:kern w:val="2"/>
          <w:lang w:val="en-US" w:eastAsia="zh-CN"/>
        </w:rPr>
        <w:t>capacity</w:t>
      </w:r>
      <w:r>
        <w:rPr>
          <w:rFonts w:ascii="Times New Roman" w:hAnsi="Times New Roman" w:cs="Times New Roman" w:eastAsiaTheme="minorEastAsia"/>
          <w:kern w:val="2"/>
        </w:rPr>
        <w:t xml:space="preserve"> (mg/g);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C</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e</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the</w:t>
      </w:r>
      <w:r>
        <w:rPr>
          <w:rFonts w:hint="eastAsia" w:ascii="Times New Roman" w:hAnsi="Times New Roman" w:cs="Times New Roman" w:eastAsiaTheme="minorEastAsia"/>
          <w:kern w:val="2"/>
          <w:lang w:val="en-US" w:eastAsia="zh-CN"/>
        </w:rPr>
        <w:t xml:space="preserve"> </w:t>
      </w:r>
      <w:r>
        <w:rPr>
          <w:rFonts w:ascii="Times New Roman" w:hAnsi="Times New Roman" w:cs="Times New Roman" w:eastAsiaTheme="minorEastAsia"/>
          <w:kern w:val="2"/>
        </w:rPr>
        <w:t>equilibrium</w:t>
      </w:r>
      <w:r>
        <w:rPr>
          <w:rFonts w:hint="eastAsia" w:ascii="Times New Roman" w:hAnsi="Times New Roman" w:cs="Times New Roman" w:eastAsiaTheme="minorEastAsia"/>
          <w:kern w:val="2"/>
          <w:lang w:val="en-US" w:eastAsia="zh-CN"/>
        </w:rPr>
        <w:t xml:space="preserve"> </w:t>
      </w:r>
      <w:r>
        <w:rPr>
          <w:rFonts w:hint="eastAsia" w:ascii="Times New Roman" w:hAnsi="Times New Roman" w:cs="Times New Roman"/>
          <w:sz w:val="24"/>
          <w:szCs w:val="24"/>
        </w:rPr>
        <w:t>Pt(IV)</w:t>
      </w:r>
      <w:r>
        <w:rPr>
          <w:rFonts w:ascii="Times New Roman" w:hAnsi="Times New Roman" w:cs="Times New Roman" w:eastAsiaTheme="minorEastAsia"/>
          <w:kern w:val="2"/>
        </w:rPr>
        <w:t xml:space="preserve"> concentration (mg/L);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q</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m</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the saturated </w:t>
      </w:r>
      <w:r>
        <w:rPr>
          <w:rFonts w:hint="eastAsia" w:ascii="Times New Roman" w:hAnsi="Times New Roman" w:cs="Times New Roman" w:eastAsiaTheme="minorEastAsia"/>
          <w:kern w:val="2"/>
          <w:lang w:val="en-US" w:eastAsia="zh-CN"/>
        </w:rPr>
        <w:t>ad</w:t>
      </w:r>
      <w:r>
        <w:rPr>
          <w:rFonts w:ascii="Times New Roman" w:hAnsi="Times New Roman" w:cs="Times New Roman" w:eastAsiaTheme="minorEastAsia"/>
          <w:kern w:val="2"/>
        </w:rPr>
        <w:t xml:space="preserve">sorption capacity (mg/g) ; </w:t>
      </w:r>
      <m:oMath>
        <m:r>
          <w:rPr>
            <w:rFonts w:ascii="Cambria Math" w:hAnsi="Cambria Math" w:cs="Times New Roman" w:eastAsiaTheme="minorEastAsia"/>
            <w:kern w:val="2"/>
          </w:rPr>
          <m:t>b</m:t>
        </m:r>
      </m:oMath>
      <w:r>
        <w:rPr>
          <w:rFonts w:ascii="Times New Roman" w:hAnsi="Times New Roman" w:cs="Times New Roman" w:eastAsiaTheme="minorEastAsia"/>
          <w:kern w:val="2"/>
        </w:rPr>
        <w:t xml:space="preserve"> is Langmuir constant; </w:t>
      </w:r>
      <m:oMath>
        <m:r>
          <w:rPr>
            <w:rFonts w:ascii="Cambria Math" w:hAnsi="Cambria Math" w:cs="Times New Roman" w:eastAsiaTheme="minorEastAsia"/>
            <w:kern w:val="2"/>
          </w:rPr>
          <m:t>K</m:t>
        </m:r>
      </m:oMath>
      <w:r>
        <w:rPr>
          <w:rFonts w:ascii="Times New Roman" w:hAnsi="Times New Roman" w:cs="Times New Roman" w:eastAsiaTheme="minorEastAsia"/>
          <w:kern w:val="2"/>
        </w:rPr>
        <w:t xml:space="preserve"> is Freundlich constant; and </w:t>
      </w:r>
      <m:oMath>
        <m:r>
          <w:rPr>
            <w:rFonts w:ascii="Cambria Math" w:hAnsi="Cambria Math" w:cs="Times New Roman" w:eastAsiaTheme="minorEastAsia"/>
            <w:kern w:val="2"/>
          </w:rPr>
          <m:t>n</m:t>
        </m:r>
      </m:oMath>
      <w:r>
        <w:rPr>
          <w:rFonts w:ascii="Times New Roman" w:hAnsi="Times New Roman" w:cs="Times New Roman" w:eastAsiaTheme="minorEastAsia"/>
          <w:kern w:val="2"/>
        </w:rPr>
        <w:t xml:space="preserve"> is Freundlich index, which indicates the strength of adsorption.</w:t>
      </w:r>
    </w:p>
    <w:p>
      <w:pPr>
        <w:adjustRightInd w:val="0"/>
        <w:snapToGrid w:val="0"/>
        <w:spacing w:line="480" w:lineRule="auto"/>
        <w:rPr>
          <w:rFonts w:ascii="Times New Roman" w:hAnsi="Times New Roman" w:cs="Times New Roman"/>
          <w:bCs/>
          <w:kern w:val="0"/>
          <w:sz w:val="24"/>
          <w:lang w:eastAsia="en-US"/>
        </w:rPr>
      </w:pPr>
      <w:r>
        <w:rPr>
          <w:rFonts w:ascii="Times New Roman" w:hAnsi="Times New Roman" w:cs="Times New Roman"/>
          <w:bCs/>
          <w:kern w:val="0"/>
          <w:sz w:val="24"/>
          <w:lang w:eastAsia="en-US"/>
        </w:rPr>
        <w:t>2.</w:t>
      </w:r>
      <w:r>
        <w:rPr>
          <w:rFonts w:hint="eastAsia" w:ascii="Times New Roman" w:hAnsi="Times New Roman" w:cs="Times New Roman"/>
          <w:bCs/>
          <w:kern w:val="0"/>
          <w:sz w:val="24"/>
          <w:lang w:eastAsia="en-US"/>
        </w:rPr>
        <w:t>4.2</w:t>
      </w:r>
      <w:r>
        <w:rPr>
          <w:rFonts w:hint="eastAsia" w:ascii="Times New Roman" w:hAnsi="Times New Roman" w:cs="Times New Roman"/>
          <w:bCs/>
          <w:kern w:val="0"/>
          <w:sz w:val="24"/>
        </w:rPr>
        <w:t>.</w:t>
      </w:r>
      <w:r>
        <w:rPr>
          <w:rFonts w:ascii="Times New Roman" w:hAnsi="Times New Roman" w:cs="Times New Roman"/>
          <w:bCs/>
          <w:kern w:val="0"/>
          <w:sz w:val="24"/>
          <w:lang w:eastAsia="en-US"/>
        </w:rPr>
        <w:t xml:space="preserve"> </w:t>
      </w:r>
      <w:r>
        <w:fldChar w:fldCharType="begin"/>
      </w:r>
      <w:r>
        <w:instrText xml:space="preserve"> HYPERLINK "javascript:;" </w:instrText>
      </w:r>
      <w:r>
        <w:fldChar w:fldCharType="separate"/>
      </w:r>
      <w:r>
        <w:rPr>
          <w:rFonts w:hint="eastAsia" w:ascii="Times New Roman" w:hAnsi="Times New Roman" w:cs="Times New Roman"/>
          <w:kern w:val="0"/>
          <w:sz w:val="24"/>
        </w:rPr>
        <w:t>A</w:t>
      </w:r>
      <w:r>
        <w:rPr>
          <w:rFonts w:hint="eastAsia" w:ascii="Times New Roman" w:hAnsi="Times New Roman" w:cs="Times New Roman"/>
          <w:kern w:val="0"/>
          <w:sz w:val="24"/>
          <w:lang w:eastAsia="en-US"/>
        </w:rPr>
        <w:t>bsorption kinetic curve</w:t>
      </w:r>
      <w:r>
        <w:rPr>
          <w:rFonts w:hint="eastAsia" w:ascii="Times New Roman" w:hAnsi="Times New Roman" w:cs="Times New Roman"/>
          <w:kern w:val="0"/>
          <w:sz w:val="24"/>
          <w:lang w:eastAsia="en-US"/>
        </w:rPr>
        <w:fldChar w:fldCharType="end"/>
      </w:r>
    </w:p>
    <w:p>
      <w:pPr>
        <w:widowControl/>
        <w:shd w:val="clear" w:color="auto" w:fill="FCFDFE"/>
        <w:adjustRightInd w:val="0"/>
        <w:snapToGrid w:val="0"/>
        <w:spacing w:line="480" w:lineRule="auto"/>
        <w:ind w:firstLine="480" w:firstLineChars="200"/>
        <w:rPr>
          <w:rFonts w:ascii="Times New Roman" w:hAnsi="Times New Roman" w:cs="Times New Roman"/>
          <w:bCs/>
          <w:kern w:val="0"/>
          <w:sz w:val="24"/>
          <w:lang w:eastAsia="en-US"/>
        </w:rPr>
      </w:pPr>
      <w:r>
        <w:rPr>
          <w:rFonts w:ascii="Times New Roman" w:hAnsi="Times New Roman" w:cs="Times New Roman"/>
          <w:bCs/>
          <w:kern w:val="0"/>
          <w:sz w:val="24"/>
          <w:lang w:eastAsia="en-US"/>
        </w:rPr>
        <w:t>ML/ACPG sponges (150 mg) w</w:t>
      </w:r>
      <w:r>
        <w:rPr>
          <w:rFonts w:hint="eastAsia" w:ascii="Times New Roman" w:hAnsi="Times New Roman" w:cs="Times New Roman"/>
          <w:bCs/>
          <w:kern w:val="0"/>
          <w:sz w:val="24"/>
          <w:lang w:val="en-US" w:eastAsia="zh-CN"/>
        </w:rPr>
        <w:t>ere</w:t>
      </w:r>
      <w:r>
        <w:rPr>
          <w:rFonts w:ascii="Times New Roman" w:hAnsi="Times New Roman" w:cs="Times New Roman"/>
          <w:bCs/>
          <w:kern w:val="0"/>
          <w:sz w:val="24"/>
          <w:lang w:eastAsia="en-US"/>
        </w:rPr>
        <w:t xml:space="preserve"> added into 1L solution containing Pt(IV)( 25 mg/L) at pH 0.5, 1, 2 and 3, respectively, and the reaction was oscillated at room temperature (25</w:t>
      </w:r>
      <w:r>
        <w:rPr>
          <w:rFonts w:hint="eastAsia" w:ascii="Times New Roman" w:hAnsi="Times New Roman" w:cs="Times New Roman"/>
          <w:bCs/>
          <w:kern w:val="0"/>
          <w:sz w:val="24"/>
          <w:lang w:val="en-US" w:eastAsia="zh-CN"/>
        </w:rPr>
        <w:t xml:space="preserve"> </w:t>
      </w:r>
      <w:r>
        <w:rPr>
          <w:rFonts w:ascii="Times New Roman" w:hAnsi="Times New Roman" w:cs="Times New Roman"/>
          <w:bCs/>
          <w:kern w:val="0"/>
          <w:sz w:val="24"/>
          <w:lang w:eastAsia="en-US"/>
        </w:rPr>
        <w:t>±</w:t>
      </w:r>
      <w:r>
        <w:rPr>
          <w:rFonts w:hint="eastAsia" w:ascii="Times New Roman" w:hAnsi="Times New Roman" w:cs="Times New Roman"/>
          <w:bCs/>
          <w:kern w:val="0"/>
          <w:sz w:val="24"/>
          <w:lang w:val="en-US" w:eastAsia="zh-CN"/>
        </w:rPr>
        <w:t xml:space="preserve"> </w:t>
      </w:r>
      <w:r>
        <w:rPr>
          <w:rFonts w:ascii="Times New Roman" w:hAnsi="Times New Roman" w:cs="Times New Roman"/>
          <w:bCs/>
          <w:kern w:val="0"/>
          <w:sz w:val="24"/>
          <w:lang w:eastAsia="en-US"/>
        </w:rPr>
        <w:t>2</w:t>
      </w:r>
      <w:r>
        <w:rPr>
          <w:rFonts w:hint="eastAsia" w:ascii="Times New Roman" w:hAnsi="Times New Roman" w:eastAsia="宋体" w:cs="Times New Roman"/>
          <w:sz w:val="24"/>
          <w:szCs w:val="24"/>
          <w:lang w:val="en-GB"/>
        </w:rPr>
        <w:t>℃</w:t>
      </w:r>
      <w:r>
        <w:rPr>
          <w:rFonts w:ascii="Times New Roman" w:hAnsi="Times New Roman" w:cs="Times New Roman"/>
          <w:bCs/>
          <w:kern w:val="0"/>
          <w:sz w:val="24"/>
          <w:lang w:eastAsia="en-US"/>
        </w:rPr>
        <w:t>) and 200 rpm for 48 h. Samples were taken at intervals from 0 h to 48 h. The Pt(IV)</w:t>
      </w:r>
      <w:r>
        <w:rPr>
          <w:rFonts w:hint="eastAsia" w:ascii="Times New Roman" w:hAnsi="Times New Roman" w:cs="Times New Roman"/>
          <w:bCs/>
          <w:kern w:val="0"/>
          <w:sz w:val="24"/>
          <w:lang w:val="en-US" w:eastAsia="zh-CN"/>
        </w:rPr>
        <w:t xml:space="preserve"> </w:t>
      </w:r>
      <w:r>
        <w:rPr>
          <w:rFonts w:ascii="Times New Roman" w:hAnsi="Times New Roman" w:cs="Times New Roman"/>
          <w:bCs/>
          <w:kern w:val="0"/>
          <w:sz w:val="24"/>
          <w:lang w:eastAsia="en-US"/>
        </w:rPr>
        <w:t>concentration was measured by ICP, and the pseudo-first-order kinetic model and pseudo-second-order kinetic model were used for fitting the experimental data.</w:t>
      </w:r>
    </w:p>
    <w:p>
      <w:pPr>
        <w:adjustRightInd w:val="0"/>
        <w:snapToGrid w:val="0"/>
        <w:spacing w:line="480" w:lineRule="auto"/>
        <w:ind w:firstLine="480" w:firstLineChars="200"/>
        <w:rPr>
          <w:rFonts w:ascii="Times New Roman" w:hAnsi="Times New Roman" w:cs="Times New Roman"/>
          <w:sz w:val="24"/>
          <w:szCs w:val="24"/>
        </w:rPr>
      </w:pPr>
      <w:r>
        <w:rPr>
          <w:rFonts w:ascii="Times New Roman" w:hAnsi="Times New Roman" w:cs="Times New Roman"/>
          <w:sz w:val="24"/>
          <w:szCs w:val="24"/>
        </w:rPr>
        <w:t>Adsorption kinetics could be used to study the adsorption process and mechanism, and it is an important parameter for reactor design and parameter adjustment. In this study, pseudo-first order rate equation (PFORE, Eq. [6]) was mainly used to study the adsorption process controlled by physical action. Pseudo-second order rate equation (PSORE, Eq. [7]) was mainly used to study the adsorption process controlled by chemical adsorption. The resistance to the intraparticle diffusion equation (IPD, Eq. [8]) was mainly used to study the boundary layer adsorption process.</w:t>
      </w:r>
    </w:p>
    <w:p>
      <w:pPr>
        <w:spacing w:line="480" w:lineRule="auto"/>
        <w:ind w:firstLine="3120" w:firstLineChars="1300"/>
        <w:jc w:val="left"/>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 xml:space="preserve"> </w:t>
      </w:r>
      <m:oMath>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q</m:t>
            </m:r>
            <m:ctrlPr>
              <w:rPr>
                <w:rFonts w:ascii="Cambria Math" w:hAnsi="Cambria Math" w:cs="Times New Roman"/>
                <w:i/>
              </w:rPr>
            </m:ctrlPr>
          </m:e>
          <m:sub>
            <m:r>
              <m:rPr>
                <m:nor/>
                <m:sty m:val="p"/>
              </m:rPr>
              <w:rPr>
                <w:rFonts w:ascii="Cambria Math" w:hAnsi="Cambria Math" w:cs="Times New Roman"/>
                <w:b w:val="0"/>
                <w:i w:val="0"/>
              </w:rPr>
              <m:t xml:space="preserve">t </m:t>
            </m:r>
            <m:ctrlPr>
              <w:rPr>
                <w:rFonts w:ascii="Cambria Math" w:hAnsi="Cambria Math" w:cs="Times New Roman"/>
              </w:rPr>
            </m:ctrlPr>
          </m:sub>
        </m:sSub>
        <m:r>
          <m:rPr>
            <m:nor/>
            <m:sty m:val="p"/>
          </m:rPr>
          <w:rPr>
            <w:rFonts w:ascii="Cambria Math" w:hAnsi="Cambria Math" w:cs="Times New Roman"/>
            <w:b w:val="0"/>
            <w:i w:val="0"/>
          </w:rPr>
          <m:t xml:space="preserve">= </m:t>
        </m:r>
        <m:sSub>
          <m:sSubPr>
            <m:ctrlPr>
              <w:rPr>
                <w:rFonts w:ascii="Cambria Math" w:hAnsi="Cambria Math" w:cs="Times New Roman"/>
                <w:i/>
              </w:rPr>
            </m:ctrlPr>
          </m:sSubPr>
          <m:e>
            <m:r>
              <w:rPr>
                <w:rFonts w:ascii="Cambria Math" w:hAnsi="Cambria Math" w:cs="Times New Roman"/>
              </w:rPr>
              <m:t>q</m:t>
            </m:r>
            <m:ctrlPr>
              <w:rPr>
                <w:rFonts w:ascii="Cambria Math" w:hAnsi="Cambria Math" w:cs="Times New Roman"/>
                <w:i/>
              </w:rPr>
            </m:ctrlPr>
          </m:e>
          <m:sub>
            <m:r>
              <w:rPr>
                <w:rFonts w:ascii="Cambria Math" w:hAnsi="Cambria Math" w:cs="Times New Roman"/>
              </w:rPr>
              <m:t>e</m:t>
            </m:r>
            <m:ctrlPr>
              <w:rPr>
                <w:rFonts w:ascii="Cambria Math" w:hAnsi="Cambria Math" w:cs="Times New Roman"/>
                <w:i/>
              </w:rPr>
            </m:ctrlPr>
          </m:sub>
        </m:sSub>
        <m:r>
          <m:rPr>
            <m:sty m:val="p"/>
          </m:rPr>
          <w:rPr>
            <w:rFonts w:ascii="Cambria Math" w:hAnsi="Cambria Math" w:cs="Times New Roman"/>
          </w:rPr>
          <m:t>(</m:t>
        </m:r>
        <m:r>
          <w:rPr>
            <w:rFonts w:ascii="Cambria Math" w:hAnsi="Cambria Math" w:cs="Times New Roman"/>
          </w:rPr>
          <m:t>1</m:t>
        </m:r>
        <m:r>
          <m:rPr>
            <m:nor/>
            <m:sty m:val="p"/>
          </m:rPr>
          <w:rPr>
            <w:rFonts w:ascii="Cambria Math" w:hAnsi="Cambria Math" w:cs="Times New Roman"/>
            <w:b w:val="0"/>
            <w:i w:val="0"/>
          </w:rPr>
          <m:t xml:space="preserve"> - </m:t>
        </m:r>
        <m:sSup>
          <m:sSupPr>
            <m:ctrlPr>
              <w:rPr>
                <w:rFonts w:ascii="Cambria Math" w:hAnsi="Cambria Math" w:cs="Times New Roman"/>
              </w:rPr>
            </m:ctrlPr>
          </m:sSupPr>
          <m:e>
            <m:r>
              <m:rPr>
                <m:nor/>
                <m:sty m:val="p"/>
              </m:rPr>
              <w:rPr>
                <w:rFonts w:ascii="Cambria Math" w:hAnsi="Cambria Math" w:cs="Times New Roman"/>
                <w:b w:val="0"/>
                <w:i w:val="0"/>
              </w:rPr>
              <m:t>e</m:t>
            </m:r>
            <m:ctrlPr>
              <w:rPr>
                <w:rFonts w:ascii="Cambria Math" w:hAnsi="Cambria Math" w:cs="Times New Roman"/>
              </w:rPr>
            </m:ctrlP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rPr>
                </m:ctrlPr>
              </m:e>
              <m:sub>
                <m:r>
                  <w:rPr>
                    <w:rFonts w:ascii="Cambria Math" w:hAnsi="Cambria Math" w:cs="Times New Roman"/>
                  </w:rPr>
                  <m:t>1</m:t>
                </m:r>
                <m:ctrlPr>
                  <w:rPr>
                    <w:rFonts w:ascii="Cambria Math" w:hAnsi="Cambria Math" w:cs="Times New Roman"/>
                    <w:i/>
                  </w:rPr>
                </m:ctrlPr>
              </m:sub>
            </m:sSub>
            <m:r>
              <w:rPr>
                <w:rFonts w:ascii="Cambria Math" w:hAnsi="Cambria Math" w:cs="Times New Roman"/>
              </w:rPr>
              <m:t>t</m:t>
            </m:r>
            <m:ctrlPr>
              <w:rPr>
                <w:rFonts w:ascii="Cambria Math" w:hAnsi="Cambria Math" w:cs="Times New Roman"/>
                <w:i/>
              </w:rPr>
            </m:ctrlPr>
          </m:sup>
        </m:sSup>
        <m:r>
          <w:rPr>
            <w:rFonts w:ascii="Cambria Math" w:hAnsi="Cambria Math" w:cs="Times New Roman"/>
          </w:rPr>
          <m:t>)</m:t>
        </m:r>
      </m:oMath>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S3</w:t>
      </w:r>
      <w:r>
        <w:rPr>
          <w:rFonts w:ascii="Times New Roman" w:hAnsi="Times New Roman" w:cs="Times New Roman"/>
          <w:color w:val="000000" w:themeColor="text1"/>
          <w:sz w:val="24"/>
          <w14:textFill>
            <w14:solidFill>
              <w14:schemeClr w14:val="tx1"/>
            </w14:solidFill>
          </w14:textFill>
        </w:rPr>
        <w:t>)</w:t>
      </w:r>
    </w:p>
    <w:p>
      <w:pPr>
        <w:spacing w:line="480" w:lineRule="auto"/>
        <w:ind w:firstLine="480" w:firstLineChars="20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b/>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 xml:space="preserve"> </w:t>
      </w:r>
      <w:r>
        <w:rPr>
          <w:rFonts w:cs="Times New Roman"/>
          <w:position w:val="-30"/>
        </w:rPr>
        <w:object>
          <v:shape id="_x0000_i1026" o:spt="75" type="#_x0000_t75" style="height:36.45pt;width:67pt;" o:ole="t" filled="f" o:preferrelative="t" stroked="f" coordsize="21600,21600">
            <v:path/>
            <v:fill on="f" focussize="0,0"/>
            <v:stroke on="f" joinstyle="miter"/>
            <v:imagedata r:id="rId8" embosscolor="#FFFFFF" o:title=""/>
            <o:lock v:ext="edit" aspectratio="t"/>
            <w10:wrap type="none"/>
            <w10:anchorlock/>
          </v:shape>
          <o:OLEObject Type="Embed" ProgID="Equation.DSMT4" ShapeID="_x0000_i1026" DrawAspect="Content" ObjectID="_1468075726" r:id="rId7">
            <o:LockedField>false</o:LockedField>
          </o:OLEObject>
        </w:objec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S4</w:t>
      </w:r>
      <w:r>
        <w:rPr>
          <w:rFonts w:ascii="Times New Roman" w:hAnsi="Times New Roman" w:cs="Times New Roman"/>
          <w:color w:val="000000" w:themeColor="text1"/>
          <w:sz w:val="24"/>
          <w14:textFill>
            <w14:solidFill>
              <w14:schemeClr w14:val="tx1"/>
            </w14:solidFill>
          </w14:textFill>
        </w:rPr>
        <w:t>)</w:t>
      </w:r>
    </w:p>
    <w:p>
      <w:pPr>
        <w:spacing w:line="480" w:lineRule="auto"/>
        <w:ind w:firstLine="480" w:firstLineChars="20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 xml:space="preserve">             </w:t>
      </w:r>
      <w:r>
        <w:rPr>
          <w:rFonts w:cs="Times New Roman"/>
          <w:position w:val="-12"/>
        </w:rPr>
        <w:object>
          <v:shape id="_x0000_i1027" o:spt="75" type="#_x0000_t75" style="height:19.6pt;width:77pt;" o:ole="t" filled="f" o:preferrelative="t" stroked="f" coordsize="21600,21600">
            <v:path/>
            <v:fill on="f" focussize="0,0"/>
            <v:stroke on="f" joinstyle="miter"/>
            <v:imagedata r:id="rId10" embosscolor="#FFFFFF" o:title=""/>
            <o:lock v:ext="edit" aspectratio="t"/>
            <w10:wrap type="none"/>
            <w10:anchorlock/>
          </v:shape>
          <o:OLEObject Type="Embed" ProgID="Equation.DSMT4" ShapeID="_x0000_i1027" DrawAspect="Content" ObjectID="_1468075727" r:id="rId9">
            <o:LockedField>false</o:LockedField>
          </o:OLEObject>
        </w:objec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S5</w:t>
      </w:r>
      <w:r>
        <w:rPr>
          <w:rFonts w:ascii="Times New Roman" w:hAnsi="Times New Roman" w:cs="Times New Roman"/>
          <w:color w:val="000000" w:themeColor="text1"/>
          <w:sz w:val="24"/>
          <w14:textFill>
            <w14:solidFill>
              <w14:schemeClr w14:val="tx1"/>
            </w14:solidFill>
          </w14:textFill>
        </w:rPr>
        <w:t>)</w:t>
      </w:r>
    </w:p>
    <w:p>
      <w:pPr>
        <w:pStyle w:val="22"/>
        <w:shd w:val="clear" w:color="auto" w:fill="FCFDFE"/>
        <w:adjustRightInd w:val="0"/>
        <w:snapToGrid w:val="0"/>
        <w:spacing w:before="0" w:beforeAutospacing="0" w:after="0" w:afterAutospacing="0" w:line="480" w:lineRule="auto"/>
        <w:jc w:val="both"/>
        <w:rPr>
          <w:rFonts w:ascii="Times New Roman" w:hAnsi="Times New Roman" w:cs="Times New Roman"/>
          <w:bCs/>
          <w:kern w:val="0"/>
          <w:sz w:val="24"/>
          <w:lang w:eastAsia="en-US"/>
        </w:rPr>
      </w:pPr>
      <w:r>
        <w:rPr>
          <w:rFonts w:ascii="Times New Roman" w:hAnsi="Times New Roman" w:cs="Times New Roman" w:eastAsiaTheme="minorEastAsia"/>
          <w:kern w:val="2"/>
        </w:rPr>
        <w:t xml:space="preserve">where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k</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1</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PFORE constant (min</w:t>
      </w:r>
      <w:r>
        <w:rPr>
          <w:rFonts w:ascii="Times New Roman" w:hAnsi="Times New Roman" w:cs="Times New Roman" w:eastAsiaTheme="minorEastAsia"/>
          <w:kern w:val="2"/>
          <w:vertAlign w:val="superscript"/>
        </w:rPr>
        <w:t>−1</w:t>
      </w:r>
      <w:r>
        <w:rPr>
          <w:rFonts w:ascii="Times New Roman" w:hAnsi="Times New Roman" w:cs="Times New Roman" w:eastAsiaTheme="minorEastAsia"/>
          <w:kern w:val="2"/>
        </w:rPr>
        <w:t xml:space="preserve">),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k</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2</m:t>
            </m:r>
            <m:ctrlPr>
              <w:rPr>
                <w:rFonts w:ascii="Cambria Math" w:hAnsi="Cambria Math" w:cs="Times New Roman" w:eastAsiaTheme="minorEastAsia"/>
                <w:kern w:val="2"/>
              </w:rPr>
            </m:ctrlPr>
          </m:sub>
        </m:sSub>
        <m:r>
          <m:rPr>
            <m:sty m:val="p"/>
          </m:rPr>
          <w:rPr>
            <w:rFonts w:ascii="Cambria Math" w:hAnsi="Cambria Math" w:cs="Times New Roman" w:eastAsiaTheme="minorEastAsia"/>
            <w:kern w:val="2"/>
          </w:rPr>
          <m:t xml:space="preserve"> </m:t>
        </m:r>
      </m:oMath>
      <w:r>
        <w:rPr>
          <w:rFonts w:ascii="Times New Roman" w:hAnsi="Times New Roman" w:cs="Times New Roman" w:eastAsiaTheme="minorEastAsia"/>
          <w:kern w:val="2"/>
        </w:rPr>
        <w:t>is PSORE constant (g/mg·min),</w:t>
      </w:r>
      <m:oMath>
        <m:r>
          <m:rPr>
            <m:sty m:val="p"/>
          </m:rPr>
          <w:rPr>
            <w:rFonts w:ascii="Cambria Math" w:hAnsi="Cambria Math" w:cs="Times New Roman" w:eastAsiaTheme="minorEastAsia"/>
            <w:kern w:val="2"/>
          </w:rPr>
          <m:t xml:space="preserve"> </m:t>
        </m:r>
        <m:sSub>
          <m:sSubPr>
            <m:ctrlPr>
              <w:rPr>
                <w:rFonts w:ascii="Cambria Math" w:hAnsi="Cambria Math" w:cs="Times New Roman" w:eastAsiaTheme="minorEastAsia"/>
                <w:kern w:val="2"/>
              </w:rPr>
            </m:ctrlPr>
          </m:sSubPr>
          <m:e>
            <m:r>
              <w:rPr>
                <w:rFonts w:ascii="Cambria Math" w:hAnsi="Cambria Math" w:cs="Times New Roman" w:eastAsiaTheme="minorEastAsia"/>
                <w:kern w:val="2"/>
              </w:rPr>
              <m:t>k</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int</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IPD constant (min</w:t>
      </w:r>
      <w:r>
        <w:rPr>
          <w:rFonts w:ascii="Times New Roman" w:hAnsi="Times New Roman" w:cs="Times New Roman" w:eastAsiaTheme="minorEastAsia"/>
          <w:kern w:val="2"/>
          <w:vertAlign w:val="superscript"/>
        </w:rPr>
        <w:t>−1</w:t>
      </w:r>
      <w:r>
        <w:rPr>
          <w:rFonts w:ascii="Times New Roman" w:hAnsi="Times New Roman" w:cs="Times New Roman" w:eastAsiaTheme="minorEastAsia"/>
          <w:kern w:val="2"/>
        </w:rPr>
        <w:t xml:space="preserve">),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q</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e</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the equilibrium</w:t>
      </w:r>
      <w:r>
        <w:rPr>
          <w:rFonts w:hint="eastAsia" w:ascii="Times New Roman" w:hAnsi="Times New Roman" w:cs="Times New Roman" w:eastAsiaTheme="minorEastAsia"/>
          <w:kern w:val="2"/>
          <w:lang w:val="en-US" w:eastAsia="zh-CN"/>
        </w:rPr>
        <w:t xml:space="preserve"> ad</w:t>
      </w:r>
      <w:r>
        <w:rPr>
          <w:rFonts w:ascii="Times New Roman" w:hAnsi="Times New Roman" w:cs="Times New Roman" w:eastAsiaTheme="minorEastAsia"/>
          <w:kern w:val="2"/>
        </w:rPr>
        <w:t xml:space="preserve">sorption capacity (mg/g), </w:t>
      </w:r>
      <m:oMath>
        <m:sSub>
          <m:sSubPr>
            <m:ctrlPr>
              <w:rPr>
                <w:rFonts w:ascii="Cambria Math" w:hAnsi="Cambria Math" w:cs="Times New Roman" w:eastAsiaTheme="minorEastAsia"/>
                <w:kern w:val="2"/>
              </w:rPr>
            </m:ctrlPr>
          </m:sSubPr>
          <m:e>
            <m:r>
              <w:rPr>
                <w:rFonts w:ascii="Cambria Math" w:hAnsi="Cambria Math" w:cs="Times New Roman" w:eastAsiaTheme="minorEastAsia"/>
                <w:kern w:val="2"/>
              </w:rPr>
              <m:t>q</m:t>
            </m:r>
            <m:ctrlPr>
              <w:rPr>
                <w:rFonts w:ascii="Cambria Math" w:hAnsi="Cambria Math" w:cs="Times New Roman" w:eastAsiaTheme="minorEastAsia"/>
                <w:kern w:val="2"/>
              </w:rPr>
            </m:ctrlPr>
          </m:e>
          <m:sub>
            <m:r>
              <m:rPr>
                <m:sty m:val="p"/>
              </m:rPr>
              <w:rPr>
                <w:rFonts w:ascii="Cambria Math" w:hAnsi="Cambria Math" w:cs="Times New Roman" w:eastAsiaTheme="minorEastAsia"/>
                <w:kern w:val="2"/>
              </w:rPr>
              <m:t>t</m:t>
            </m:r>
            <m:ctrlPr>
              <w:rPr>
                <w:rFonts w:ascii="Cambria Math" w:hAnsi="Cambria Math" w:cs="Times New Roman" w:eastAsiaTheme="minorEastAsia"/>
                <w:kern w:val="2"/>
              </w:rPr>
            </m:ctrlPr>
          </m:sub>
        </m:sSub>
      </m:oMath>
      <w:r>
        <w:rPr>
          <w:rFonts w:ascii="Times New Roman" w:hAnsi="Times New Roman" w:cs="Times New Roman" w:eastAsiaTheme="minorEastAsia"/>
          <w:kern w:val="2"/>
        </w:rPr>
        <w:t xml:space="preserve"> is the </w:t>
      </w:r>
      <w:r>
        <w:rPr>
          <w:rFonts w:hint="eastAsia" w:ascii="Times New Roman" w:hAnsi="Times New Roman" w:cs="Times New Roman" w:eastAsiaTheme="minorEastAsia"/>
          <w:kern w:val="2"/>
          <w:lang w:val="en-US" w:eastAsia="zh-CN"/>
        </w:rPr>
        <w:t>ad</w:t>
      </w:r>
      <w:r>
        <w:rPr>
          <w:rFonts w:ascii="Times New Roman" w:hAnsi="Times New Roman" w:cs="Times New Roman" w:eastAsiaTheme="minorEastAsia"/>
          <w:kern w:val="2"/>
        </w:rPr>
        <w:t>sorption capacity</w:t>
      </w:r>
      <w:r>
        <w:rPr>
          <w:rFonts w:hint="eastAsia" w:ascii="Times New Roman" w:hAnsi="Times New Roman" w:cs="Times New Roman" w:eastAsiaTheme="minorEastAsia"/>
          <w:kern w:val="2"/>
          <w:lang w:val="en-US" w:eastAsia="zh-CN"/>
        </w:rPr>
        <w:t xml:space="preserve"> </w:t>
      </w:r>
      <w:r>
        <w:rPr>
          <w:rFonts w:ascii="Times New Roman" w:hAnsi="Times New Roman" w:cs="Times New Roman" w:eastAsiaTheme="minorEastAsia"/>
          <w:kern w:val="2"/>
        </w:rPr>
        <w:t xml:space="preserve">at time t, </w:t>
      </w:r>
      <m:oMath>
        <m:r>
          <w:rPr>
            <w:rFonts w:ascii="Cambria Math" w:hAnsi="Cambria Math" w:cs="Times New Roman" w:eastAsiaTheme="minorEastAsia"/>
            <w:kern w:val="2"/>
          </w:rPr>
          <m:t>C</m:t>
        </m:r>
      </m:oMath>
      <w:r>
        <w:rPr>
          <w:rFonts w:ascii="Times New Roman" w:hAnsi="Times New Roman" w:cs="Times New Roman" w:eastAsiaTheme="minorEastAsia"/>
          <w:kern w:val="2"/>
        </w:rPr>
        <w:t xml:space="preserve"> is the constant related to the boundary layer.</w:t>
      </w:r>
    </w:p>
    <w:p>
      <w:pPr>
        <w:widowControl/>
        <w:shd w:val="clear" w:color="auto" w:fill="FCFDFE"/>
        <w:adjustRightInd w:val="0"/>
        <w:snapToGrid w:val="0"/>
        <w:spacing w:line="480" w:lineRule="auto"/>
        <w:rPr>
          <w:rFonts w:ascii="Times New Roman" w:hAnsi="Times New Roman" w:cs="Times New Roman"/>
          <w:bCs/>
          <w:kern w:val="0"/>
          <w:sz w:val="24"/>
          <w:lang w:eastAsia="en-US"/>
        </w:rPr>
      </w:pPr>
      <w:r>
        <w:rPr>
          <w:rFonts w:ascii="Times New Roman" w:hAnsi="Times New Roman" w:cs="Times New Roman"/>
          <w:bCs/>
          <w:kern w:val="0"/>
          <w:sz w:val="24"/>
          <w:lang w:eastAsia="en-US"/>
        </w:rPr>
        <w:t>2.4.</w:t>
      </w:r>
      <w:r>
        <w:rPr>
          <w:rFonts w:hint="eastAsia" w:ascii="Times New Roman" w:hAnsi="Times New Roman" w:cs="Times New Roman"/>
          <w:bCs/>
          <w:kern w:val="0"/>
          <w:sz w:val="24"/>
          <w:lang w:val="en-US" w:eastAsia="zh-CN"/>
        </w:rPr>
        <w:t>3</w:t>
      </w:r>
      <w:r>
        <w:rPr>
          <w:rFonts w:ascii="Times New Roman" w:hAnsi="Times New Roman" w:cs="Times New Roman"/>
          <w:bCs/>
          <w:kern w:val="0"/>
          <w:sz w:val="24"/>
        </w:rPr>
        <w:t>.</w:t>
      </w:r>
      <w:r>
        <w:rPr>
          <w:rFonts w:ascii="Times New Roman" w:hAnsi="Times New Roman" w:cs="Times New Roman"/>
          <w:bCs/>
          <w:kern w:val="0"/>
          <w:sz w:val="24"/>
          <w:lang w:eastAsia="en-US"/>
        </w:rPr>
        <w:t xml:space="preserve"> Sequential batch adsorption and continuous adsorption</w:t>
      </w:r>
    </w:p>
    <w:p>
      <w:pPr>
        <w:widowControl/>
        <w:shd w:val="clear" w:color="auto" w:fill="FCFDFE"/>
        <w:adjustRightInd w:val="0"/>
        <w:snapToGrid w:val="0"/>
        <w:spacing w:line="480" w:lineRule="auto"/>
        <w:ind w:firstLine="480" w:firstLineChars="200"/>
        <w:rPr>
          <w:rFonts w:ascii="Times New Roman" w:hAnsi="Times New Roman" w:cs="Times New Roman"/>
          <w:bCs/>
          <w:kern w:val="0"/>
          <w:sz w:val="24"/>
        </w:rPr>
      </w:pPr>
      <w:r>
        <w:rPr>
          <w:rFonts w:ascii="Times New Roman" w:hAnsi="Times New Roman" w:cs="Times New Roman"/>
          <w:bCs/>
          <w:kern w:val="0"/>
          <w:sz w:val="24"/>
          <w:lang w:eastAsia="en-US"/>
        </w:rPr>
        <w:t xml:space="preserve"> (1) Sequential batch adsorption at different vibration velocities:</w:t>
      </w:r>
      <w:r>
        <w:rPr>
          <w:rFonts w:ascii="Times New Roman" w:hAnsi="Times New Roman" w:cs="Times New Roman"/>
          <w:bCs/>
          <w:kern w:val="0"/>
          <w:sz w:val="24"/>
        </w:rPr>
        <w:t xml:space="preserve"> </w:t>
      </w:r>
      <w:r>
        <w:rPr>
          <w:rFonts w:ascii="Times New Roman" w:hAnsi="Times New Roman" w:cs="Times New Roman"/>
          <w:bCs/>
          <w:kern w:val="0"/>
          <w:sz w:val="24"/>
          <w:lang w:eastAsia="en-US"/>
        </w:rPr>
        <w:t xml:space="preserve">Three parts of ML/ACPG sponges (150 mg) were weighed and subjected to oscillatory reaction at 100, 200, and 250 rpm for 48 h under the same solution properties </w:t>
      </w:r>
      <w:r>
        <w:rPr>
          <w:rFonts w:hint="eastAsia" w:ascii="Times New Roman" w:hAnsi="Times New Roman" w:cs="Times New Roman"/>
          <w:bCs/>
          <w:kern w:val="0"/>
          <w:sz w:val="24"/>
          <w:lang w:val="en-US" w:eastAsia="zh-CN"/>
        </w:rPr>
        <w:t>(</w:t>
      </w:r>
      <w:r>
        <w:rPr>
          <w:rFonts w:ascii="Times New Roman" w:hAnsi="Times New Roman" w:cs="Times New Roman"/>
          <w:bCs/>
          <w:kern w:val="0"/>
          <w:sz w:val="24"/>
          <w:lang w:eastAsia="en-US"/>
        </w:rPr>
        <w:t xml:space="preserve">pH </w:t>
      </w:r>
      <w:r>
        <w:rPr>
          <w:rFonts w:hint="eastAsia" w:ascii="Times New Roman" w:hAnsi="Times New Roman" w:cs="Times New Roman"/>
          <w:bCs/>
          <w:kern w:val="0"/>
          <w:sz w:val="24"/>
          <w:lang w:val="en-US" w:eastAsia="zh-CN"/>
        </w:rPr>
        <w:t xml:space="preserve">of </w:t>
      </w:r>
      <w:r>
        <w:rPr>
          <w:rFonts w:ascii="Times New Roman" w:hAnsi="Times New Roman" w:cs="Times New Roman"/>
          <w:bCs/>
          <w:kern w:val="0"/>
          <w:sz w:val="24"/>
          <w:lang w:eastAsia="en-US"/>
        </w:rPr>
        <w:t>1 and Pt(IV) concentration of 25 mg/L</w:t>
      </w:r>
      <w:r>
        <w:rPr>
          <w:rFonts w:hint="eastAsia" w:ascii="Times New Roman" w:hAnsi="Times New Roman" w:cs="Times New Roman"/>
          <w:bCs/>
          <w:kern w:val="0"/>
          <w:sz w:val="24"/>
          <w:lang w:val="en-US" w:eastAsia="zh-CN"/>
        </w:rPr>
        <w:t>)</w:t>
      </w:r>
      <w:r>
        <w:rPr>
          <w:rFonts w:ascii="Times New Roman" w:hAnsi="Times New Roman" w:cs="Times New Roman"/>
          <w:bCs/>
          <w:kern w:val="0"/>
          <w:sz w:val="24"/>
          <w:lang w:eastAsia="en-US"/>
        </w:rPr>
        <w:t>. Samples were taken at intervals of 0–48 h. The concentration of Pt(IV) in the sample was detected by ICP after the sample was filtered through 0.22 μm membrane.</w:t>
      </w:r>
    </w:p>
    <w:p>
      <w:pPr>
        <w:widowControl/>
        <w:shd w:val="clear" w:color="auto" w:fill="FCFDFE"/>
        <w:adjustRightInd w:val="0"/>
        <w:snapToGrid w:val="0"/>
        <w:spacing w:line="480" w:lineRule="auto"/>
        <w:ind w:firstLine="480" w:firstLineChars="200"/>
        <w:rPr>
          <w:rFonts w:ascii="Times New Roman" w:hAnsi="Times New Roman" w:cs="Times New Roman"/>
          <w:bCs/>
          <w:kern w:val="0"/>
          <w:sz w:val="24"/>
        </w:rPr>
      </w:pPr>
      <w:r>
        <w:rPr>
          <w:rFonts w:ascii="Times New Roman" w:hAnsi="Times New Roman" w:cs="Times New Roman"/>
          <w:bCs/>
          <w:kern w:val="0"/>
          <w:sz w:val="24"/>
          <w:lang w:eastAsia="en-US"/>
        </w:rPr>
        <w:t xml:space="preserve"> (2) Continuous adsorption at different flow rates:</w:t>
      </w:r>
      <w:r>
        <w:rPr>
          <w:rFonts w:ascii="Times New Roman" w:hAnsi="Times New Roman" w:cs="Times New Roman"/>
          <w:bCs/>
          <w:kern w:val="0"/>
          <w:sz w:val="24"/>
        </w:rPr>
        <w:t xml:space="preserve"> </w:t>
      </w:r>
      <w:r>
        <w:rPr>
          <w:rFonts w:ascii="Times New Roman" w:hAnsi="Times New Roman" w:cs="Times New Roman"/>
          <w:bCs/>
          <w:kern w:val="0"/>
          <w:sz w:val="24"/>
          <w:lang w:eastAsia="en-US"/>
        </w:rPr>
        <w:t xml:space="preserve">Three parts of ML/ACPG sponges (150 mg) were weighed and adsorbed at flow rates of 2, 10, and 20 mL/min under the same solution properties </w:t>
      </w:r>
      <w:r>
        <w:rPr>
          <w:rFonts w:hint="eastAsia" w:ascii="Times New Roman" w:hAnsi="Times New Roman" w:cs="Times New Roman"/>
          <w:bCs/>
          <w:kern w:val="0"/>
          <w:sz w:val="24"/>
          <w:lang w:val="en-US" w:eastAsia="zh-CN"/>
        </w:rPr>
        <w:t>(</w:t>
      </w:r>
      <w:r>
        <w:rPr>
          <w:rFonts w:ascii="Times New Roman" w:hAnsi="Times New Roman" w:cs="Times New Roman"/>
          <w:bCs/>
          <w:kern w:val="0"/>
          <w:sz w:val="24"/>
          <w:lang w:eastAsia="en-US"/>
        </w:rPr>
        <w:t xml:space="preserve">pH </w:t>
      </w:r>
      <w:r>
        <w:rPr>
          <w:rFonts w:hint="eastAsia" w:ascii="Times New Roman" w:hAnsi="Times New Roman" w:cs="Times New Roman"/>
          <w:bCs/>
          <w:kern w:val="0"/>
          <w:sz w:val="24"/>
          <w:lang w:val="en-US" w:eastAsia="zh-CN"/>
        </w:rPr>
        <w:t xml:space="preserve">of </w:t>
      </w:r>
      <w:r>
        <w:rPr>
          <w:rFonts w:ascii="Times New Roman" w:hAnsi="Times New Roman" w:cs="Times New Roman"/>
          <w:bCs/>
          <w:kern w:val="0"/>
          <w:sz w:val="24"/>
          <w:lang w:eastAsia="en-US"/>
        </w:rPr>
        <w:t>1 and Pt(IV) concentration of 25 mg/L</w:t>
      </w:r>
      <w:r>
        <w:rPr>
          <w:rFonts w:hint="eastAsia" w:ascii="Times New Roman" w:hAnsi="Times New Roman" w:cs="Times New Roman"/>
          <w:bCs/>
          <w:kern w:val="0"/>
          <w:sz w:val="24"/>
          <w:lang w:val="en-US" w:eastAsia="zh-CN"/>
        </w:rPr>
        <w:t>)</w:t>
      </w:r>
      <w:r>
        <w:rPr>
          <w:rFonts w:ascii="Times New Roman" w:hAnsi="Times New Roman" w:cs="Times New Roman"/>
          <w:bCs/>
          <w:kern w:val="0"/>
          <w:sz w:val="24"/>
          <w:lang w:eastAsia="en-US"/>
        </w:rPr>
        <w:t xml:space="preserve">. </w:t>
      </w:r>
      <w:r>
        <w:rPr>
          <w:rFonts w:hint="eastAsia" w:ascii="Times New Roman" w:hAnsi="Times New Roman" w:cs="Times New Roman"/>
          <w:bCs/>
          <w:kern w:val="0"/>
          <w:sz w:val="24"/>
          <w:lang w:val="en-US" w:eastAsia="zh-CN"/>
        </w:rPr>
        <w:t>T</w:t>
      </w:r>
      <w:r>
        <w:rPr>
          <w:rFonts w:ascii="Times New Roman" w:hAnsi="Times New Roman" w:cs="Times New Roman"/>
          <w:bCs/>
          <w:kern w:val="0"/>
          <w:sz w:val="24"/>
          <w:lang w:eastAsia="en-US"/>
        </w:rPr>
        <w:t>he Pt(IV) concentration was detected by ICP after the sample was filtered through 0.22μm membrane.</w:t>
      </w:r>
    </w:p>
    <w:p>
      <w:pPr>
        <w:pStyle w:val="15"/>
        <w:adjustRightInd w:val="0"/>
        <w:snapToGrid w:val="0"/>
        <w:ind w:firstLine="0"/>
        <w:rPr>
          <w:rFonts w:ascii="Times New Roman" w:hAnsi="Times New Roman" w:cs="Times New Roman"/>
          <w:bCs/>
          <w:i/>
          <w:lang w:eastAsia="zh-CN"/>
        </w:rPr>
      </w:pPr>
      <w:r>
        <w:rPr>
          <w:rFonts w:ascii="Times New Roman" w:hAnsi="Times New Roman" w:cs="Times New Roman"/>
          <w:bCs/>
          <w:i/>
          <w:lang w:eastAsia="zh-CN"/>
        </w:rPr>
        <w:t xml:space="preserve">2.5. </w:t>
      </w:r>
      <w:r>
        <w:rPr>
          <w:rFonts w:ascii="Times New Roman" w:hAnsi="Times New Roman" w:cs="Times New Roman"/>
          <w:bCs/>
          <w:i/>
        </w:rPr>
        <w:t>Desorption experiments of ML/ACPG sponges</w:t>
      </w:r>
    </w:p>
    <w:p>
      <w:pPr>
        <w:widowControl/>
        <w:shd w:val="clear" w:color="auto" w:fill="FCFDFE"/>
        <w:adjustRightInd w:val="0"/>
        <w:snapToGrid w:val="0"/>
        <w:spacing w:line="480" w:lineRule="auto"/>
        <w:ind w:firstLine="480" w:firstLineChars="200"/>
        <w:rPr>
          <w:rFonts w:ascii="Times New Roman" w:hAnsi="Times New Roman" w:cs="Times New Roman"/>
          <w:bCs/>
          <w:kern w:val="0"/>
          <w:sz w:val="24"/>
        </w:rPr>
      </w:pPr>
      <w:r>
        <w:rPr>
          <w:rFonts w:ascii="Times New Roman" w:hAnsi="Times New Roman" w:cs="Times New Roman"/>
          <w:bCs/>
          <w:kern w:val="0"/>
          <w:sz w:val="24"/>
          <w:lang w:eastAsia="en-US"/>
        </w:rPr>
        <w:t xml:space="preserve"> (1) The effect of different desorption reagents: After adsorption, the Pt(IV)-loaded </w:t>
      </w:r>
      <w:r>
        <w:rPr>
          <w:rFonts w:hint="default" w:ascii="Times New Roman" w:hAnsi="Times New Roman" w:cs="Times New Roman"/>
          <w:bCs/>
          <w:kern w:val="0"/>
          <w:sz w:val="24"/>
          <w:lang w:eastAsia="en-US"/>
        </w:rPr>
        <w:t>ML/ACPG sponge</w:t>
      </w:r>
      <w:r>
        <w:rPr>
          <w:rFonts w:ascii="Times New Roman" w:hAnsi="Times New Roman" w:cs="Times New Roman"/>
          <w:bCs/>
          <w:kern w:val="0"/>
          <w:sz w:val="24"/>
          <w:lang w:eastAsia="en-US"/>
        </w:rPr>
        <w:t xml:space="preserve"> was placed into a beaker containing 250 mL of different desorption agents, and the shaking speed was 200 rpm for 2 h at room temperature (25 ± 2 °C). The desorption solution was diluted with deionized water, then the concentration of Pt(IV) was detected by ICP.</w:t>
      </w:r>
    </w:p>
    <w:p>
      <w:pPr>
        <w:widowControl/>
        <w:shd w:val="clear" w:color="auto" w:fill="FCFDFE"/>
        <w:adjustRightInd w:val="0"/>
        <w:snapToGrid w:val="0"/>
        <w:spacing w:line="480" w:lineRule="auto"/>
        <w:ind w:firstLine="480" w:firstLineChars="200"/>
        <w:rPr>
          <w:rFonts w:ascii="Times New Roman" w:hAnsi="Times New Roman" w:cs="Times New Roman"/>
          <w:sz w:val="24"/>
          <w:szCs w:val="24"/>
        </w:rPr>
      </w:pPr>
      <w:r>
        <w:rPr>
          <w:rFonts w:ascii="Times New Roman" w:hAnsi="Times New Roman" w:cs="Times New Roman"/>
          <w:bCs/>
          <w:kern w:val="0"/>
          <w:sz w:val="24"/>
          <w:lang w:eastAsia="en-US"/>
        </w:rPr>
        <w:t xml:space="preserve">(2) The effect of volumes of desorption solution (sequential batch): After adsorption, the Pt(IV)-loaded </w:t>
      </w:r>
      <w:r>
        <w:rPr>
          <w:rFonts w:hint="default" w:ascii="Times New Roman" w:hAnsi="Times New Roman" w:cs="Times New Roman"/>
          <w:bCs/>
          <w:kern w:val="0"/>
          <w:sz w:val="24"/>
          <w:lang w:eastAsia="en-US"/>
        </w:rPr>
        <w:t>ML/ACPG sponge</w:t>
      </w:r>
      <w:r>
        <w:rPr>
          <w:rFonts w:ascii="Times New Roman" w:hAnsi="Times New Roman" w:cs="Times New Roman"/>
          <w:bCs/>
          <w:kern w:val="0"/>
          <w:sz w:val="24"/>
          <w:lang w:eastAsia="en-US"/>
        </w:rPr>
        <w:t xml:space="preserve"> was placed into a beaker containing 100, 250, and 500 mL of three different volumes of desorption agents, and the shaking speed was 200 rpm for 2 h at room temperature (25 ± 2 °C). The desorption solution was diluted with deionized water, and then the concentration of Pt(IV) was detected by ICP.</w:t>
      </w:r>
    </w:p>
    <w:p>
      <w:pPr>
        <w:widowControl/>
        <w:shd w:val="clear" w:color="auto" w:fill="FCFDFE"/>
        <w:adjustRightInd w:val="0"/>
        <w:snapToGrid w:val="0"/>
        <w:spacing w:line="480" w:lineRule="auto"/>
        <w:ind w:firstLine="480" w:firstLineChars="200"/>
        <w:rPr>
          <w:rFonts w:ascii="Times New Roman" w:hAnsi="Times New Roman" w:cs="Times New Roman"/>
          <w:bCs/>
          <w:kern w:val="0"/>
          <w:sz w:val="24"/>
          <w:lang w:eastAsia="en-US"/>
        </w:rPr>
      </w:pPr>
      <w:r>
        <w:rPr>
          <w:rFonts w:hint="eastAsia" w:ascii="Times New Roman" w:hAnsi="Times New Roman" w:cs="Times New Roman"/>
          <w:bCs/>
          <w:kern w:val="0"/>
          <w:sz w:val="24"/>
          <w:lang w:eastAsia="en-US"/>
        </w:rPr>
        <w:t>(3) Desorption effect at different flow rates</w:t>
      </w:r>
      <w:r>
        <w:rPr>
          <w:rFonts w:hint="eastAsia" w:ascii="Times New Roman" w:hAnsi="Times New Roman" w:cs="Times New Roman"/>
          <w:bCs/>
          <w:kern w:val="0"/>
          <w:sz w:val="24"/>
          <w:lang w:val="en-US" w:eastAsia="zh-CN"/>
        </w:rPr>
        <w:t xml:space="preserve"> </w:t>
      </w:r>
      <w:r>
        <w:rPr>
          <w:rFonts w:hint="eastAsia" w:ascii="Times New Roman" w:hAnsi="Times New Roman" w:cs="Times New Roman"/>
          <w:bCs/>
          <w:kern w:val="0"/>
          <w:sz w:val="24"/>
          <w:lang w:eastAsia="en-US"/>
        </w:rPr>
        <w:t xml:space="preserve">(continuous): The balanced adsorbent was desorbed with 120 mL of desorption agent at the flow rate of 1, 2 and 10 mL/min, respectively. The desorption solution was diluted with deionized water, </w:t>
      </w:r>
      <w:r>
        <w:rPr>
          <w:rFonts w:ascii="Times New Roman" w:hAnsi="Times New Roman" w:cs="Times New Roman"/>
          <w:bCs/>
          <w:kern w:val="0"/>
          <w:sz w:val="24"/>
          <w:lang w:eastAsia="en-US"/>
        </w:rPr>
        <w:t>then the concentration of Pt(IV) was detected by ICP</w:t>
      </w:r>
      <w:r>
        <w:rPr>
          <w:rFonts w:hint="eastAsia" w:ascii="Times New Roman" w:hAnsi="Times New Roman" w:cs="Times New Roman"/>
          <w:bCs/>
          <w:kern w:val="0"/>
          <w:sz w:val="24"/>
          <w:lang w:eastAsia="en-US"/>
        </w:rPr>
        <w:t>.</w:t>
      </w:r>
    </w:p>
    <w:p>
      <w:pPr>
        <w:pStyle w:val="15"/>
        <w:numPr>
          <w:ilvl w:val="0"/>
          <w:numId w:val="1"/>
        </w:numPr>
        <w:adjustRightInd w:val="0"/>
        <w:snapToGrid w:val="0"/>
        <w:ind w:left="0" w:firstLine="0"/>
        <w:rPr>
          <w:rFonts w:ascii="Times New Roman" w:hAnsi="Times New Roman" w:cs="Times New Roman"/>
          <w:b/>
          <w:bCs/>
          <w:szCs w:val="24"/>
          <w:lang w:eastAsia="zh-CN"/>
        </w:rPr>
      </w:pPr>
      <w:r>
        <w:rPr>
          <w:rFonts w:ascii="Times New Roman" w:hAnsi="Times New Roman" w:cs="Times New Roman"/>
          <w:b/>
          <w:bCs/>
          <w:szCs w:val="24"/>
          <w:lang w:eastAsia="zh-CN"/>
        </w:rPr>
        <w:t>Results and discussion</w:t>
      </w:r>
    </w:p>
    <w:p>
      <w:pPr>
        <w:pStyle w:val="15"/>
        <w:numPr>
          <w:ilvl w:val="1"/>
          <w:numId w:val="2"/>
        </w:numPr>
        <w:adjustRightInd w:val="0"/>
        <w:snapToGrid w:val="0"/>
        <w:spacing w:line="360" w:lineRule="auto"/>
        <w:rPr>
          <w:rFonts w:ascii="Times New Roman" w:hAnsi="Times New Roman" w:cs="Times New Roman"/>
          <w:i/>
        </w:rPr>
      </w:pPr>
      <w:bookmarkStart w:id="2" w:name="OLE_LINK93"/>
      <w:bookmarkStart w:id="3" w:name="OLE_LINK94"/>
      <w:r>
        <w:rPr>
          <w:rFonts w:hint="eastAsia" w:ascii="Times New Roman" w:hAnsi="Times New Roman" w:cs="Times New Roman"/>
          <w:bCs/>
          <w:i/>
          <w:lang w:eastAsia="zh-CN"/>
        </w:rPr>
        <w:t>Adsorption performance of Pt(IV)</w:t>
      </w:r>
      <w:bookmarkEnd w:id="2"/>
      <w:bookmarkEnd w:id="3"/>
    </w:p>
    <w:p>
      <w:pPr>
        <w:pStyle w:val="17"/>
        <w:adjustRightInd w:val="0"/>
        <w:snapToGrid w:val="0"/>
        <w:spacing w:before="156" w:beforeLines="50" w:line="360" w:lineRule="auto"/>
        <w:jc w:val="both"/>
        <w:rPr>
          <w:rFonts w:ascii="Times New Roman" w:hAnsi="Times New Roman" w:cs="Times New Roman"/>
          <w:sz w:val="24"/>
          <w:szCs w:val="24"/>
        </w:rPr>
      </w:pPr>
      <w:r>
        <w:rPr>
          <w:rFonts w:hint="eastAsia" w:ascii="Times New Roman" w:hAnsi="Times New Roman" w:cs="Times New Roman"/>
          <w:sz w:val="24"/>
          <w:szCs w:val="24"/>
          <w:lang w:val="en-GB"/>
        </w:rPr>
        <w:t>3.2.5 Effect of sequential batch and continuous adsorption on Pt(IV)</w:t>
      </w:r>
    </w:p>
    <w:p>
      <w:pPr>
        <w:pStyle w:val="17"/>
        <w:jc w:val="center"/>
        <w:rPr>
          <w:rFonts w:ascii="Times New Roman" w:hAnsi="Times New Roman" w:cs="Times New Roman"/>
        </w:rPr>
      </w:pPr>
      <w:r>
        <w:rPr>
          <w:rFonts w:ascii="Times New Roman" w:hAnsi="Times New Roman" w:cs="Times New Roman"/>
        </w:rPr>
        <w:t>Table S2 Kinetic model parameters of Pt adsorption at different vibration speeds.</w:t>
      </w:r>
    </w:p>
    <w:tbl>
      <w:tblPr>
        <w:tblStyle w:val="6"/>
        <w:tblW w:w="8062"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6"/>
        <w:gridCol w:w="1706"/>
        <w:gridCol w:w="1514"/>
        <w:gridCol w:w="1428"/>
        <w:gridCol w:w="14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tcBorders>
              <w:top w:val="single" w:color="auto" w:sz="12" w:space="0"/>
              <w:bottom w:val="single" w:color="auto" w:sz="4" w:space="0"/>
            </w:tcBorders>
            <w:shd w:val="clear" w:color="auto" w:fill="auto"/>
            <w:noWrap/>
            <w:vAlign w:val="bottom"/>
          </w:tcPr>
          <w:p>
            <w:pPr>
              <w:pStyle w:val="19"/>
              <w:rPr>
                <w:rFonts w:cs="Times New Roman"/>
                <w:sz w:val="21"/>
                <w:szCs w:val="21"/>
              </w:rPr>
            </w:pPr>
            <w:r>
              <w:rPr>
                <w:rStyle w:val="16"/>
                <w:rFonts w:eastAsia="微软雅黑" w:cs="Times New Roman"/>
                <w:sz w:val="21"/>
                <w:szCs w:val="21"/>
              </w:rPr>
              <w:t>Model</w:t>
            </w:r>
          </w:p>
        </w:tc>
        <w:tc>
          <w:tcPr>
            <w:tcW w:w="1706" w:type="dxa"/>
            <w:tcBorders>
              <w:top w:val="single" w:color="auto" w:sz="12" w:space="0"/>
              <w:bottom w:val="single" w:color="auto" w:sz="4" w:space="0"/>
            </w:tcBorders>
            <w:shd w:val="clear" w:color="auto" w:fill="auto"/>
            <w:noWrap/>
            <w:vAlign w:val="bottom"/>
          </w:tcPr>
          <w:p>
            <w:pPr>
              <w:pStyle w:val="19"/>
              <w:rPr>
                <w:rFonts w:cs="Times New Roman"/>
                <w:sz w:val="21"/>
                <w:szCs w:val="21"/>
              </w:rPr>
            </w:pPr>
            <w:r>
              <w:rPr>
                <w:rFonts w:cs="Times New Roman"/>
                <w:sz w:val="21"/>
                <w:szCs w:val="21"/>
              </w:rPr>
              <w:t>Unit</w:t>
            </w:r>
          </w:p>
        </w:tc>
        <w:tc>
          <w:tcPr>
            <w:tcW w:w="1514" w:type="dxa"/>
            <w:tcBorders>
              <w:top w:val="single" w:color="auto" w:sz="12" w:space="0"/>
              <w:bottom w:val="single" w:color="auto" w:sz="4" w:space="0"/>
            </w:tcBorders>
            <w:shd w:val="clear" w:color="auto" w:fill="auto"/>
            <w:noWrap/>
            <w:vAlign w:val="bottom"/>
          </w:tcPr>
          <w:p>
            <w:pPr>
              <w:pStyle w:val="19"/>
              <w:rPr>
                <w:rFonts w:cs="Times New Roman"/>
                <w:sz w:val="21"/>
                <w:szCs w:val="21"/>
              </w:rPr>
            </w:pPr>
            <w:r>
              <w:rPr>
                <w:rFonts w:cs="Times New Roman"/>
                <w:sz w:val="21"/>
                <w:szCs w:val="21"/>
              </w:rPr>
              <w:t>100 rpm</w:t>
            </w:r>
          </w:p>
        </w:tc>
        <w:tc>
          <w:tcPr>
            <w:tcW w:w="1428" w:type="dxa"/>
            <w:tcBorders>
              <w:top w:val="single" w:color="auto" w:sz="12" w:space="0"/>
              <w:bottom w:val="single" w:color="auto" w:sz="4" w:space="0"/>
            </w:tcBorders>
            <w:shd w:val="clear" w:color="auto" w:fill="auto"/>
            <w:noWrap/>
            <w:vAlign w:val="bottom"/>
          </w:tcPr>
          <w:p>
            <w:pPr>
              <w:pStyle w:val="19"/>
              <w:rPr>
                <w:rFonts w:cs="Times New Roman"/>
                <w:sz w:val="21"/>
                <w:szCs w:val="21"/>
              </w:rPr>
            </w:pPr>
            <w:r>
              <w:rPr>
                <w:rFonts w:cs="Times New Roman"/>
                <w:sz w:val="21"/>
                <w:szCs w:val="21"/>
              </w:rPr>
              <w:t>200 rpm</w:t>
            </w:r>
          </w:p>
        </w:tc>
        <w:tc>
          <w:tcPr>
            <w:tcW w:w="1428" w:type="dxa"/>
            <w:tcBorders>
              <w:top w:val="single" w:color="auto" w:sz="12" w:space="0"/>
              <w:bottom w:val="single" w:color="auto" w:sz="4" w:space="0"/>
            </w:tcBorders>
            <w:shd w:val="clear" w:color="auto" w:fill="auto"/>
            <w:noWrap/>
            <w:vAlign w:val="bottom"/>
          </w:tcPr>
          <w:p>
            <w:pPr>
              <w:pStyle w:val="19"/>
              <w:rPr>
                <w:rFonts w:cs="Times New Roman"/>
                <w:sz w:val="21"/>
                <w:szCs w:val="21"/>
              </w:rPr>
            </w:pPr>
            <w:r>
              <w:rPr>
                <w:rFonts w:cs="Times New Roman"/>
                <w:sz w:val="21"/>
                <w:szCs w:val="21"/>
              </w:rPr>
              <w:t>250 rpm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restart"/>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PFORE</w:t>
            </w:r>
          </w:p>
        </w:tc>
        <w:tc>
          <w:tcPr>
            <w:tcW w:w="1706" w:type="dxa"/>
            <w:tcBorders>
              <w:top w:val="single" w:color="auto" w:sz="4" w:space="0"/>
              <w:bottom w:val="nil"/>
            </w:tcBorders>
            <w:shd w:val="clear" w:color="auto" w:fill="auto"/>
            <w:noWrap/>
            <w:vAlign w:val="bottom"/>
          </w:tcPr>
          <w:p>
            <w:pPr>
              <w:pStyle w:val="19"/>
              <w:rPr>
                <w:rFonts w:cs="Times New Roman"/>
                <w:sz w:val="21"/>
                <w:szCs w:val="21"/>
              </w:rPr>
            </w:pPr>
            <w:r>
              <w:rPr>
                <w:rFonts w:cs="Times New Roman"/>
                <w:sz w:val="21"/>
                <w:szCs w:val="21"/>
              </w:rPr>
              <w:t>q</w:t>
            </w:r>
            <w:r>
              <w:rPr>
                <w:rFonts w:cs="Times New Roman"/>
                <w:sz w:val="21"/>
                <w:szCs w:val="21"/>
                <w:vertAlign w:val="subscript"/>
              </w:rPr>
              <w:t>e</w:t>
            </w:r>
            <w:r>
              <w:rPr>
                <w:rFonts w:cs="Times New Roman"/>
                <w:sz w:val="21"/>
                <w:szCs w:val="21"/>
              </w:rPr>
              <w:t>（mgPt/g）</w:t>
            </w:r>
          </w:p>
        </w:tc>
        <w:tc>
          <w:tcPr>
            <w:tcW w:w="1514" w:type="dxa"/>
            <w:tcBorders>
              <w:top w:val="single" w:color="auto" w:sz="4" w:space="0"/>
              <w:bottom w:val="nil"/>
            </w:tcBorders>
            <w:shd w:val="clear" w:color="auto" w:fill="auto"/>
            <w:noWrap/>
            <w:vAlign w:val="bottom"/>
          </w:tcPr>
          <w:p>
            <w:pPr>
              <w:pStyle w:val="19"/>
              <w:rPr>
                <w:rFonts w:cs="Times New Roman"/>
                <w:sz w:val="21"/>
                <w:szCs w:val="21"/>
              </w:rPr>
            </w:pPr>
            <w:r>
              <w:rPr>
                <w:rFonts w:cs="Times New Roman"/>
                <w:sz w:val="21"/>
                <w:szCs w:val="21"/>
              </w:rPr>
              <w:t>96.50143</w:t>
            </w:r>
          </w:p>
        </w:tc>
        <w:tc>
          <w:tcPr>
            <w:tcW w:w="1428" w:type="dxa"/>
            <w:tcBorders>
              <w:top w:val="single" w:color="auto" w:sz="4" w:space="0"/>
              <w:bottom w:val="nil"/>
            </w:tcBorders>
            <w:shd w:val="clear" w:color="auto" w:fill="auto"/>
            <w:noWrap/>
            <w:vAlign w:val="bottom"/>
          </w:tcPr>
          <w:p>
            <w:pPr>
              <w:pStyle w:val="19"/>
              <w:rPr>
                <w:rFonts w:cs="Times New Roman"/>
                <w:sz w:val="21"/>
                <w:szCs w:val="21"/>
              </w:rPr>
            </w:pPr>
            <w:r>
              <w:rPr>
                <w:rFonts w:cs="Times New Roman"/>
                <w:sz w:val="21"/>
                <w:szCs w:val="21"/>
              </w:rPr>
              <w:t>92.96282</w:t>
            </w:r>
          </w:p>
        </w:tc>
        <w:tc>
          <w:tcPr>
            <w:tcW w:w="1428" w:type="dxa"/>
            <w:tcBorders>
              <w:top w:val="single" w:color="auto" w:sz="4" w:space="0"/>
              <w:bottom w:val="nil"/>
            </w:tcBorders>
            <w:shd w:val="clear" w:color="auto" w:fill="auto"/>
            <w:noWrap/>
            <w:vAlign w:val="bottom"/>
          </w:tcPr>
          <w:p>
            <w:pPr>
              <w:pStyle w:val="19"/>
              <w:rPr>
                <w:rFonts w:cs="Times New Roman"/>
                <w:sz w:val="21"/>
                <w:szCs w:val="21"/>
              </w:rPr>
            </w:pPr>
            <w:r>
              <w:rPr>
                <w:rFonts w:cs="Times New Roman"/>
                <w:sz w:val="21"/>
                <w:szCs w:val="21"/>
              </w:rPr>
              <w:t>92.13283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continue"/>
            <w:tcBorders>
              <w:top w:val="nil"/>
            </w:tcBorders>
            <w:shd w:val="clear" w:color="auto" w:fill="auto"/>
            <w:noWrap/>
            <w:vAlign w:val="center"/>
          </w:tcPr>
          <w:p>
            <w:pPr>
              <w:pStyle w:val="19"/>
              <w:rPr>
                <w:rFonts w:cs="Times New Roman"/>
                <w:sz w:val="21"/>
                <w:szCs w:val="21"/>
              </w:rPr>
            </w:pPr>
          </w:p>
        </w:tc>
        <w:tc>
          <w:tcPr>
            <w:tcW w:w="1706" w:type="dxa"/>
            <w:tcBorders>
              <w:top w:val="nil"/>
            </w:tcBorders>
            <w:shd w:val="clear" w:color="auto" w:fill="auto"/>
            <w:noWrap/>
            <w:vAlign w:val="bottom"/>
          </w:tcPr>
          <w:p>
            <w:pPr>
              <w:pStyle w:val="19"/>
              <w:rPr>
                <w:rFonts w:cs="Times New Roman"/>
                <w:sz w:val="21"/>
                <w:szCs w:val="21"/>
              </w:rPr>
            </w:pPr>
            <w:r>
              <w:rPr>
                <w:rFonts w:cs="Times New Roman"/>
                <w:sz w:val="21"/>
                <w:szCs w:val="21"/>
              </w:rPr>
              <w:t>K</w:t>
            </w:r>
            <w:r>
              <w:rPr>
                <w:rFonts w:cs="Times New Roman"/>
                <w:sz w:val="21"/>
                <w:szCs w:val="21"/>
                <w:vertAlign w:val="subscript"/>
              </w:rPr>
              <w:t>1</w:t>
            </w:r>
            <w:r>
              <w:rPr>
                <w:rFonts w:cs="Times New Roman"/>
                <w:sz w:val="21"/>
                <w:szCs w:val="21"/>
              </w:rPr>
              <w:t>×10</w:t>
            </w:r>
            <w:r>
              <w:rPr>
                <w:rFonts w:cs="Times New Roman"/>
                <w:sz w:val="21"/>
                <w:szCs w:val="21"/>
                <w:vertAlign w:val="superscript"/>
              </w:rPr>
              <w:t>3</w:t>
            </w:r>
          </w:p>
        </w:tc>
        <w:tc>
          <w:tcPr>
            <w:tcW w:w="1514" w:type="dxa"/>
            <w:tcBorders>
              <w:top w:val="nil"/>
            </w:tcBorders>
            <w:shd w:val="clear" w:color="auto" w:fill="auto"/>
            <w:noWrap/>
            <w:vAlign w:val="bottom"/>
          </w:tcPr>
          <w:p>
            <w:pPr>
              <w:pStyle w:val="19"/>
              <w:rPr>
                <w:rFonts w:cs="Times New Roman"/>
                <w:sz w:val="21"/>
                <w:szCs w:val="21"/>
              </w:rPr>
            </w:pPr>
            <w:r>
              <w:rPr>
                <w:rFonts w:cs="Times New Roman"/>
                <w:sz w:val="21"/>
                <w:szCs w:val="21"/>
              </w:rPr>
              <w:t>0.28999</w:t>
            </w:r>
          </w:p>
        </w:tc>
        <w:tc>
          <w:tcPr>
            <w:tcW w:w="1428" w:type="dxa"/>
            <w:tcBorders>
              <w:top w:val="nil"/>
            </w:tcBorders>
            <w:shd w:val="clear" w:color="auto" w:fill="auto"/>
            <w:noWrap/>
            <w:vAlign w:val="bottom"/>
          </w:tcPr>
          <w:p>
            <w:pPr>
              <w:pStyle w:val="19"/>
              <w:rPr>
                <w:rFonts w:cs="Times New Roman"/>
                <w:sz w:val="21"/>
                <w:szCs w:val="21"/>
              </w:rPr>
            </w:pPr>
            <w:r>
              <w:rPr>
                <w:rFonts w:cs="Times New Roman"/>
                <w:sz w:val="21"/>
                <w:szCs w:val="21"/>
              </w:rPr>
              <w:t>0.52863</w:t>
            </w:r>
          </w:p>
        </w:tc>
        <w:tc>
          <w:tcPr>
            <w:tcW w:w="1428" w:type="dxa"/>
            <w:tcBorders>
              <w:top w:val="nil"/>
            </w:tcBorders>
            <w:shd w:val="clear" w:color="auto" w:fill="auto"/>
            <w:noWrap/>
            <w:vAlign w:val="bottom"/>
          </w:tcPr>
          <w:p>
            <w:pPr>
              <w:pStyle w:val="19"/>
              <w:rPr>
                <w:rFonts w:cs="Times New Roman"/>
                <w:sz w:val="21"/>
                <w:szCs w:val="21"/>
              </w:rPr>
            </w:pPr>
            <w:r>
              <w:rPr>
                <w:rFonts w:cs="Times New Roman"/>
                <w:sz w:val="21"/>
                <w:szCs w:val="21"/>
              </w:rPr>
              <w:t>0.74446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continue"/>
            <w:tcBorders>
              <w:bottom w:val="nil"/>
            </w:tcBorders>
            <w:shd w:val="clear" w:color="auto" w:fill="auto"/>
            <w:noWrap/>
            <w:vAlign w:val="center"/>
          </w:tcPr>
          <w:p>
            <w:pPr>
              <w:pStyle w:val="19"/>
              <w:rPr>
                <w:rFonts w:cs="Times New Roman"/>
                <w:sz w:val="21"/>
                <w:szCs w:val="21"/>
              </w:rPr>
            </w:pPr>
          </w:p>
        </w:tc>
        <w:tc>
          <w:tcPr>
            <w:tcW w:w="1706" w:type="dxa"/>
            <w:tcBorders>
              <w:bottom w:val="nil"/>
            </w:tcBorders>
            <w:shd w:val="clear" w:color="auto" w:fill="auto"/>
            <w:noWrap/>
            <w:vAlign w:val="bottom"/>
          </w:tcPr>
          <w:p>
            <w:pPr>
              <w:pStyle w:val="19"/>
              <w:rPr>
                <w:rFonts w:cs="Times New Roman"/>
                <w:sz w:val="21"/>
                <w:szCs w:val="21"/>
              </w:rPr>
            </w:pPr>
            <w:r>
              <w:rPr>
                <w:rFonts w:cs="Times New Roman"/>
                <w:sz w:val="21"/>
                <w:szCs w:val="21"/>
              </w:rPr>
              <w:t>R</w:t>
            </w:r>
            <w:r>
              <w:rPr>
                <w:rFonts w:cs="Times New Roman"/>
                <w:sz w:val="21"/>
                <w:szCs w:val="21"/>
                <w:vertAlign w:val="superscript"/>
              </w:rPr>
              <w:t>2</w:t>
            </w:r>
          </w:p>
        </w:tc>
        <w:tc>
          <w:tcPr>
            <w:tcW w:w="1514" w:type="dxa"/>
            <w:tcBorders>
              <w:bottom w:val="nil"/>
            </w:tcBorders>
            <w:shd w:val="clear" w:color="auto" w:fill="auto"/>
            <w:noWrap/>
            <w:vAlign w:val="bottom"/>
          </w:tcPr>
          <w:p>
            <w:pPr>
              <w:pStyle w:val="19"/>
              <w:rPr>
                <w:rFonts w:cs="Times New Roman"/>
                <w:sz w:val="21"/>
                <w:szCs w:val="21"/>
              </w:rPr>
            </w:pPr>
            <w:r>
              <w:rPr>
                <w:rFonts w:cs="Times New Roman"/>
                <w:sz w:val="21"/>
                <w:szCs w:val="21"/>
              </w:rPr>
              <w:t>0.88084</w:t>
            </w:r>
          </w:p>
        </w:tc>
        <w:tc>
          <w:tcPr>
            <w:tcW w:w="1428" w:type="dxa"/>
            <w:tcBorders>
              <w:bottom w:val="nil"/>
            </w:tcBorders>
            <w:shd w:val="clear" w:color="auto" w:fill="auto"/>
            <w:noWrap/>
            <w:vAlign w:val="bottom"/>
          </w:tcPr>
          <w:p>
            <w:pPr>
              <w:pStyle w:val="19"/>
              <w:rPr>
                <w:rFonts w:cs="Times New Roman"/>
                <w:sz w:val="21"/>
                <w:szCs w:val="21"/>
              </w:rPr>
            </w:pPr>
            <w:r>
              <w:rPr>
                <w:rFonts w:cs="Times New Roman"/>
                <w:sz w:val="21"/>
                <w:szCs w:val="21"/>
              </w:rPr>
              <w:t>0.91764</w:t>
            </w:r>
          </w:p>
        </w:tc>
        <w:tc>
          <w:tcPr>
            <w:tcW w:w="1428" w:type="dxa"/>
            <w:tcBorders>
              <w:bottom w:val="nil"/>
            </w:tcBorders>
            <w:shd w:val="clear" w:color="auto" w:fill="auto"/>
            <w:noWrap/>
            <w:vAlign w:val="bottom"/>
          </w:tcPr>
          <w:p>
            <w:pPr>
              <w:pStyle w:val="19"/>
              <w:rPr>
                <w:rFonts w:cs="Times New Roman"/>
                <w:sz w:val="21"/>
                <w:szCs w:val="21"/>
              </w:rPr>
            </w:pPr>
            <w:r>
              <w:rPr>
                <w:rFonts w:cs="Times New Roman"/>
                <w:sz w:val="21"/>
                <w:szCs w:val="21"/>
              </w:rPr>
              <w:t>0.913283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restart"/>
            <w:tcBorders>
              <w:top w:val="nil"/>
              <w:bottom w:val="nil"/>
            </w:tcBorders>
            <w:shd w:val="clear" w:color="auto" w:fill="auto"/>
            <w:noWrap/>
            <w:vAlign w:val="center"/>
          </w:tcPr>
          <w:p>
            <w:pPr>
              <w:pStyle w:val="19"/>
              <w:ind w:firstLine="420" w:firstLineChars="200"/>
              <w:jc w:val="both"/>
              <w:rPr>
                <w:rFonts w:cs="Times New Roman"/>
                <w:sz w:val="21"/>
                <w:szCs w:val="21"/>
              </w:rPr>
            </w:pPr>
            <w:r>
              <w:rPr>
                <w:rFonts w:cs="Times New Roman"/>
                <w:sz w:val="21"/>
                <w:szCs w:val="21"/>
              </w:rPr>
              <w:t>PSORE</w:t>
            </w:r>
          </w:p>
        </w:tc>
        <w:tc>
          <w:tcPr>
            <w:tcW w:w="1706"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q</w:t>
            </w:r>
            <w:r>
              <w:rPr>
                <w:rFonts w:cs="Times New Roman"/>
                <w:sz w:val="21"/>
                <w:szCs w:val="21"/>
                <w:vertAlign w:val="subscript"/>
              </w:rPr>
              <w:t>e</w:t>
            </w:r>
            <w:r>
              <w:rPr>
                <w:rFonts w:cs="Times New Roman"/>
                <w:sz w:val="21"/>
                <w:szCs w:val="21"/>
              </w:rPr>
              <w:t>（mgPt/g）</w:t>
            </w:r>
          </w:p>
        </w:tc>
        <w:tc>
          <w:tcPr>
            <w:tcW w:w="1514"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106.45809</w:t>
            </w:r>
          </w:p>
        </w:tc>
        <w:tc>
          <w:tcPr>
            <w:tcW w:w="1428"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104.32006</w:t>
            </w:r>
          </w:p>
        </w:tc>
        <w:tc>
          <w:tcPr>
            <w:tcW w:w="1428"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102.51734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continue"/>
            <w:tcBorders>
              <w:top w:val="nil"/>
              <w:bottom w:val="nil"/>
            </w:tcBorders>
            <w:shd w:val="clear" w:color="auto" w:fill="auto"/>
            <w:noWrap/>
            <w:vAlign w:val="bottom"/>
          </w:tcPr>
          <w:p>
            <w:pPr>
              <w:pStyle w:val="19"/>
              <w:rPr>
                <w:rFonts w:cs="Times New Roman"/>
                <w:sz w:val="21"/>
                <w:szCs w:val="21"/>
              </w:rPr>
            </w:pPr>
          </w:p>
        </w:tc>
        <w:tc>
          <w:tcPr>
            <w:tcW w:w="1706"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K</w:t>
            </w:r>
            <w:r>
              <w:rPr>
                <w:rFonts w:cs="Times New Roman"/>
                <w:sz w:val="21"/>
                <w:szCs w:val="21"/>
                <w:vertAlign w:val="subscript"/>
              </w:rPr>
              <w:t>1</w:t>
            </w:r>
            <w:r>
              <w:rPr>
                <w:rFonts w:cs="Times New Roman"/>
                <w:sz w:val="21"/>
                <w:szCs w:val="21"/>
              </w:rPr>
              <w:t>×10</w:t>
            </w:r>
            <w:r>
              <w:rPr>
                <w:rFonts w:cs="Times New Roman"/>
                <w:sz w:val="21"/>
                <w:szCs w:val="21"/>
                <w:vertAlign w:val="superscript"/>
              </w:rPr>
              <w:t>3</w:t>
            </w:r>
          </w:p>
        </w:tc>
        <w:tc>
          <w:tcPr>
            <w:tcW w:w="1514"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0.00397</w:t>
            </w:r>
          </w:p>
        </w:tc>
        <w:tc>
          <w:tcPr>
            <w:tcW w:w="1428"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0.00678</w:t>
            </w:r>
          </w:p>
        </w:tc>
        <w:tc>
          <w:tcPr>
            <w:tcW w:w="1428" w:type="dxa"/>
            <w:tcBorders>
              <w:top w:val="nil"/>
              <w:bottom w:val="nil"/>
            </w:tcBorders>
            <w:shd w:val="clear" w:color="auto" w:fill="auto"/>
            <w:noWrap/>
            <w:vAlign w:val="bottom"/>
          </w:tcPr>
          <w:p>
            <w:pPr>
              <w:pStyle w:val="19"/>
              <w:rPr>
                <w:rFonts w:cs="Times New Roman"/>
                <w:sz w:val="21"/>
                <w:szCs w:val="21"/>
              </w:rPr>
            </w:pPr>
            <w:r>
              <w:rPr>
                <w:rFonts w:cs="Times New Roman"/>
                <w:sz w:val="21"/>
                <w:szCs w:val="21"/>
              </w:rPr>
              <w:t>0.00962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1986" w:type="dxa"/>
            <w:vMerge w:val="continue"/>
            <w:tcBorders>
              <w:top w:val="nil"/>
              <w:bottom w:val="single" w:color="auto" w:sz="12" w:space="0"/>
            </w:tcBorders>
            <w:shd w:val="clear" w:color="auto" w:fill="auto"/>
            <w:noWrap/>
            <w:vAlign w:val="bottom"/>
          </w:tcPr>
          <w:p>
            <w:pPr>
              <w:pStyle w:val="19"/>
              <w:rPr>
                <w:rFonts w:cs="Times New Roman"/>
                <w:sz w:val="21"/>
                <w:szCs w:val="21"/>
              </w:rPr>
            </w:pPr>
          </w:p>
        </w:tc>
        <w:tc>
          <w:tcPr>
            <w:tcW w:w="1706" w:type="dxa"/>
            <w:tcBorders>
              <w:top w:val="nil"/>
              <w:bottom w:val="single" w:color="auto" w:sz="12" w:space="0"/>
            </w:tcBorders>
            <w:shd w:val="clear" w:color="auto" w:fill="auto"/>
            <w:noWrap/>
            <w:vAlign w:val="bottom"/>
          </w:tcPr>
          <w:p>
            <w:pPr>
              <w:pStyle w:val="19"/>
              <w:rPr>
                <w:rFonts w:cs="Times New Roman"/>
                <w:sz w:val="21"/>
                <w:szCs w:val="21"/>
              </w:rPr>
            </w:pPr>
            <w:r>
              <w:rPr>
                <w:rFonts w:cs="Times New Roman"/>
                <w:sz w:val="21"/>
                <w:szCs w:val="21"/>
              </w:rPr>
              <w:t>R</w:t>
            </w:r>
            <w:r>
              <w:rPr>
                <w:rFonts w:cs="Times New Roman"/>
                <w:sz w:val="21"/>
                <w:szCs w:val="21"/>
                <w:vertAlign w:val="superscript"/>
              </w:rPr>
              <w:t>2</w:t>
            </w:r>
          </w:p>
        </w:tc>
        <w:tc>
          <w:tcPr>
            <w:tcW w:w="1514" w:type="dxa"/>
            <w:tcBorders>
              <w:top w:val="nil"/>
              <w:bottom w:val="single" w:color="auto" w:sz="12" w:space="0"/>
            </w:tcBorders>
            <w:shd w:val="clear" w:color="auto" w:fill="auto"/>
            <w:noWrap/>
            <w:vAlign w:val="bottom"/>
          </w:tcPr>
          <w:p>
            <w:pPr>
              <w:pStyle w:val="19"/>
              <w:rPr>
                <w:rFonts w:cs="Times New Roman"/>
                <w:sz w:val="21"/>
                <w:szCs w:val="21"/>
              </w:rPr>
            </w:pPr>
            <w:r>
              <w:rPr>
                <w:rFonts w:cs="Times New Roman"/>
                <w:sz w:val="21"/>
                <w:szCs w:val="21"/>
              </w:rPr>
              <w:t>0.94586</w:t>
            </w:r>
          </w:p>
        </w:tc>
        <w:tc>
          <w:tcPr>
            <w:tcW w:w="1428" w:type="dxa"/>
            <w:tcBorders>
              <w:top w:val="nil"/>
              <w:bottom w:val="single" w:color="auto" w:sz="12" w:space="0"/>
            </w:tcBorders>
            <w:shd w:val="clear" w:color="auto" w:fill="auto"/>
            <w:noWrap/>
            <w:vAlign w:val="bottom"/>
          </w:tcPr>
          <w:p>
            <w:pPr>
              <w:pStyle w:val="19"/>
              <w:rPr>
                <w:rFonts w:cs="Times New Roman"/>
                <w:sz w:val="21"/>
                <w:szCs w:val="21"/>
              </w:rPr>
            </w:pPr>
            <w:r>
              <w:rPr>
                <w:rFonts w:cs="Times New Roman"/>
                <w:sz w:val="21"/>
                <w:szCs w:val="21"/>
              </w:rPr>
              <w:t>0.9765</w:t>
            </w:r>
          </w:p>
        </w:tc>
        <w:tc>
          <w:tcPr>
            <w:tcW w:w="1428" w:type="dxa"/>
            <w:tcBorders>
              <w:top w:val="nil"/>
              <w:bottom w:val="single" w:color="auto" w:sz="12" w:space="0"/>
            </w:tcBorders>
            <w:shd w:val="clear" w:color="auto" w:fill="auto"/>
            <w:noWrap/>
            <w:vAlign w:val="bottom"/>
          </w:tcPr>
          <w:p>
            <w:pPr>
              <w:pStyle w:val="19"/>
              <w:rPr>
                <w:rFonts w:cs="Times New Roman"/>
                <w:sz w:val="21"/>
                <w:szCs w:val="21"/>
              </w:rPr>
            </w:pPr>
            <w:r>
              <w:rPr>
                <w:rFonts w:cs="Times New Roman"/>
                <w:sz w:val="21"/>
                <w:szCs w:val="21"/>
              </w:rPr>
              <w:t>0.97761</w:t>
            </w:r>
          </w:p>
        </w:tc>
      </w:tr>
    </w:tbl>
    <w:p>
      <w:pPr>
        <w:pStyle w:val="17"/>
        <w:jc w:val="center"/>
        <w:rPr>
          <w:rFonts w:ascii="Times New Roman" w:hAnsi="Times New Roman" w:cs="Times New Roman"/>
          <w:sz w:val="24"/>
          <w:szCs w:val="24"/>
        </w:rPr>
      </w:pPr>
      <w:r>
        <w:drawing>
          <wp:anchor distT="0" distB="0" distL="114300" distR="114300" simplePos="0" relativeHeight="251659264" behindDoc="0" locked="0" layoutInCell="1" allowOverlap="1">
            <wp:simplePos x="0" y="0"/>
            <wp:positionH relativeFrom="column">
              <wp:posOffset>1346200</wp:posOffset>
            </wp:positionH>
            <wp:positionV relativeFrom="paragraph">
              <wp:posOffset>100330</wp:posOffset>
            </wp:positionV>
            <wp:extent cx="3238500" cy="2519680"/>
            <wp:effectExtent l="0" t="0" r="0" b="0"/>
            <wp:wrapTopAndBottom/>
            <wp:docPr id="1" name="图片 1" descr="E:\文章汇总\其他论文\肖珂\铂吸附论文\图表制作\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文章汇总\其他论文\肖珂\铂吸附论文\图表制作\figS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238500" cy="2519680"/>
                    </a:xfrm>
                    <a:prstGeom prst="rect">
                      <a:avLst/>
                    </a:prstGeom>
                    <a:noFill/>
                    <a:ln>
                      <a:noFill/>
                    </a:ln>
                  </pic:spPr>
                </pic:pic>
              </a:graphicData>
            </a:graphic>
          </wp:anchor>
        </w:drawing>
      </w:r>
      <w:r>
        <w:rPr>
          <w:rFonts w:ascii="Times New Roman" w:hAnsi="Times New Roman" w:cs="Times New Roman"/>
          <w:sz w:val="24"/>
          <w:szCs w:val="24"/>
        </w:rPr>
        <w:t>Fig.S1. Comparison of sequencing batch adsorption and continuous Pt(IV) adsorption efficiency.</w:t>
      </w:r>
    </w:p>
    <w:p>
      <w:pPr>
        <w:pStyle w:val="15"/>
        <w:numPr>
          <w:ilvl w:val="1"/>
          <w:numId w:val="3"/>
        </w:numPr>
        <w:spacing w:before="240"/>
        <w:rPr>
          <w:rFonts w:ascii="Times New Roman" w:hAnsi="Times New Roman" w:cs="Times New Roman"/>
          <w:bCs/>
          <w:i/>
          <w:iCs/>
          <w:lang w:eastAsia="zh-CN"/>
        </w:rPr>
      </w:pPr>
      <w:r>
        <w:rPr>
          <w:rFonts w:hint="eastAsia" w:ascii="Times New Roman" w:hAnsi="Times New Roman" w:cs="Times New Roman"/>
          <w:bCs/>
          <w:i/>
          <w:iCs/>
          <w:lang w:eastAsia="zh-CN"/>
        </w:rPr>
        <w:t xml:space="preserve"> Stability and reusability of functionalized </w:t>
      </w:r>
      <w:r>
        <w:rPr>
          <w:rFonts w:ascii="Times New Roman" w:hAnsi="Times New Roman" w:cs="Times New Roman"/>
          <w:bCs/>
          <w:i/>
          <w:iCs/>
          <w:lang w:eastAsia="zh-CN"/>
        </w:rPr>
        <w:t>ML/</w:t>
      </w:r>
      <w:r>
        <w:rPr>
          <w:rFonts w:hint="eastAsia" w:ascii="Times New Roman" w:hAnsi="Times New Roman" w:cs="Times New Roman"/>
          <w:bCs/>
          <w:i/>
          <w:iCs/>
          <w:lang w:eastAsia="zh-CN"/>
        </w:rPr>
        <w:t>ACPG sponge</w:t>
      </w:r>
    </w:p>
    <w:p>
      <w:pPr>
        <w:jc w:val="center"/>
        <w:rPr>
          <w:rFonts w:ascii="Times New Roman" w:hAnsi="Times New Roman" w:cs="Times New Roman"/>
          <w:sz w:val="24"/>
          <w:szCs w:val="24"/>
        </w:rPr>
      </w:pPr>
      <w:r>
        <w:rPr>
          <w:rFonts w:cs="Times New Roman"/>
          <w:lang w:eastAsia="zh-CN"/>
        </w:rPr>
        <w:drawing>
          <wp:anchor distT="0" distB="0" distL="114300" distR="114300" simplePos="0" relativeHeight="251660288" behindDoc="0" locked="0" layoutInCell="1" allowOverlap="1">
            <wp:simplePos x="0" y="0"/>
            <wp:positionH relativeFrom="column">
              <wp:posOffset>1025525</wp:posOffset>
            </wp:positionH>
            <wp:positionV relativeFrom="paragraph">
              <wp:posOffset>140970</wp:posOffset>
            </wp:positionV>
            <wp:extent cx="3127375" cy="2519680"/>
            <wp:effectExtent l="0" t="0" r="0" b="0"/>
            <wp:wrapTopAndBottom/>
            <wp:docPr id="10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图片 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127375" cy="2519680"/>
                    </a:xfrm>
                    <a:prstGeom prst="rect">
                      <a:avLst/>
                    </a:prstGeom>
                  </pic:spPr>
                </pic:pic>
              </a:graphicData>
            </a:graphic>
          </wp:anchor>
        </w:drawing>
      </w:r>
      <w:r>
        <w:rPr>
          <w:rFonts w:ascii="Times New Roman" w:hAnsi="Times New Roman" w:cs="Times New Roman"/>
          <w:sz w:val="24"/>
          <w:szCs w:val="24"/>
        </w:rPr>
        <w:t>Fig.S</w:t>
      </w:r>
      <w:r>
        <w:rPr>
          <w:rFonts w:hint="eastAsia" w:ascii="Times New Roman" w:hAnsi="Times New Roman" w:cs="Times New Roman"/>
          <w:sz w:val="24"/>
          <w:szCs w:val="24"/>
        </w:rPr>
        <w:t>2</w:t>
      </w:r>
      <w:r>
        <w:rPr>
          <w:rFonts w:ascii="Times New Roman" w:hAnsi="Times New Roman" w:cs="Times New Roman"/>
          <w:sz w:val="24"/>
          <w:szCs w:val="24"/>
        </w:rPr>
        <w:t>.</w:t>
      </w:r>
      <w:r>
        <w:rPr>
          <w:rFonts w:cs="Times New Roman"/>
        </w:rPr>
        <w:t xml:space="preserve"> </w:t>
      </w:r>
      <w:r>
        <w:rPr>
          <w:rFonts w:ascii="Times New Roman" w:hAnsi="Times New Roman" w:cs="Times New Roman"/>
          <w:sz w:val="24"/>
          <w:szCs w:val="24"/>
        </w:rPr>
        <w:t>Stability of ML/ACPG shaking in different solutions for 72 h</w:t>
      </w:r>
      <w:r>
        <w:rPr>
          <w:rFonts w:hint="eastAsia" w:ascii="Times New Roman" w:hAnsi="Times New Roman" w:cs="Times New Roman"/>
          <w:sz w:val="24"/>
          <w:szCs w:val="24"/>
        </w:rPr>
        <w:t>.</w:t>
      </w:r>
    </w:p>
    <w:p>
      <w:pPr>
        <w:pStyle w:val="15"/>
        <w:adjustRightInd w:val="0"/>
        <w:snapToGrid w:val="0"/>
        <w:spacing w:before="156" w:beforeLines="50"/>
        <w:ind w:firstLine="0"/>
        <w:rPr>
          <w:rFonts w:ascii="Times New Roman" w:hAnsi="Times New Roman" w:cs="Times New Roman"/>
          <w:bCs/>
          <w:i/>
          <w:iCs/>
          <w:lang w:eastAsia="zh-CN"/>
        </w:rPr>
      </w:pPr>
      <w:r>
        <w:rPr>
          <w:rFonts w:hint="eastAsia" w:ascii="Times New Roman" w:hAnsi="Times New Roman" w:cs="Times New Roman"/>
          <w:bCs/>
          <w:i/>
          <w:iCs/>
          <w:lang w:eastAsia="zh-CN"/>
        </w:rPr>
        <w:t xml:space="preserve">3.5. </w:t>
      </w:r>
      <w:r>
        <w:rPr>
          <w:rFonts w:hint="eastAsia" w:ascii="Times New Roman" w:hAnsi="Times New Roman" w:cs="Times New Roman"/>
          <w:bCs/>
          <w:i/>
          <w:iCs/>
        </w:rPr>
        <w:t>Adsorption mechanism of Pt(IV) by ML/ACPG sponge</w:t>
      </w:r>
    </w:p>
    <w:p>
      <w:pPr>
        <w:pStyle w:val="17"/>
        <w:adjustRightInd w:val="0"/>
        <w:snapToGrid w:val="0"/>
        <w:jc w:val="center"/>
        <w:rPr>
          <w:rFonts w:ascii="Times New Roman" w:hAnsi="Times New Roman" w:cs="Times New Roman"/>
        </w:rPr>
      </w:pPr>
      <w:r>
        <w:rPr>
          <w:rFonts w:ascii="Times New Roman" w:hAnsi="Times New Roman" w:cs="Times New Roman"/>
        </w:rPr>
        <w:t>Table S3 Kinetic model parameters of Pt(IV) adsorption at different pH.</w:t>
      </w:r>
    </w:p>
    <w:tbl>
      <w:tblPr>
        <w:tblStyle w:val="6"/>
        <w:tblW w:w="8496"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2"/>
        <w:gridCol w:w="1706"/>
        <w:gridCol w:w="1514"/>
        <w:gridCol w:w="1428"/>
        <w:gridCol w:w="1428"/>
        <w:gridCol w:w="14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Style w:val="16"/>
                <w:rFonts w:eastAsia="微软雅黑" w:cs="Times New Roman"/>
                <w:sz w:val="21"/>
                <w:szCs w:val="21"/>
              </w:rPr>
              <w:t>Model</w:t>
            </w:r>
          </w:p>
        </w:tc>
        <w:tc>
          <w:tcPr>
            <w:tcW w:w="1706"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Fonts w:cs="Times New Roman"/>
                <w:sz w:val="21"/>
                <w:szCs w:val="21"/>
              </w:rPr>
              <w:t>Unit</w:t>
            </w:r>
          </w:p>
        </w:tc>
        <w:tc>
          <w:tcPr>
            <w:tcW w:w="1514"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Fonts w:cs="Times New Roman"/>
                <w:sz w:val="21"/>
                <w:szCs w:val="21"/>
              </w:rPr>
              <w:t>pH=3</w:t>
            </w:r>
          </w:p>
        </w:tc>
        <w:tc>
          <w:tcPr>
            <w:tcW w:w="1428"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Fonts w:cs="Times New Roman"/>
                <w:sz w:val="21"/>
                <w:szCs w:val="21"/>
              </w:rPr>
              <w:t>pH=2</w:t>
            </w:r>
          </w:p>
        </w:tc>
        <w:tc>
          <w:tcPr>
            <w:tcW w:w="1428"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Fonts w:cs="Times New Roman"/>
                <w:sz w:val="21"/>
                <w:szCs w:val="21"/>
              </w:rPr>
              <w:t>pH=1</w:t>
            </w:r>
          </w:p>
        </w:tc>
        <w:tc>
          <w:tcPr>
            <w:tcW w:w="1428" w:type="dxa"/>
            <w:tcBorders>
              <w:top w:val="single" w:color="auto" w:sz="12" w:space="0"/>
              <w:bottom w:val="single" w:color="auto" w:sz="4" w:space="0"/>
            </w:tcBorders>
            <w:shd w:val="clear" w:color="auto" w:fill="auto"/>
            <w:noWrap/>
            <w:vAlign w:val="center"/>
          </w:tcPr>
          <w:p>
            <w:pPr>
              <w:pStyle w:val="19"/>
              <w:rPr>
                <w:rFonts w:cs="Times New Roman"/>
                <w:sz w:val="21"/>
                <w:szCs w:val="21"/>
              </w:rPr>
            </w:pPr>
            <w:r>
              <w:rPr>
                <w:rFonts w:cs="Times New Roman"/>
                <w:sz w:val="21"/>
                <w:szCs w:val="21"/>
              </w:rPr>
              <w:t>pH=0.5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restart"/>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 xml:space="preserve">PFORE </w:t>
            </w:r>
          </w:p>
        </w:tc>
        <w:tc>
          <w:tcPr>
            <w:tcW w:w="1706" w:type="dxa"/>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q</w:t>
            </w:r>
            <w:r>
              <w:rPr>
                <w:rFonts w:cs="Times New Roman"/>
                <w:sz w:val="21"/>
                <w:szCs w:val="21"/>
                <w:vertAlign w:val="subscript"/>
              </w:rPr>
              <w:t>e</w:t>
            </w:r>
            <w:r>
              <w:rPr>
                <w:rFonts w:cs="Times New Roman"/>
                <w:sz w:val="21"/>
                <w:szCs w:val="21"/>
              </w:rPr>
              <w:t>（mgPt/g）</w:t>
            </w:r>
          </w:p>
        </w:tc>
        <w:tc>
          <w:tcPr>
            <w:tcW w:w="1514" w:type="dxa"/>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66.22616</w:t>
            </w:r>
          </w:p>
        </w:tc>
        <w:tc>
          <w:tcPr>
            <w:tcW w:w="1428" w:type="dxa"/>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75.4951</w:t>
            </w:r>
          </w:p>
        </w:tc>
        <w:tc>
          <w:tcPr>
            <w:tcW w:w="1428" w:type="dxa"/>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108.79923</w:t>
            </w:r>
          </w:p>
        </w:tc>
        <w:tc>
          <w:tcPr>
            <w:tcW w:w="1428" w:type="dxa"/>
            <w:tcBorders>
              <w:top w:val="single" w:color="auto" w:sz="4" w:space="0"/>
              <w:bottom w:val="nil"/>
            </w:tcBorders>
            <w:shd w:val="clear" w:color="auto" w:fill="auto"/>
            <w:noWrap/>
            <w:vAlign w:val="center"/>
          </w:tcPr>
          <w:p>
            <w:pPr>
              <w:pStyle w:val="19"/>
              <w:rPr>
                <w:rFonts w:cs="Times New Roman"/>
                <w:sz w:val="21"/>
                <w:szCs w:val="21"/>
              </w:rPr>
            </w:pPr>
            <w:r>
              <w:rPr>
                <w:rFonts w:cs="Times New Roman"/>
                <w:sz w:val="21"/>
                <w:szCs w:val="21"/>
              </w:rPr>
              <w:t>110.1976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continue"/>
            <w:tcBorders>
              <w:top w:val="nil"/>
            </w:tcBorders>
            <w:shd w:val="clear" w:color="auto" w:fill="auto"/>
            <w:noWrap/>
            <w:vAlign w:val="center"/>
          </w:tcPr>
          <w:p>
            <w:pPr>
              <w:pStyle w:val="19"/>
              <w:rPr>
                <w:rFonts w:cs="Times New Roman"/>
                <w:sz w:val="21"/>
                <w:szCs w:val="21"/>
              </w:rPr>
            </w:pPr>
          </w:p>
        </w:tc>
        <w:tc>
          <w:tcPr>
            <w:tcW w:w="1706" w:type="dxa"/>
            <w:tcBorders>
              <w:top w:val="nil"/>
            </w:tcBorders>
            <w:shd w:val="clear" w:color="auto" w:fill="auto"/>
            <w:noWrap/>
            <w:vAlign w:val="center"/>
          </w:tcPr>
          <w:p>
            <w:pPr>
              <w:pStyle w:val="19"/>
              <w:rPr>
                <w:rFonts w:cs="Times New Roman"/>
                <w:sz w:val="21"/>
                <w:szCs w:val="21"/>
              </w:rPr>
            </w:pPr>
            <w:r>
              <w:rPr>
                <w:rFonts w:cs="Times New Roman"/>
                <w:sz w:val="21"/>
                <w:szCs w:val="21"/>
              </w:rPr>
              <w:t>K</w:t>
            </w:r>
            <w:r>
              <w:rPr>
                <w:rFonts w:cs="Times New Roman"/>
                <w:sz w:val="21"/>
                <w:szCs w:val="21"/>
                <w:vertAlign w:val="subscript"/>
              </w:rPr>
              <w:t>1</w:t>
            </w:r>
            <w:r>
              <w:rPr>
                <w:rFonts w:cs="Times New Roman"/>
                <w:sz w:val="21"/>
                <w:szCs w:val="21"/>
              </w:rPr>
              <w:t>×10</w:t>
            </w:r>
            <w:r>
              <w:rPr>
                <w:rFonts w:cs="Times New Roman"/>
                <w:sz w:val="21"/>
                <w:szCs w:val="21"/>
                <w:vertAlign w:val="superscript"/>
              </w:rPr>
              <w:t>3</w:t>
            </w:r>
          </w:p>
        </w:tc>
        <w:tc>
          <w:tcPr>
            <w:tcW w:w="1514" w:type="dxa"/>
            <w:tcBorders>
              <w:top w:val="nil"/>
            </w:tcBorders>
            <w:shd w:val="clear" w:color="auto" w:fill="auto"/>
            <w:noWrap/>
            <w:vAlign w:val="center"/>
          </w:tcPr>
          <w:p>
            <w:pPr>
              <w:pStyle w:val="19"/>
              <w:rPr>
                <w:rFonts w:cs="Times New Roman"/>
                <w:sz w:val="21"/>
                <w:szCs w:val="21"/>
              </w:rPr>
            </w:pPr>
            <w:r>
              <w:rPr>
                <w:rFonts w:cs="Times New Roman"/>
                <w:sz w:val="21"/>
                <w:szCs w:val="21"/>
              </w:rPr>
              <w:t>0.16854</w:t>
            </w:r>
          </w:p>
        </w:tc>
        <w:tc>
          <w:tcPr>
            <w:tcW w:w="1428" w:type="dxa"/>
            <w:tcBorders>
              <w:top w:val="nil"/>
            </w:tcBorders>
            <w:shd w:val="clear" w:color="auto" w:fill="auto"/>
            <w:noWrap/>
            <w:vAlign w:val="center"/>
          </w:tcPr>
          <w:p>
            <w:pPr>
              <w:pStyle w:val="19"/>
              <w:rPr>
                <w:rFonts w:cs="Times New Roman"/>
                <w:sz w:val="21"/>
                <w:szCs w:val="21"/>
              </w:rPr>
            </w:pPr>
            <w:r>
              <w:rPr>
                <w:rFonts w:cs="Times New Roman"/>
                <w:sz w:val="21"/>
                <w:szCs w:val="21"/>
              </w:rPr>
              <w:t>0.20967</w:t>
            </w:r>
          </w:p>
        </w:tc>
        <w:tc>
          <w:tcPr>
            <w:tcW w:w="1428" w:type="dxa"/>
            <w:tcBorders>
              <w:top w:val="nil"/>
            </w:tcBorders>
            <w:shd w:val="clear" w:color="auto" w:fill="auto"/>
            <w:noWrap/>
            <w:vAlign w:val="center"/>
          </w:tcPr>
          <w:p>
            <w:pPr>
              <w:pStyle w:val="19"/>
              <w:rPr>
                <w:rFonts w:cs="Times New Roman"/>
                <w:sz w:val="21"/>
                <w:szCs w:val="21"/>
              </w:rPr>
            </w:pPr>
            <w:r>
              <w:rPr>
                <w:rFonts w:cs="Times New Roman"/>
                <w:sz w:val="21"/>
                <w:szCs w:val="21"/>
              </w:rPr>
              <w:t>0.21949</w:t>
            </w:r>
          </w:p>
        </w:tc>
        <w:tc>
          <w:tcPr>
            <w:tcW w:w="1428" w:type="dxa"/>
            <w:tcBorders>
              <w:top w:val="nil"/>
            </w:tcBorders>
            <w:shd w:val="clear" w:color="auto" w:fill="auto"/>
            <w:noWrap/>
            <w:vAlign w:val="center"/>
          </w:tcPr>
          <w:p>
            <w:pPr>
              <w:pStyle w:val="19"/>
              <w:rPr>
                <w:rFonts w:cs="Times New Roman"/>
                <w:sz w:val="21"/>
                <w:szCs w:val="21"/>
              </w:rPr>
            </w:pPr>
            <w:r>
              <w:rPr>
                <w:rFonts w:cs="Times New Roman"/>
                <w:sz w:val="21"/>
                <w:szCs w:val="21"/>
              </w:rPr>
              <w:t>0.19269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continue"/>
            <w:tcBorders>
              <w:bottom w:val="nil"/>
            </w:tcBorders>
            <w:shd w:val="clear" w:color="auto" w:fill="auto"/>
            <w:noWrap/>
            <w:vAlign w:val="center"/>
          </w:tcPr>
          <w:p>
            <w:pPr>
              <w:pStyle w:val="19"/>
              <w:rPr>
                <w:rFonts w:cs="Times New Roman"/>
                <w:sz w:val="21"/>
                <w:szCs w:val="21"/>
              </w:rPr>
            </w:pPr>
          </w:p>
        </w:tc>
        <w:tc>
          <w:tcPr>
            <w:tcW w:w="1706" w:type="dxa"/>
            <w:tcBorders>
              <w:bottom w:val="nil"/>
            </w:tcBorders>
            <w:shd w:val="clear" w:color="auto" w:fill="auto"/>
            <w:noWrap/>
            <w:vAlign w:val="center"/>
          </w:tcPr>
          <w:p>
            <w:pPr>
              <w:pStyle w:val="19"/>
              <w:rPr>
                <w:rFonts w:cs="Times New Roman"/>
                <w:sz w:val="21"/>
                <w:szCs w:val="21"/>
              </w:rPr>
            </w:pPr>
            <w:r>
              <w:rPr>
                <w:rFonts w:cs="Times New Roman"/>
                <w:sz w:val="21"/>
                <w:szCs w:val="21"/>
              </w:rPr>
              <w:t>R</w:t>
            </w:r>
            <w:r>
              <w:rPr>
                <w:rFonts w:cs="Times New Roman"/>
                <w:sz w:val="21"/>
                <w:szCs w:val="21"/>
                <w:vertAlign w:val="superscript"/>
              </w:rPr>
              <w:t>2</w:t>
            </w:r>
          </w:p>
        </w:tc>
        <w:tc>
          <w:tcPr>
            <w:tcW w:w="1514" w:type="dxa"/>
            <w:tcBorders>
              <w:bottom w:val="nil"/>
            </w:tcBorders>
            <w:shd w:val="clear" w:color="auto" w:fill="auto"/>
            <w:noWrap/>
            <w:vAlign w:val="center"/>
          </w:tcPr>
          <w:p>
            <w:pPr>
              <w:pStyle w:val="19"/>
              <w:rPr>
                <w:rFonts w:cs="Times New Roman"/>
                <w:sz w:val="21"/>
                <w:szCs w:val="21"/>
              </w:rPr>
            </w:pPr>
            <w:r>
              <w:rPr>
                <w:rFonts w:cs="Times New Roman"/>
                <w:sz w:val="21"/>
                <w:szCs w:val="21"/>
              </w:rPr>
              <w:t>0.93264</w:t>
            </w:r>
          </w:p>
        </w:tc>
        <w:tc>
          <w:tcPr>
            <w:tcW w:w="1428" w:type="dxa"/>
            <w:tcBorders>
              <w:bottom w:val="nil"/>
            </w:tcBorders>
            <w:shd w:val="clear" w:color="auto" w:fill="auto"/>
            <w:noWrap/>
            <w:vAlign w:val="center"/>
          </w:tcPr>
          <w:p>
            <w:pPr>
              <w:pStyle w:val="19"/>
              <w:rPr>
                <w:rFonts w:cs="Times New Roman"/>
                <w:sz w:val="21"/>
                <w:szCs w:val="21"/>
              </w:rPr>
            </w:pPr>
            <w:r>
              <w:rPr>
                <w:rFonts w:cs="Times New Roman"/>
                <w:sz w:val="21"/>
                <w:szCs w:val="21"/>
              </w:rPr>
              <w:t>0.8113</w:t>
            </w:r>
          </w:p>
        </w:tc>
        <w:tc>
          <w:tcPr>
            <w:tcW w:w="1428" w:type="dxa"/>
            <w:tcBorders>
              <w:bottom w:val="nil"/>
            </w:tcBorders>
            <w:shd w:val="clear" w:color="auto" w:fill="auto"/>
            <w:noWrap/>
            <w:vAlign w:val="center"/>
          </w:tcPr>
          <w:p>
            <w:pPr>
              <w:pStyle w:val="19"/>
              <w:rPr>
                <w:rFonts w:cs="Times New Roman"/>
                <w:sz w:val="21"/>
                <w:szCs w:val="21"/>
              </w:rPr>
            </w:pPr>
            <w:r>
              <w:rPr>
                <w:rFonts w:cs="Times New Roman"/>
                <w:sz w:val="21"/>
                <w:szCs w:val="21"/>
              </w:rPr>
              <w:t>0.80756</w:t>
            </w:r>
          </w:p>
        </w:tc>
        <w:tc>
          <w:tcPr>
            <w:tcW w:w="1428" w:type="dxa"/>
            <w:tcBorders>
              <w:bottom w:val="nil"/>
            </w:tcBorders>
            <w:shd w:val="clear" w:color="auto" w:fill="auto"/>
            <w:noWrap/>
            <w:vAlign w:val="center"/>
          </w:tcPr>
          <w:p>
            <w:pPr>
              <w:pStyle w:val="19"/>
              <w:rPr>
                <w:rFonts w:cs="Times New Roman"/>
                <w:sz w:val="21"/>
                <w:szCs w:val="21"/>
              </w:rPr>
            </w:pPr>
            <w:r>
              <w:rPr>
                <w:rFonts w:cs="Times New Roman"/>
                <w:sz w:val="21"/>
                <w:szCs w:val="21"/>
              </w:rPr>
              <w:t>0.87091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restart"/>
            <w:tcBorders>
              <w:top w:val="nil"/>
              <w:bottom w:val="nil"/>
            </w:tcBorders>
            <w:shd w:val="clear" w:color="auto" w:fill="auto"/>
            <w:noWrap/>
            <w:vAlign w:val="center"/>
          </w:tcPr>
          <w:p>
            <w:pPr>
              <w:pStyle w:val="19"/>
              <w:rPr>
                <w:rFonts w:cs="Times New Roman"/>
                <w:sz w:val="21"/>
                <w:szCs w:val="21"/>
              </w:rPr>
            </w:pPr>
            <w:r>
              <w:rPr>
                <w:rFonts w:cs="Times New Roman"/>
                <w:sz w:val="21"/>
                <w:szCs w:val="21"/>
              </w:rPr>
              <w:t xml:space="preserve">PSORE </w:t>
            </w:r>
          </w:p>
        </w:tc>
        <w:tc>
          <w:tcPr>
            <w:tcW w:w="1706"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q</w:t>
            </w:r>
            <w:r>
              <w:rPr>
                <w:rFonts w:cs="Times New Roman"/>
                <w:sz w:val="21"/>
                <w:szCs w:val="21"/>
                <w:vertAlign w:val="subscript"/>
              </w:rPr>
              <w:t>e</w:t>
            </w:r>
            <w:r>
              <w:rPr>
                <w:rFonts w:cs="Times New Roman"/>
                <w:sz w:val="21"/>
                <w:szCs w:val="21"/>
              </w:rPr>
              <w:t>（mgPt/g）</w:t>
            </w:r>
          </w:p>
        </w:tc>
        <w:tc>
          <w:tcPr>
            <w:tcW w:w="1514"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67.21472</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72.58563</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104.31973</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105.35987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continue"/>
            <w:tcBorders>
              <w:top w:val="nil"/>
              <w:bottom w:val="nil"/>
            </w:tcBorders>
            <w:shd w:val="clear" w:color="auto" w:fill="auto"/>
            <w:noWrap/>
            <w:vAlign w:val="center"/>
          </w:tcPr>
          <w:p>
            <w:pPr>
              <w:pStyle w:val="19"/>
              <w:rPr>
                <w:rFonts w:cs="Times New Roman"/>
                <w:sz w:val="21"/>
                <w:szCs w:val="21"/>
              </w:rPr>
            </w:pPr>
          </w:p>
        </w:tc>
        <w:tc>
          <w:tcPr>
            <w:tcW w:w="1706"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K</w:t>
            </w:r>
            <w:r>
              <w:rPr>
                <w:rFonts w:cs="Times New Roman"/>
                <w:sz w:val="21"/>
                <w:szCs w:val="21"/>
                <w:vertAlign w:val="subscript"/>
              </w:rPr>
              <w:t>1</w:t>
            </w:r>
            <w:r>
              <w:rPr>
                <w:rFonts w:cs="Times New Roman"/>
                <w:sz w:val="21"/>
                <w:szCs w:val="21"/>
              </w:rPr>
              <w:t>×10</w:t>
            </w:r>
            <w:r>
              <w:rPr>
                <w:rFonts w:cs="Times New Roman"/>
                <w:sz w:val="21"/>
                <w:szCs w:val="21"/>
                <w:vertAlign w:val="superscript"/>
              </w:rPr>
              <w:t>3</w:t>
            </w:r>
          </w:p>
        </w:tc>
        <w:tc>
          <w:tcPr>
            <w:tcW w:w="1514"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0.00429</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0.00909</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0.00678</w:t>
            </w:r>
          </w:p>
        </w:tc>
        <w:tc>
          <w:tcPr>
            <w:tcW w:w="1428" w:type="dxa"/>
            <w:tcBorders>
              <w:top w:val="nil"/>
              <w:bottom w:val="nil"/>
            </w:tcBorders>
            <w:shd w:val="clear" w:color="auto" w:fill="auto"/>
            <w:noWrap/>
            <w:vAlign w:val="center"/>
          </w:tcPr>
          <w:p>
            <w:pPr>
              <w:pStyle w:val="19"/>
              <w:rPr>
                <w:rFonts w:cs="Times New Roman"/>
                <w:sz w:val="21"/>
                <w:szCs w:val="21"/>
              </w:rPr>
            </w:pPr>
            <w:r>
              <w:rPr>
                <w:rFonts w:cs="Times New Roman"/>
                <w:sz w:val="21"/>
                <w:szCs w:val="21"/>
              </w:rPr>
              <w:t>0.00396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992" w:type="dxa"/>
            <w:vMerge w:val="continue"/>
            <w:tcBorders>
              <w:top w:val="nil"/>
              <w:bottom w:val="single" w:color="auto" w:sz="12" w:space="0"/>
            </w:tcBorders>
            <w:shd w:val="clear" w:color="auto" w:fill="auto"/>
            <w:noWrap/>
            <w:vAlign w:val="center"/>
          </w:tcPr>
          <w:p>
            <w:pPr>
              <w:pStyle w:val="19"/>
              <w:rPr>
                <w:rFonts w:cs="Times New Roman"/>
                <w:sz w:val="21"/>
                <w:szCs w:val="21"/>
              </w:rPr>
            </w:pPr>
          </w:p>
        </w:tc>
        <w:tc>
          <w:tcPr>
            <w:tcW w:w="1706" w:type="dxa"/>
            <w:tcBorders>
              <w:top w:val="nil"/>
              <w:bottom w:val="single" w:color="auto" w:sz="12" w:space="0"/>
            </w:tcBorders>
            <w:shd w:val="clear" w:color="auto" w:fill="auto"/>
            <w:noWrap/>
            <w:vAlign w:val="center"/>
          </w:tcPr>
          <w:p>
            <w:pPr>
              <w:pStyle w:val="19"/>
              <w:rPr>
                <w:rFonts w:cs="Times New Roman"/>
                <w:sz w:val="21"/>
                <w:szCs w:val="21"/>
              </w:rPr>
            </w:pPr>
            <w:r>
              <w:rPr>
                <w:rFonts w:cs="Times New Roman"/>
                <w:sz w:val="21"/>
                <w:szCs w:val="21"/>
              </w:rPr>
              <w:t>R</w:t>
            </w:r>
            <w:r>
              <w:rPr>
                <w:rFonts w:cs="Times New Roman"/>
                <w:sz w:val="21"/>
                <w:szCs w:val="21"/>
                <w:vertAlign w:val="superscript"/>
              </w:rPr>
              <w:t>2</w:t>
            </w:r>
          </w:p>
        </w:tc>
        <w:tc>
          <w:tcPr>
            <w:tcW w:w="1514" w:type="dxa"/>
            <w:tcBorders>
              <w:top w:val="nil"/>
              <w:bottom w:val="single" w:color="auto" w:sz="12" w:space="0"/>
            </w:tcBorders>
            <w:shd w:val="clear" w:color="auto" w:fill="auto"/>
            <w:noWrap/>
            <w:vAlign w:val="center"/>
          </w:tcPr>
          <w:p>
            <w:pPr>
              <w:pStyle w:val="19"/>
              <w:rPr>
                <w:rFonts w:cs="Times New Roman"/>
                <w:sz w:val="21"/>
                <w:szCs w:val="21"/>
              </w:rPr>
            </w:pPr>
            <w:r>
              <w:rPr>
                <w:rFonts w:cs="Times New Roman"/>
                <w:sz w:val="21"/>
                <w:szCs w:val="21"/>
              </w:rPr>
              <w:t>0.98367</w:t>
            </w:r>
          </w:p>
        </w:tc>
        <w:tc>
          <w:tcPr>
            <w:tcW w:w="1428" w:type="dxa"/>
            <w:tcBorders>
              <w:top w:val="nil"/>
              <w:bottom w:val="single" w:color="auto" w:sz="12" w:space="0"/>
            </w:tcBorders>
            <w:shd w:val="clear" w:color="auto" w:fill="auto"/>
            <w:noWrap/>
            <w:vAlign w:val="center"/>
          </w:tcPr>
          <w:p>
            <w:pPr>
              <w:pStyle w:val="19"/>
              <w:rPr>
                <w:rFonts w:cs="Times New Roman"/>
                <w:sz w:val="21"/>
                <w:szCs w:val="21"/>
              </w:rPr>
            </w:pPr>
            <w:r>
              <w:rPr>
                <w:rFonts w:cs="Times New Roman"/>
                <w:sz w:val="21"/>
                <w:szCs w:val="21"/>
              </w:rPr>
              <w:t>0.97467</w:t>
            </w:r>
          </w:p>
        </w:tc>
        <w:tc>
          <w:tcPr>
            <w:tcW w:w="1428" w:type="dxa"/>
            <w:tcBorders>
              <w:top w:val="nil"/>
              <w:bottom w:val="single" w:color="auto" w:sz="12" w:space="0"/>
            </w:tcBorders>
            <w:shd w:val="clear" w:color="auto" w:fill="auto"/>
            <w:noWrap/>
            <w:vAlign w:val="center"/>
          </w:tcPr>
          <w:p>
            <w:pPr>
              <w:pStyle w:val="19"/>
              <w:rPr>
                <w:rFonts w:cs="Times New Roman"/>
                <w:sz w:val="21"/>
                <w:szCs w:val="21"/>
              </w:rPr>
            </w:pPr>
            <w:r>
              <w:rPr>
                <w:rFonts w:cs="Times New Roman"/>
                <w:sz w:val="21"/>
                <w:szCs w:val="21"/>
              </w:rPr>
              <w:t>0.9765</w:t>
            </w:r>
          </w:p>
        </w:tc>
        <w:tc>
          <w:tcPr>
            <w:tcW w:w="1428" w:type="dxa"/>
            <w:tcBorders>
              <w:top w:val="nil"/>
              <w:bottom w:val="single" w:color="auto" w:sz="12" w:space="0"/>
            </w:tcBorders>
            <w:shd w:val="clear" w:color="auto" w:fill="auto"/>
            <w:noWrap/>
            <w:vAlign w:val="center"/>
          </w:tcPr>
          <w:p>
            <w:pPr>
              <w:pStyle w:val="19"/>
              <w:rPr>
                <w:rFonts w:cs="Times New Roman"/>
                <w:sz w:val="21"/>
                <w:szCs w:val="21"/>
              </w:rPr>
            </w:pPr>
            <w:r>
              <w:rPr>
                <w:rFonts w:cs="Times New Roman"/>
                <w:sz w:val="21"/>
                <w:szCs w:val="21"/>
              </w:rPr>
              <w:t>0.96474</w:t>
            </w:r>
          </w:p>
        </w:tc>
      </w:tr>
    </w:tbl>
    <w:p/>
    <w:p>
      <w:pPr>
        <w:pStyle w:val="17"/>
        <w:jc w:val="center"/>
        <w:rPr>
          <w:rFonts w:ascii="Times New Roman" w:hAnsi="Times New Roman" w:cs="Times New Roman"/>
        </w:rPr>
      </w:pPr>
      <w:r>
        <w:rPr>
          <w:rFonts w:ascii="Times New Roman" w:hAnsi="Times New Roman" w:cs="Times New Roman"/>
        </w:rPr>
        <w:t xml:space="preserve">Table </w:t>
      </w:r>
      <w:r>
        <w:rPr>
          <w:rFonts w:hint="eastAsia" w:ascii="Times New Roman" w:hAnsi="Times New Roman" w:cs="Times New Roman"/>
        </w:rPr>
        <w:t>S4</w:t>
      </w:r>
      <w:r>
        <w:rPr>
          <w:rFonts w:ascii="Times New Roman" w:hAnsi="Times New Roman" w:cs="Times New Roman"/>
        </w:rPr>
        <w:t xml:space="preserve"> Adsorption isotherm model parameters</w:t>
      </w:r>
      <w:r>
        <w:rPr>
          <w:rFonts w:hint="eastAsia" w:ascii="Times New Roman" w:hAnsi="Times New Roman" w:cs="Times New Roman"/>
        </w:rPr>
        <w:t>.</w:t>
      </w:r>
    </w:p>
    <w:tbl>
      <w:tblPr>
        <w:tblStyle w:val="6"/>
        <w:tblW w:w="8372"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80"/>
        <w:gridCol w:w="2699"/>
        <w:gridCol w:w="269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jc w:val="center"/>
        </w:trPr>
        <w:tc>
          <w:tcPr>
            <w:tcW w:w="2980" w:type="dxa"/>
            <w:tcBorders>
              <w:top w:val="single" w:color="auto" w:sz="12" w:space="0"/>
              <w:left w:val="nil"/>
              <w:bottom w:val="single" w:color="auto" w:sz="4" w:space="0"/>
              <w:right w:val="nil"/>
            </w:tcBorders>
            <w:shd w:val="clear" w:color="auto" w:fill="auto"/>
            <w:noWrap/>
            <w:vAlign w:val="bottom"/>
          </w:tcPr>
          <w:p>
            <w:pPr>
              <w:pStyle w:val="17"/>
              <w:rPr>
                <w:rFonts w:ascii="Times New Roman" w:hAnsi="Times New Roman" w:cs="Times New Roman"/>
              </w:rPr>
            </w:pPr>
            <w:r>
              <w:rPr>
                <w:rStyle w:val="16"/>
                <w:rFonts w:ascii="Times New Roman" w:hAnsi="Times New Roman" w:eastAsia="微软雅黑" w:cs="Times New Roman"/>
              </w:rPr>
              <w:t>Model</w:t>
            </w:r>
          </w:p>
        </w:tc>
        <w:tc>
          <w:tcPr>
            <w:tcW w:w="2699" w:type="dxa"/>
            <w:tcBorders>
              <w:top w:val="single" w:color="auto" w:sz="12" w:space="0"/>
              <w:left w:val="nil"/>
              <w:bottom w:val="single" w:color="auto" w:sz="4" w:space="0"/>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Unit</w:t>
            </w:r>
          </w:p>
        </w:tc>
        <w:tc>
          <w:tcPr>
            <w:tcW w:w="2693" w:type="dxa"/>
            <w:tcBorders>
              <w:top w:val="single" w:color="auto" w:sz="12" w:space="0"/>
              <w:left w:val="nil"/>
              <w:bottom w:val="single" w:color="auto" w:sz="4" w:space="0"/>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pH=1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restart"/>
            <w:tcBorders>
              <w:top w:val="single" w:color="auto" w:sz="4" w:space="0"/>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Langmuir</w:t>
            </w:r>
          </w:p>
        </w:tc>
        <w:tc>
          <w:tcPr>
            <w:tcW w:w="2699" w:type="dxa"/>
            <w:tcBorders>
              <w:top w:val="single" w:color="auto" w:sz="4" w:space="0"/>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q</w:t>
            </w:r>
          </w:p>
        </w:tc>
        <w:tc>
          <w:tcPr>
            <w:tcW w:w="2693" w:type="dxa"/>
            <w:tcBorders>
              <w:top w:val="single" w:color="auto" w:sz="4" w:space="0"/>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117.2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continue"/>
            <w:tcBorders>
              <w:top w:val="nil"/>
              <w:left w:val="nil"/>
              <w:right w:val="nil"/>
            </w:tcBorders>
            <w:shd w:val="clear" w:color="auto" w:fill="auto"/>
            <w:noWrap/>
            <w:vAlign w:val="bottom"/>
          </w:tcPr>
          <w:p>
            <w:pPr>
              <w:pStyle w:val="17"/>
              <w:rPr>
                <w:rFonts w:ascii="Times New Roman" w:hAnsi="Times New Roman" w:cs="Times New Roman"/>
              </w:rPr>
            </w:pPr>
          </w:p>
        </w:tc>
        <w:tc>
          <w:tcPr>
            <w:tcW w:w="2699" w:type="dxa"/>
            <w:tcBorders>
              <w:top w:val="nil"/>
              <w:left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L</w:t>
            </w:r>
          </w:p>
        </w:tc>
        <w:tc>
          <w:tcPr>
            <w:tcW w:w="2693" w:type="dxa"/>
            <w:tcBorders>
              <w:top w:val="nil"/>
              <w:left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0.06527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continue"/>
            <w:tcBorders>
              <w:left w:val="nil"/>
              <w:bottom w:val="nil"/>
              <w:right w:val="nil"/>
            </w:tcBorders>
            <w:shd w:val="clear" w:color="auto" w:fill="auto"/>
            <w:noWrap/>
            <w:vAlign w:val="bottom"/>
          </w:tcPr>
          <w:p>
            <w:pPr>
              <w:pStyle w:val="17"/>
              <w:rPr>
                <w:rFonts w:ascii="Times New Roman" w:hAnsi="Times New Roman" w:cs="Times New Roman"/>
              </w:rPr>
            </w:pPr>
          </w:p>
        </w:tc>
        <w:tc>
          <w:tcPr>
            <w:tcW w:w="2699" w:type="dxa"/>
            <w:tcBorders>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R</w:t>
            </w:r>
            <w:r>
              <w:rPr>
                <w:rFonts w:ascii="Times New Roman" w:hAnsi="Times New Roman" w:cs="Times New Roman"/>
                <w:vertAlign w:val="superscript"/>
              </w:rPr>
              <w:t>2</w:t>
            </w:r>
          </w:p>
        </w:tc>
        <w:tc>
          <w:tcPr>
            <w:tcW w:w="2693" w:type="dxa"/>
            <w:tcBorders>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0.9383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restart"/>
            <w:tcBorders>
              <w:top w:val="nil"/>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Freundlich</w:t>
            </w:r>
          </w:p>
        </w:tc>
        <w:tc>
          <w:tcPr>
            <w:tcW w:w="2699" w:type="dxa"/>
            <w:tcBorders>
              <w:top w:val="nil"/>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k</w:t>
            </w:r>
          </w:p>
        </w:tc>
        <w:tc>
          <w:tcPr>
            <w:tcW w:w="2693" w:type="dxa"/>
            <w:tcBorders>
              <w:top w:val="nil"/>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33.83718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continue"/>
            <w:tcBorders>
              <w:top w:val="nil"/>
              <w:left w:val="nil"/>
              <w:bottom w:val="nil"/>
              <w:right w:val="nil"/>
            </w:tcBorders>
            <w:shd w:val="clear" w:color="auto" w:fill="auto"/>
            <w:noWrap/>
            <w:vAlign w:val="bottom"/>
          </w:tcPr>
          <w:p>
            <w:pPr>
              <w:pStyle w:val="17"/>
              <w:rPr>
                <w:rFonts w:ascii="Times New Roman" w:hAnsi="Times New Roman" w:cs="Times New Roman"/>
              </w:rPr>
            </w:pPr>
          </w:p>
        </w:tc>
        <w:tc>
          <w:tcPr>
            <w:tcW w:w="2699" w:type="dxa"/>
            <w:tcBorders>
              <w:top w:val="nil"/>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1/n</w:t>
            </w:r>
          </w:p>
        </w:tc>
        <w:tc>
          <w:tcPr>
            <w:tcW w:w="2693" w:type="dxa"/>
            <w:tcBorders>
              <w:top w:val="nil"/>
              <w:left w:val="nil"/>
              <w:bottom w:val="nil"/>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0.22919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7" w:hRule="atLeast"/>
          <w:jc w:val="center"/>
        </w:trPr>
        <w:tc>
          <w:tcPr>
            <w:tcW w:w="2980" w:type="dxa"/>
            <w:vMerge w:val="continue"/>
            <w:tcBorders>
              <w:top w:val="nil"/>
              <w:left w:val="nil"/>
              <w:bottom w:val="single" w:color="auto" w:sz="12" w:space="0"/>
              <w:right w:val="nil"/>
            </w:tcBorders>
            <w:shd w:val="clear" w:color="auto" w:fill="auto"/>
            <w:noWrap/>
            <w:vAlign w:val="bottom"/>
          </w:tcPr>
          <w:p>
            <w:pPr>
              <w:pStyle w:val="17"/>
              <w:rPr>
                <w:rFonts w:ascii="Times New Roman" w:hAnsi="Times New Roman" w:cs="Times New Roman"/>
              </w:rPr>
            </w:pPr>
          </w:p>
        </w:tc>
        <w:tc>
          <w:tcPr>
            <w:tcW w:w="2699" w:type="dxa"/>
            <w:tcBorders>
              <w:top w:val="nil"/>
              <w:left w:val="nil"/>
              <w:bottom w:val="single" w:color="auto" w:sz="12" w:space="0"/>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R</w:t>
            </w:r>
            <w:r>
              <w:rPr>
                <w:rFonts w:ascii="Times New Roman" w:hAnsi="Times New Roman" w:cs="Times New Roman"/>
                <w:vertAlign w:val="superscript"/>
              </w:rPr>
              <w:t>2</w:t>
            </w:r>
          </w:p>
        </w:tc>
        <w:tc>
          <w:tcPr>
            <w:tcW w:w="2693" w:type="dxa"/>
            <w:tcBorders>
              <w:top w:val="nil"/>
              <w:left w:val="nil"/>
              <w:bottom w:val="single" w:color="auto" w:sz="12" w:space="0"/>
              <w:right w:val="nil"/>
            </w:tcBorders>
            <w:shd w:val="clear" w:color="auto" w:fill="auto"/>
            <w:noWrap/>
            <w:vAlign w:val="bottom"/>
          </w:tcPr>
          <w:p>
            <w:pPr>
              <w:pStyle w:val="17"/>
              <w:rPr>
                <w:rFonts w:ascii="Times New Roman" w:hAnsi="Times New Roman" w:cs="Times New Roman"/>
              </w:rPr>
            </w:pPr>
            <w:r>
              <w:rPr>
                <w:rFonts w:ascii="Times New Roman" w:hAnsi="Times New Roman" w:cs="Times New Roman"/>
              </w:rPr>
              <w:t>0.85299</w:t>
            </w:r>
          </w:p>
        </w:tc>
      </w:tr>
    </w:tbl>
    <w:p/>
    <w:p/>
    <w:p/>
    <w:p>
      <w:pPr>
        <w:pStyle w:val="17"/>
        <w:jc w:val="center"/>
        <w:rPr>
          <w:rFonts w:ascii="Times New Roman" w:hAnsi="Times New Roman" w:cs="Times New Roman"/>
          <w:sz w:val="24"/>
          <w:szCs w:val="24"/>
        </w:rPr>
      </w:pPr>
      <w:r>
        <w:drawing>
          <wp:anchor distT="0" distB="0" distL="114300" distR="114300" simplePos="0" relativeHeight="251662336" behindDoc="0" locked="0" layoutInCell="1" allowOverlap="1">
            <wp:simplePos x="0" y="0"/>
            <wp:positionH relativeFrom="column">
              <wp:posOffset>1118870</wp:posOffset>
            </wp:positionH>
            <wp:positionV relativeFrom="paragraph">
              <wp:posOffset>6985</wp:posOffset>
            </wp:positionV>
            <wp:extent cx="3289300" cy="2519680"/>
            <wp:effectExtent l="0" t="0" r="6350" b="0"/>
            <wp:wrapTopAndBottom/>
            <wp:docPr id="4" name="图片 4" descr="C:\Users\Administrator\Desktop\fi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figS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289300" cy="2519680"/>
                    </a:xfrm>
                    <a:prstGeom prst="rect">
                      <a:avLst/>
                    </a:prstGeom>
                    <a:noFill/>
                    <a:ln>
                      <a:noFill/>
                    </a:ln>
                  </pic:spPr>
                </pic:pic>
              </a:graphicData>
            </a:graphic>
          </wp:anchor>
        </w:drawing>
      </w:r>
      <w:r>
        <w:rPr>
          <w:rFonts w:ascii="Times New Roman" w:hAnsi="Times New Roman" w:cs="Times New Roman"/>
          <w:sz w:val="24"/>
          <w:szCs w:val="24"/>
        </w:rPr>
        <w:t>Fig</w:t>
      </w:r>
      <w:r>
        <w:rPr>
          <w:rFonts w:hint="eastAsia" w:ascii="Times New Roman" w:hAnsi="Times New Roman" w:cs="Times New Roman"/>
          <w:sz w:val="24"/>
          <w:szCs w:val="24"/>
        </w:rPr>
        <w:t>.S3.</w:t>
      </w:r>
      <w:r>
        <w:rPr>
          <w:rFonts w:ascii="Times New Roman" w:hAnsi="Times New Roman" w:cs="Times New Roman"/>
          <w:sz w:val="24"/>
          <w:szCs w:val="24"/>
        </w:rPr>
        <w:t xml:space="preserve"> Intra-particle diffusion model fitting of Pt(IV)</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adsorption process</w:t>
      </w:r>
      <w:r>
        <w:rPr>
          <w:rFonts w:hint="eastAsia" w:ascii="Times New Roman" w:hAnsi="Times New Roman" w:cs="Times New Roman"/>
          <w:sz w:val="24"/>
          <w:szCs w:val="24"/>
        </w:rPr>
        <w:t>.</w:t>
      </w:r>
    </w:p>
    <w:p>
      <w:pPr>
        <w:pStyle w:val="17"/>
        <w:jc w:val="both"/>
        <w:rPr>
          <w:rFonts w:ascii="Times New Roman" w:hAnsi="Times New Roman" w:cs="Times New Roman"/>
          <w:sz w:val="24"/>
          <w:szCs w:val="24"/>
        </w:rPr>
      </w:pPr>
      <w:r>
        <w:drawing>
          <wp:anchor distT="0" distB="0" distL="114300" distR="114300" simplePos="0" relativeHeight="251663360" behindDoc="0" locked="0" layoutInCell="1" allowOverlap="1">
            <wp:simplePos x="0" y="0"/>
            <wp:positionH relativeFrom="column">
              <wp:posOffset>1269365</wp:posOffset>
            </wp:positionH>
            <wp:positionV relativeFrom="paragraph">
              <wp:posOffset>315595</wp:posOffset>
            </wp:positionV>
            <wp:extent cx="3138170" cy="2519680"/>
            <wp:effectExtent l="0" t="0" r="5080" b="0"/>
            <wp:wrapTopAndBottom/>
            <wp:docPr id="5" name="图片 5" descr="C:\Users\Administrator\Desktop\fig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figS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138170" cy="2519680"/>
                    </a:xfrm>
                    <a:prstGeom prst="rect">
                      <a:avLst/>
                    </a:prstGeom>
                    <a:noFill/>
                    <a:ln>
                      <a:noFill/>
                    </a:ln>
                  </pic:spPr>
                </pic:pic>
              </a:graphicData>
            </a:graphic>
          </wp:anchor>
        </w:drawing>
      </w:r>
    </w:p>
    <w:p>
      <w:pPr>
        <w:pStyle w:val="17"/>
        <w:jc w:val="center"/>
        <w:rPr>
          <w:rFonts w:ascii="Times New Roman" w:hAnsi="Times New Roman" w:cs="Times New Roman"/>
          <w:sz w:val="24"/>
          <w:szCs w:val="24"/>
        </w:rPr>
      </w:pPr>
      <w:r>
        <w:rPr>
          <w:rFonts w:ascii="Times New Roman" w:hAnsi="Times New Roman" w:cs="Times New Roman"/>
          <w:sz w:val="24"/>
          <w:szCs w:val="24"/>
        </w:rPr>
        <w:t>Fig</w:t>
      </w:r>
      <w:r>
        <w:rPr>
          <w:rFonts w:hint="eastAsia" w:ascii="Times New Roman" w:hAnsi="Times New Roman" w:cs="Times New Roman"/>
          <w:sz w:val="24"/>
          <w:szCs w:val="24"/>
        </w:rPr>
        <w:t>.S</w:t>
      </w:r>
      <w:r>
        <w:rPr>
          <w:rFonts w:ascii="Times New Roman" w:hAnsi="Times New Roman" w:cs="Times New Roman"/>
          <w:sz w:val="24"/>
          <w:szCs w:val="24"/>
        </w:rPr>
        <w:t>4</w:t>
      </w:r>
      <w:r>
        <w:rPr>
          <w:rFonts w:hint="eastAsia" w:ascii="Times New Roman" w:hAnsi="Times New Roman" w:cs="Times New Roman"/>
          <w:sz w:val="24"/>
          <w:szCs w:val="24"/>
        </w:rPr>
        <w:t>.</w:t>
      </w:r>
      <w:r>
        <w:rPr>
          <w:rFonts w:ascii="Times New Roman" w:hAnsi="Times New Roman" w:cs="Times New Roman"/>
          <w:sz w:val="24"/>
          <w:szCs w:val="24"/>
        </w:rPr>
        <w:t xml:space="preserve"> FTIR of ML/ACPG </w:t>
      </w:r>
      <w:r>
        <w:rPr>
          <w:rFonts w:ascii="Times New Roman" w:hAnsi="Times New Roman" w:eastAsia="微软雅黑" w:cs="Times New Roman"/>
          <w:kern w:val="0"/>
          <w:sz w:val="24"/>
          <w:szCs w:val="24"/>
        </w:rPr>
        <w:t>sponge</w:t>
      </w:r>
      <w:r>
        <w:rPr>
          <w:rFonts w:hint="eastAsia" w:ascii="Times New Roman" w:hAnsi="Times New Roman" w:eastAsia="微软雅黑" w:cs="Times New Roman"/>
          <w:kern w:val="0"/>
          <w:sz w:val="24"/>
          <w:szCs w:val="24"/>
          <w:lang w:val="en-US" w:eastAsia="zh-CN"/>
        </w:rPr>
        <w:t xml:space="preserve"> </w:t>
      </w:r>
      <w:r>
        <w:rPr>
          <w:rFonts w:ascii="Times New Roman" w:hAnsi="Times New Roman" w:cs="Times New Roman"/>
          <w:sz w:val="24"/>
          <w:szCs w:val="24"/>
        </w:rPr>
        <w:t xml:space="preserve">and </w:t>
      </w:r>
      <w:r>
        <w:rPr>
          <w:rFonts w:ascii="Times New Roman" w:hAnsi="Times New Roman" w:eastAsia="微软雅黑" w:cs="Times New Roman"/>
          <w:kern w:val="0"/>
          <w:sz w:val="24"/>
          <w:szCs w:val="24"/>
        </w:rPr>
        <w:t>Pt(IV)</w:t>
      </w:r>
      <w:r>
        <w:rPr>
          <w:rFonts w:hint="eastAsia" w:ascii="Times New Roman" w:hAnsi="Times New Roman" w:eastAsia="微软雅黑" w:cs="Times New Roman"/>
          <w:kern w:val="0"/>
          <w:sz w:val="24"/>
          <w:szCs w:val="24"/>
        </w:rPr>
        <w:t>-</w:t>
      </w:r>
      <w:r>
        <w:rPr>
          <w:rFonts w:hint="eastAsia" w:ascii="Times New Roman" w:hAnsi="Times New Roman" w:cs="Times New Roman"/>
          <w:sz w:val="24"/>
          <w:szCs w:val="24"/>
        </w:rPr>
        <w:t xml:space="preserve">loaded </w:t>
      </w:r>
      <w:r>
        <w:rPr>
          <w:rFonts w:ascii="Times New Roman" w:hAnsi="Times New Roman" w:eastAsia="微软雅黑" w:cs="Times New Roman"/>
          <w:kern w:val="0"/>
          <w:sz w:val="24"/>
          <w:szCs w:val="24"/>
        </w:rPr>
        <w:t>ML/ACPG sponge</w:t>
      </w:r>
      <w:r>
        <w:rPr>
          <w:rFonts w:hint="eastAsia" w:ascii="Times New Roman" w:hAnsi="Times New Roman" w:cs="Times New Roman"/>
          <w:sz w:val="24"/>
          <w:szCs w:val="24"/>
        </w:rPr>
        <w:t>.</w:t>
      </w:r>
    </w:p>
    <w:p/>
    <w:p>
      <w:pPr>
        <w:jc w:val="center"/>
      </w:pPr>
      <w:r>
        <w:rPr>
          <w:rFonts w:ascii="Times New Roman" w:hAnsi="Times New Roman" w:cs="Times New Roman"/>
          <w:sz w:val="24"/>
          <w:szCs w:val="24"/>
        </w:rPr>
        <w:drawing>
          <wp:anchor distT="0" distB="0" distL="114300" distR="114300" simplePos="0" relativeHeight="251664384" behindDoc="0" locked="0" layoutInCell="1" allowOverlap="1">
            <wp:simplePos x="0" y="0"/>
            <wp:positionH relativeFrom="column">
              <wp:posOffset>783590</wp:posOffset>
            </wp:positionH>
            <wp:positionV relativeFrom="paragraph">
              <wp:posOffset>173990</wp:posOffset>
            </wp:positionV>
            <wp:extent cx="3895090" cy="1530350"/>
            <wp:effectExtent l="0" t="0" r="0" b="0"/>
            <wp:wrapTopAndBottom/>
            <wp:docPr id="1084" name="图片 12"/>
            <wp:cNvGraphicFramePr/>
            <a:graphic xmlns:a="http://schemas.openxmlformats.org/drawingml/2006/main">
              <a:graphicData uri="http://schemas.openxmlformats.org/drawingml/2006/picture">
                <pic:pic xmlns:pic="http://schemas.openxmlformats.org/drawingml/2006/picture">
                  <pic:nvPicPr>
                    <pic:cNvPr id="1084" name="图片 12"/>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895090" cy="1530350"/>
                    </a:xfrm>
                    <a:prstGeom prst="rect">
                      <a:avLst/>
                    </a:prstGeom>
                  </pic:spPr>
                </pic:pic>
              </a:graphicData>
            </a:graphic>
          </wp:anchor>
        </w:drawing>
      </w:r>
      <w:r>
        <w:rPr>
          <w:rFonts w:ascii="Times New Roman" w:hAnsi="Times New Roman" w:cs="Times New Roman"/>
          <w:sz w:val="24"/>
          <w:szCs w:val="24"/>
        </w:rPr>
        <w:t>Fig</w:t>
      </w:r>
      <w:r>
        <w:rPr>
          <w:rFonts w:hint="eastAsia" w:ascii="Times New Roman" w:hAnsi="Times New Roman" w:cs="Times New Roman"/>
          <w:sz w:val="24"/>
          <w:szCs w:val="24"/>
        </w:rPr>
        <w:t xml:space="preserve">.S5. </w:t>
      </w:r>
      <w:r>
        <w:rPr>
          <w:rFonts w:ascii="Times New Roman" w:hAnsi="Times New Roman" w:cs="Times New Roman"/>
          <w:sz w:val="24"/>
          <w:szCs w:val="24"/>
        </w:rPr>
        <w:t>Distribution of Cl and Pt</w:t>
      </w:r>
      <w:r>
        <w:rPr>
          <w:rFonts w:hint="eastAsia" w:ascii="Times New Roman" w:hAnsi="Times New Roman" w:cs="Times New Roman"/>
          <w:sz w:val="24"/>
          <w:szCs w:val="24"/>
          <w:lang w:val="en-US" w:eastAsia="zh-CN"/>
        </w:rPr>
        <w:t xml:space="preserve"> of the </w:t>
      </w:r>
      <w:r>
        <w:rPr>
          <w:rFonts w:ascii="Times New Roman" w:hAnsi="Times New Roman" w:eastAsia="微软雅黑" w:cs="Times New Roman"/>
          <w:kern w:val="0"/>
          <w:sz w:val="24"/>
          <w:szCs w:val="24"/>
        </w:rPr>
        <w:t>Pt(IV)</w:t>
      </w:r>
      <w:r>
        <w:rPr>
          <w:rFonts w:hint="eastAsia" w:ascii="Times New Roman" w:hAnsi="Times New Roman" w:eastAsia="微软雅黑" w:cs="Times New Roman"/>
          <w:kern w:val="0"/>
          <w:sz w:val="24"/>
          <w:szCs w:val="24"/>
        </w:rPr>
        <w:t>-</w:t>
      </w:r>
      <w:r>
        <w:rPr>
          <w:rFonts w:hint="eastAsia" w:ascii="Times New Roman" w:hAnsi="Times New Roman" w:cs="Times New Roman"/>
          <w:sz w:val="24"/>
          <w:szCs w:val="24"/>
        </w:rPr>
        <w:t xml:space="preserve">loaded </w:t>
      </w:r>
      <w:r>
        <w:rPr>
          <w:rFonts w:ascii="Times New Roman" w:hAnsi="Times New Roman" w:eastAsia="微软雅黑" w:cs="Times New Roman"/>
          <w:kern w:val="0"/>
          <w:sz w:val="24"/>
          <w:szCs w:val="24"/>
        </w:rPr>
        <w:t>ML/ACPG sponge</w:t>
      </w:r>
      <w:r>
        <w:rPr>
          <w:rFonts w:hint="eastAsia" w:ascii="Times New Roman" w:hAnsi="Times New Roman" w:cs="Times New Roman"/>
          <w:sz w:val="24"/>
          <w:szCs w:val="24"/>
        </w:rPr>
        <w:t>.</w:t>
      </w:r>
    </w:p>
    <w:p>
      <w:pPr>
        <w:rPr>
          <w:rFonts w:hint="eastAsia"/>
        </w:rPr>
      </w:pPr>
    </w:p>
    <w:p>
      <w:r>
        <w:drawing>
          <wp:anchor distT="0" distB="0" distL="114300" distR="114300" simplePos="0" relativeHeight="251666432" behindDoc="0" locked="0" layoutInCell="1" allowOverlap="1">
            <wp:simplePos x="0" y="0"/>
            <wp:positionH relativeFrom="column">
              <wp:posOffset>-65405</wp:posOffset>
            </wp:positionH>
            <wp:positionV relativeFrom="paragraph">
              <wp:posOffset>110490</wp:posOffset>
            </wp:positionV>
            <wp:extent cx="5274310" cy="2017395"/>
            <wp:effectExtent l="0" t="0" r="2540" b="1905"/>
            <wp:wrapTopAndBottom/>
            <wp:docPr id="6" name="图片 6" descr="C:\Users\Administrator\Desktop\fig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figs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2017395"/>
                    </a:xfrm>
                    <a:prstGeom prst="rect">
                      <a:avLst/>
                    </a:prstGeom>
                    <a:noFill/>
                    <a:ln>
                      <a:noFill/>
                    </a:ln>
                  </pic:spPr>
                </pic:pic>
              </a:graphicData>
            </a:graphic>
          </wp:anchor>
        </w:drawing>
      </w:r>
      <w:r>
        <w:rPr>
          <w:rFonts w:ascii="Times New Roman" w:hAnsi="Times New Roman" w:cs="Times New Roman"/>
          <w:sz w:val="24"/>
          <w:szCs w:val="24"/>
        </w:rPr>
        <w:t>Fig</w:t>
      </w:r>
      <w:r>
        <w:rPr>
          <w:rFonts w:hint="eastAsia" w:ascii="Times New Roman" w:hAnsi="Times New Roman" w:cs="Times New Roman"/>
          <w:sz w:val="24"/>
          <w:szCs w:val="24"/>
        </w:rPr>
        <w:t>.S6.</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(a) </w:t>
      </w:r>
      <w:r>
        <w:rPr>
          <w:rFonts w:ascii="Times New Roman" w:hAnsi="Times New Roman" w:cs="Times New Roman"/>
          <w:sz w:val="24"/>
          <w:szCs w:val="24"/>
        </w:rPr>
        <w:t xml:space="preserve">XPS spectrum of ML/ACPG </w:t>
      </w:r>
      <w:r>
        <w:rPr>
          <w:rFonts w:ascii="Times New Roman" w:hAnsi="Times New Roman" w:eastAsia="微软雅黑" w:cs="Times New Roman"/>
          <w:kern w:val="0"/>
          <w:sz w:val="24"/>
          <w:szCs w:val="24"/>
        </w:rPr>
        <w:t>sponge</w:t>
      </w:r>
      <w:r>
        <w:rPr>
          <w:rFonts w:hint="eastAsia" w:ascii="Times New Roman" w:hAnsi="Times New Roman" w:eastAsia="微软雅黑" w:cs="Times New Roman"/>
          <w:kern w:val="0"/>
          <w:sz w:val="24"/>
          <w:szCs w:val="24"/>
          <w:lang w:val="en-US" w:eastAsia="zh-CN"/>
        </w:rPr>
        <w:t xml:space="preserve"> </w:t>
      </w:r>
      <w:r>
        <w:rPr>
          <w:rFonts w:ascii="Times New Roman" w:hAnsi="Times New Roman" w:cs="Times New Roman"/>
          <w:sz w:val="24"/>
          <w:szCs w:val="24"/>
        </w:rPr>
        <w:t xml:space="preserve">and </w:t>
      </w:r>
      <w:r>
        <w:rPr>
          <w:rFonts w:ascii="Times New Roman" w:hAnsi="Times New Roman" w:eastAsia="微软雅黑" w:cs="Times New Roman"/>
          <w:kern w:val="0"/>
          <w:sz w:val="24"/>
          <w:szCs w:val="24"/>
        </w:rPr>
        <w:t>Pt(IV)</w:t>
      </w:r>
      <w:r>
        <w:rPr>
          <w:rFonts w:hint="eastAsia" w:ascii="Times New Roman" w:hAnsi="Times New Roman" w:eastAsia="微软雅黑" w:cs="Times New Roman"/>
          <w:kern w:val="0"/>
          <w:sz w:val="24"/>
          <w:szCs w:val="24"/>
        </w:rPr>
        <w:t>-</w:t>
      </w:r>
      <w:r>
        <w:rPr>
          <w:rFonts w:hint="eastAsia" w:ascii="Times New Roman" w:hAnsi="Times New Roman" w:cs="Times New Roman"/>
          <w:sz w:val="24"/>
          <w:szCs w:val="24"/>
        </w:rPr>
        <w:t xml:space="preserve">loaded </w:t>
      </w:r>
      <w:r>
        <w:rPr>
          <w:rFonts w:ascii="Times New Roman" w:hAnsi="Times New Roman" w:eastAsia="微软雅黑" w:cs="Times New Roman"/>
          <w:kern w:val="0"/>
          <w:sz w:val="24"/>
          <w:szCs w:val="24"/>
        </w:rPr>
        <w:t>ML/ACPG sponge</w:t>
      </w:r>
      <w:r>
        <w:rPr>
          <w:rFonts w:hint="eastAsia" w:ascii="Times New Roman" w:hAnsi="Times New Roman" w:cs="Times New Roman"/>
          <w:sz w:val="24"/>
          <w:szCs w:val="24"/>
        </w:rPr>
        <w:t>. (b)</w:t>
      </w:r>
      <w:r>
        <w:rPr>
          <w:rFonts w:ascii="Times New Roman" w:hAnsi="Times New Roman" w:cs="Times New Roman"/>
          <w:sz w:val="24"/>
          <w:szCs w:val="24"/>
        </w:rPr>
        <w:t xml:space="preserve"> Pt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4f spectrum</w:t>
      </w:r>
      <w:r>
        <w:rPr>
          <w:rFonts w:hint="eastAsia" w:ascii="Times New Roman" w:hAnsi="Times New Roman" w:cs="Times New Roman"/>
          <w:sz w:val="24"/>
          <w:szCs w:val="24"/>
          <w:lang w:val="en-US" w:eastAsia="zh-CN"/>
        </w:rPr>
        <w:t xml:space="preserve"> of </w:t>
      </w:r>
      <w:r>
        <w:rPr>
          <w:rFonts w:ascii="Times New Roman" w:hAnsi="Times New Roman" w:eastAsia="微软雅黑" w:cs="Times New Roman"/>
          <w:kern w:val="0"/>
          <w:sz w:val="24"/>
          <w:szCs w:val="24"/>
        </w:rPr>
        <w:t>Pt(IV)</w:t>
      </w:r>
      <w:r>
        <w:rPr>
          <w:rFonts w:hint="eastAsia" w:ascii="Times New Roman" w:hAnsi="Times New Roman" w:eastAsia="微软雅黑" w:cs="Times New Roman"/>
          <w:kern w:val="0"/>
          <w:sz w:val="24"/>
          <w:szCs w:val="24"/>
        </w:rPr>
        <w:t>-</w:t>
      </w:r>
      <w:r>
        <w:rPr>
          <w:rFonts w:hint="eastAsia" w:ascii="Times New Roman" w:hAnsi="Times New Roman" w:cs="Times New Roman"/>
          <w:sz w:val="24"/>
          <w:szCs w:val="24"/>
        </w:rPr>
        <w:t xml:space="preserve">loaded </w:t>
      </w:r>
      <w:r>
        <w:rPr>
          <w:rFonts w:ascii="Times New Roman" w:hAnsi="Times New Roman" w:eastAsia="微软雅黑" w:cs="Times New Roman"/>
          <w:kern w:val="0"/>
          <w:sz w:val="24"/>
          <w:szCs w:val="24"/>
        </w:rPr>
        <w:t>ML/ACPG sponge</w:t>
      </w:r>
      <w:r>
        <w:rPr>
          <w:rFonts w:hint="eastAsia" w:ascii="Times New Roman" w:hAnsi="Times New Roman" w:cs="Times New Roman"/>
          <w:sz w:val="24"/>
          <w:szCs w:val="24"/>
        </w:rPr>
        <w:t>.</w:t>
      </w:r>
    </w:p>
    <w:p>
      <w:pPr>
        <w:pStyle w:val="15"/>
        <w:spacing w:before="240"/>
        <w:ind w:firstLine="0"/>
        <w:rPr>
          <w:rFonts w:ascii="Times New Roman" w:hAnsi="Times New Roman" w:cs="Times New Roman"/>
          <w:bCs/>
          <w:i/>
          <w:lang w:eastAsia="zh-CN"/>
        </w:rPr>
      </w:pPr>
      <w:r>
        <w:rPr>
          <w:rFonts w:hint="eastAsia" w:ascii="Times New Roman" w:hAnsi="Times New Roman" w:cs="Times New Roman"/>
          <w:bCs/>
          <w:i/>
          <w:iCs/>
          <w:lang w:eastAsia="zh-CN"/>
        </w:rPr>
        <w:t xml:space="preserve">3.6 Application to the treatment of acid leachates </w:t>
      </w:r>
    </w:p>
    <w:p>
      <w:pPr>
        <w:pStyle w:val="17"/>
        <w:jc w:val="center"/>
        <w:rPr>
          <w:rFonts w:hint="eastAsia" w:eastAsiaTheme="minorEastAsia"/>
          <w:lang w:val="en-US" w:eastAsia="zh-CN"/>
        </w:rPr>
      </w:pPr>
      <w:r>
        <w:rPr>
          <w:rFonts w:ascii="Times New Roman" w:hAnsi="Times New Roman" w:cs="Times New Roman"/>
          <w:szCs w:val="24"/>
        </w:rPr>
        <w:drawing>
          <wp:anchor distT="0" distB="0" distL="114300" distR="114300" simplePos="0" relativeHeight="251661312" behindDoc="0" locked="0" layoutInCell="1" allowOverlap="1">
            <wp:simplePos x="0" y="0"/>
            <wp:positionH relativeFrom="column">
              <wp:posOffset>905510</wp:posOffset>
            </wp:positionH>
            <wp:positionV relativeFrom="paragraph">
              <wp:posOffset>23495</wp:posOffset>
            </wp:positionV>
            <wp:extent cx="3239770" cy="2552065"/>
            <wp:effectExtent l="0" t="0" r="0" b="635"/>
            <wp:wrapTopAndBottom/>
            <wp:docPr id="2" name="图片 2" descr="C:\Users\Administrator\Desktop\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fig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239770" cy="2552065"/>
                    </a:xfrm>
                    <a:prstGeom prst="rect">
                      <a:avLst/>
                    </a:prstGeom>
                    <a:noFill/>
                    <a:ln>
                      <a:noFill/>
                    </a:ln>
                  </pic:spPr>
                </pic:pic>
              </a:graphicData>
            </a:graphic>
          </wp:anchor>
        </w:drawing>
      </w:r>
      <w:r>
        <w:rPr>
          <w:rFonts w:ascii="Times New Roman" w:hAnsi="Times New Roman" w:cs="Times New Roman"/>
          <w:sz w:val="24"/>
          <w:szCs w:val="24"/>
        </w:rPr>
        <w:t>Fig</w:t>
      </w:r>
      <w:r>
        <w:rPr>
          <w:rFonts w:hint="eastAsia" w:ascii="Times New Roman" w:hAnsi="Times New Roman" w:cs="Times New Roman"/>
          <w:sz w:val="24"/>
          <w:szCs w:val="24"/>
        </w:rPr>
        <w:t>.S7</w:t>
      </w:r>
      <w:r>
        <w:rPr>
          <w:rFonts w:ascii="Times New Roman" w:hAnsi="Times New Roman" w:cs="Times New Roman"/>
          <w:sz w:val="24"/>
          <w:szCs w:val="24"/>
        </w:rPr>
        <w:t xml:space="preserve"> Adsorption efficiency of Pt(IV) with different regeneration </w:t>
      </w:r>
      <w:r>
        <w:rPr>
          <w:rFonts w:hint="eastAsia" w:ascii="Times New Roman" w:hAnsi="Times New Roman" w:cs="Times New Roman"/>
          <w:sz w:val="24"/>
          <w:szCs w:val="24"/>
          <w:lang w:val="en-US" w:eastAsia="zh-CN"/>
        </w:rPr>
        <w:t>cycle</w:t>
      </w:r>
      <w:r>
        <w:rPr>
          <w:rFonts w:ascii="Times New Roman" w:hAnsi="Times New Roman" w:cs="Times New Roman"/>
          <w:sz w:val="24"/>
          <w:szCs w:val="24"/>
        </w:rPr>
        <w:t>s</w:t>
      </w:r>
      <w:r>
        <w:rPr>
          <w:rFonts w:hint="eastAsia" w:ascii="Times New Roman" w:hAnsi="Times New Roman" w:cs="Times New Roman"/>
          <w:sz w:val="24"/>
          <w:szCs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2020803070505020304"/>
    <w:charset w:val="00"/>
    <w:family w:val="roman"/>
    <w:pitch w:val="default"/>
    <w:sig w:usb0="00000000" w:usb1="00000000" w:usb2="00000009" w:usb3="00000000" w:csb0="400001FF" w:csb1="FFFF0000"/>
  </w:font>
  <w:font w:name="Times">
    <w:altName w:val="苹方-简"/>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苹方-简">
    <w:panose1 w:val="020B0400000000000000"/>
    <w:charset w:val="80"/>
    <w:family w:val="auto"/>
    <w:pitch w:val="default"/>
    <w:sig w:usb0="A00002FF" w:usb1="7ACFFDFB" w:usb2="00000016" w:usb3="00000000" w:csb0="60020101" w:csb1="C0D6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adjustRightInd w:val="0"/>
        <w:spacing w:line="480" w:lineRule="auto"/>
        <w:rPr>
          <w:rFonts w:ascii="Times New Roman" w:hAnsi="Times New Roman" w:cs="Times New Roman"/>
          <w:sz w:val="24"/>
          <w:szCs w:val="20"/>
        </w:rPr>
      </w:pPr>
      <w:r>
        <w:rPr>
          <w:rStyle w:val="10"/>
          <w:rFonts w:ascii="Times New Roman" w:hAnsi="Times New Roman" w:cs="Times New Roman"/>
          <w:szCs w:val="20"/>
        </w:rPr>
        <w:sym w:font="Symbol" w:char="F02A"/>
      </w:r>
      <w:r>
        <w:rPr>
          <w:rStyle w:val="10"/>
          <w:rFonts w:ascii="Times New Roman" w:hAnsi="Times New Roman" w:cs="Times New Roman"/>
          <w:szCs w:val="20"/>
        </w:rPr>
        <w:t xml:space="preserve"> </w:t>
      </w:r>
      <w:r>
        <w:rPr>
          <w:rFonts w:ascii="Times New Roman" w:hAnsi="Times New Roman" w:cs="Times New Roman"/>
          <w:sz w:val="24"/>
          <w:szCs w:val="20"/>
        </w:rPr>
        <w:t>Corresponding author. Tel.: +86 755 26732904; fax: +86 755 26536141.</w:t>
      </w:r>
    </w:p>
    <w:p>
      <w:pPr>
        <w:adjustRightInd w:val="0"/>
        <w:spacing w:line="480" w:lineRule="auto"/>
      </w:pPr>
      <w:r>
        <w:rPr>
          <w:rFonts w:ascii="Times New Roman" w:hAnsi="Times New Roman" w:cs="Times New Roman"/>
          <w:sz w:val="24"/>
        </w:rPr>
        <w:t xml:space="preserve"> </w:t>
      </w:r>
      <w:r>
        <w:rPr>
          <w:rFonts w:ascii="Times New Roman" w:hAnsi="Times New Roman" w:cs="Times New Roman"/>
          <w:i/>
          <w:sz w:val="24"/>
          <w:szCs w:val="21"/>
          <w:lang w:val="it-IT"/>
        </w:rPr>
        <w:t>E-mail address:</w:t>
      </w:r>
      <w:r>
        <w:rPr>
          <w:rFonts w:ascii="Times New Roman" w:hAnsi="Times New Roman" w:cs="Times New Roman"/>
          <w:sz w:val="24"/>
          <w:lang w:val="it-IT"/>
        </w:rPr>
        <w:t xml:space="preserve"> </w:t>
      </w:r>
      <w:r>
        <w:fldChar w:fldCharType="begin"/>
      </w:r>
      <w:r>
        <w:instrText xml:space="preserve"> HYPERLINK "mailto:boyang@szu.edu.cn" </w:instrText>
      </w:r>
      <w:r>
        <w:fldChar w:fldCharType="separate"/>
      </w:r>
      <w:r>
        <w:rPr>
          <w:rStyle w:val="9"/>
          <w:rFonts w:hint="eastAsia" w:ascii="Times New Roman" w:hAnsi="Times New Roman"/>
          <w:sz w:val="24"/>
          <w:szCs w:val="21"/>
        </w:rPr>
        <w:t>xiaoke</w:t>
      </w:r>
      <w:r>
        <w:rPr>
          <w:rStyle w:val="9"/>
          <w:rFonts w:ascii="Times New Roman" w:hAnsi="Times New Roman"/>
          <w:sz w:val="24"/>
          <w:szCs w:val="21"/>
          <w:lang w:val="it-IT"/>
        </w:rPr>
        <w:t>@szu.edu.cn</w:t>
      </w:r>
      <w:r>
        <w:rPr>
          <w:rStyle w:val="9"/>
          <w:rFonts w:ascii="Times New Roman" w:hAnsi="Times New Roman"/>
          <w:sz w:val="24"/>
          <w:szCs w:val="21"/>
          <w:lang w:val="it-IT"/>
        </w:rPr>
        <w:fldChar w:fldCharType="end"/>
      </w:r>
      <w:r>
        <w:rPr>
          <w:rFonts w:ascii="Times New Roman" w:hAnsi="Times New Roman" w:cs="Times New Roman"/>
          <w:sz w:val="24"/>
          <w:szCs w:val="21"/>
          <w:lang w:val="it-IT"/>
        </w:rPr>
        <w:t xml:space="preserve"> (</w:t>
      </w:r>
      <w:r>
        <w:rPr>
          <w:rFonts w:hint="eastAsia" w:ascii="Times New Roman" w:hAnsi="Times New Roman" w:cs="Times New Roman"/>
          <w:sz w:val="24"/>
          <w:szCs w:val="21"/>
        </w:rPr>
        <w:t>K</w:t>
      </w:r>
      <w:r>
        <w:rPr>
          <w:rFonts w:ascii="Times New Roman" w:hAnsi="Times New Roman" w:cs="Times New Roman"/>
          <w:sz w:val="24"/>
          <w:szCs w:val="21"/>
          <w:lang w:val="it-IT"/>
        </w:rPr>
        <w:t xml:space="preserve">. </w:t>
      </w:r>
      <w:r>
        <w:rPr>
          <w:rFonts w:hint="eastAsia" w:ascii="Times New Roman" w:hAnsi="Times New Roman" w:cs="Times New Roman"/>
          <w:sz w:val="24"/>
          <w:szCs w:val="21"/>
        </w:rPr>
        <w:t>Xiao</w:t>
      </w:r>
      <w:r>
        <w:rPr>
          <w:rFonts w:ascii="Times New Roman" w:hAnsi="Times New Roman" w:cs="Times New Roman"/>
          <w:sz w:val="24"/>
          <w:szCs w:val="21"/>
          <w:lang w:val="it-IT"/>
        </w:rPr>
        <w:t>)</w:t>
      </w:r>
      <w:r>
        <w:rPr>
          <w:rFonts w:ascii="Times New Roman" w:hAnsi="Times New Roman" w:cs="Times New Roman"/>
          <w:sz w:val="24"/>
          <w:szCs w:val="24"/>
          <w:lang w:val="it-I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7487"/>
    <w:multiLevelType w:val="multilevel"/>
    <w:tmpl w:val="0B957487"/>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37C1E6C"/>
    <w:multiLevelType w:val="multilevel"/>
    <w:tmpl w:val="137C1E6C"/>
    <w:lvl w:ilvl="0" w:tentative="0">
      <w:start w:val="3"/>
      <w:numFmt w:val="decimal"/>
      <w:lvlText w:val="%1."/>
      <w:lvlJc w:val="left"/>
      <w:pPr>
        <w:ind w:left="360" w:hanging="360"/>
      </w:pPr>
      <w:rPr>
        <w:rFonts w:hint="default"/>
      </w:rPr>
    </w:lvl>
    <w:lvl w:ilvl="1" w:tentative="0">
      <w:start w:val="4"/>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64A30C7B"/>
    <w:multiLevelType w:val="multilevel"/>
    <w:tmpl w:val="64A30C7B"/>
    <w:lvl w:ilvl="0" w:tentative="0">
      <w:start w:val="3"/>
      <w:numFmt w:val="decimal"/>
      <w:lvlText w:val="%1."/>
      <w:lvlJc w:val="left"/>
      <w:pPr>
        <w:ind w:left="360" w:hanging="360"/>
      </w:pPr>
      <w:rPr>
        <w:rFonts w:hint="default"/>
      </w:rPr>
    </w:lvl>
    <w:lvl w:ilvl="1" w:tentative="0">
      <w:start w:val="4"/>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482"/>
    <w:rsid w:val="00724482"/>
    <w:rsid w:val="007A4DE0"/>
    <w:rsid w:val="009105CB"/>
    <w:rsid w:val="00A131A7"/>
    <w:rsid w:val="00BD677E"/>
    <w:rsid w:val="03D9359D"/>
    <w:rsid w:val="07E51AB5"/>
    <w:rsid w:val="082F6DF4"/>
    <w:rsid w:val="097D5536"/>
    <w:rsid w:val="0ACC0883"/>
    <w:rsid w:val="14C51CB2"/>
    <w:rsid w:val="151D41ED"/>
    <w:rsid w:val="17391CBD"/>
    <w:rsid w:val="17833226"/>
    <w:rsid w:val="19A22FBC"/>
    <w:rsid w:val="1C8D389C"/>
    <w:rsid w:val="1DFA5C13"/>
    <w:rsid w:val="22A4400B"/>
    <w:rsid w:val="258E6E60"/>
    <w:rsid w:val="271F3518"/>
    <w:rsid w:val="33195423"/>
    <w:rsid w:val="346E7B1D"/>
    <w:rsid w:val="368A4BF5"/>
    <w:rsid w:val="3B793AC1"/>
    <w:rsid w:val="3E6549B9"/>
    <w:rsid w:val="42811FA6"/>
    <w:rsid w:val="4C621916"/>
    <w:rsid w:val="4D420C06"/>
    <w:rsid w:val="519A79ED"/>
    <w:rsid w:val="56CF188D"/>
    <w:rsid w:val="59605261"/>
    <w:rsid w:val="59ED5D7E"/>
    <w:rsid w:val="60DC2DA8"/>
    <w:rsid w:val="682D784D"/>
    <w:rsid w:val="6CC0097F"/>
    <w:rsid w:val="6ECD0575"/>
    <w:rsid w:val="6FFF0B3A"/>
    <w:rsid w:val="79534E4C"/>
    <w:rsid w:val="BEB67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4"/>
    <w:qFormat/>
    <w:uiPriority w:val="99"/>
    <w:rPr>
      <w:kern w:val="0"/>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Hyperlink"/>
    <w:basedOn w:val="8"/>
    <w:unhideWhenUsed/>
    <w:qFormat/>
    <w:uiPriority w:val="99"/>
    <w:rPr>
      <w:color w:val="0000FF"/>
      <w:u w:val="single"/>
    </w:rPr>
  </w:style>
  <w:style w:type="character" w:styleId="10">
    <w:name w:val="footnote reference"/>
    <w:basedOn w:val="8"/>
    <w:unhideWhenUsed/>
    <w:qFormat/>
    <w:uiPriority w:val="99"/>
    <w:rPr>
      <w:vertAlign w:val="superscript"/>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fontstyle21"/>
    <w:basedOn w:val="8"/>
    <w:qFormat/>
    <w:uiPriority w:val="0"/>
    <w:rPr>
      <w:rFonts w:hint="default" w:ascii="TimesNewRomanPSMT" w:hAnsi="TimesNewRomanPSMT"/>
      <w:color w:val="000000"/>
      <w:sz w:val="24"/>
      <w:szCs w:val="24"/>
    </w:rPr>
  </w:style>
  <w:style w:type="character" w:customStyle="1" w:styleId="14">
    <w:name w:val="正文文本 Char"/>
    <w:basedOn w:val="8"/>
    <w:link w:val="3"/>
    <w:qFormat/>
    <w:uiPriority w:val="99"/>
    <w:rPr>
      <w:kern w:val="0"/>
      <w:sz w:val="24"/>
    </w:rPr>
  </w:style>
  <w:style w:type="paragraph" w:customStyle="1" w:styleId="15">
    <w:name w:val="TA_Main_Text"/>
    <w:basedOn w:val="1"/>
    <w:qFormat/>
    <w:uiPriority w:val="0"/>
    <w:pPr>
      <w:widowControl/>
      <w:spacing w:line="480" w:lineRule="auto"/>
      <w:ind w:firstLine="202"/>
    </w:pPr>
    <w:rPr>
      <w:rFonts w:ascii="Times" w:hAnsi="Times" w:cs="Times"/>
      <w:kern w:val="0"/>
      <w:sz w:val="24"/>
      <w:lang w:eastAsia="en-US"/>
    </w:rPr>
  </w:style>
  <w:style w:type="character" w:customStyle="1" w:styleId="16">
    <w:name w:val="tgt1"/>
    <w:basedOn w:val="8"/>
    <w:qFormat/>
    <w:uiPriority w:val="0"/>
  </w:style>
  <w:style w:type="paragraph" w:customStyle="1" w:styleId="17">
    <w:name w:val="正文之表名"/>
    <w:basedOn w:val="1"/>
    <w:link w:val="18"/>
    <w:qFormat/>
    <w:uiPriority w:val="0"/>
    <w:pPr>
      <w:jc w:val="center"/>
    </w:pPr>
    <w:rPr>
      <w:szCs w:val="21"/>
    </w:rPr>
  </w:style>
  <w:style w:type="character" w:customStyle="1" w:styleId="18">
    <w:name w:val="正文之表名 字符"/>
    <w:basedOn w:val="8"/>
    <w:link w:val="17"/>
    <w:qFormat/>
    <w:uiPriority w:val="0"/>
    <w:rPr>
      <w:szCs w:val="21"/>
    </w:rPr>
  </w:style>
  <w:style w:type="paragraph" w:customStyle="1" w:styleId="19">
    <w:name w:val="正文之表格"/>
    <w:basedOn w:val="1"/>
    <w:link w:val="20"/>
    <w:qFormat/>
    <w:uiPriority w:val="0"/>
    <w:pPr>
      <w:widowControl/>
      <w:spacing w:line="460" w:lineRule="exact"/>
      <w:jc w:val="center"/>
    </w:pPr>
    <w:rPr>
      <w:rFonts w:ascii="Times New Roman" w:hAnsi="Times New Roman" w:eastAsia="宋体" w:cs="宋体"/>
      <w:sz w:val="18"/>
    </w:rPr>
  </w:style>
  <w:style w:type="character" w:customStyle="1" w:styleId="20">
    <w:name w:val="正文之表格 字符"/>
    <w:basedOn w:val="8"/>
    <w:link w:val="19"/>
    <w:qFormat/>
    <w:uiPriority w:val="0"/>
    <w:rPr>
      <w:rFonts w:ascii="Times New Roman" w:hAnsi="Times New Roman" w:eastAsia="宋体" w:cs="宋体"/>
      <w:sz w:val="18"/>
    </w:rPr>
  </w:style>
  <w:style w:type="paragraph" w:customStyle="1" w:styleId="21">
    <w:name w:val="tg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src"/>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920</Words>
  <Characters>5246</Characters>
  <Lines>43</Lines>
  <Paragraphs>12</Paragraphs>
  <TotalTime>0</TotalTime>
  <ScaleCrop>false</ScaleCrop>
  <LinksUpToDate>false</LinksUpToDate>
  <CharactersWithSpaces>6154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2022-08-08T05:54:00Z</dcterms:created>
  <dc:creator>Administrator</dc:creator>
  <cp:lastModifiedBy>XK</cp:lastModifiedBy>
  <dcterms:modified xsi:type="dcterms:W3CDTF">2022-12-20T08:13:34Z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