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ACC28" w14:textId="77777777" w:rsidR="0057061F" w:rsidRPr="00CD150E" w:rsidRDefault="0057061F" w:rsidP="00971458">
      <w:pPr>
        <w:pStyle w:val="1"/>
        <w:rPr>
          <w:rFonts w:cs="Times New Roman"/>
          <w:sz w:val="28"/>
          <w:szCs w:val="28"/>
        </w:rPr>
      </w:pPr>
      <w:bookmarkStart w:id="0" w:name="_Hlk117581879"/>
      <w:bookmarkStart w:id="1" w:name="_Hlk108013685"/>
      <w:bookmarkEnd w:id="0"/>
      <w:r w:rsidRPr="00CD150E">
        <w:rPr>
          <w:rFonts w:cs="Times New Roman"/>
          <w:sz w:val="28"/>
          <w:szCs w:val="28"/>
        </w:rPr>
        <w:t xml:space="preserve">Supplementary Information </w:t>
      </w:r>
      <w:bookmarkEnd w:id="1"/>
      <w:r w:rsidRPr="00CD150E">
        <w:rPr>
          <w:rFonts w:cs="Times New Roman"/>
          <w:sz w:val="28"/>
          <w:szCs w:val="28"/>
        </w:rPr>
        <w:t xml:space="preserve">for </w:t>
      </w:r>
    </w:p>
    <w:p w14:paraId="7CC45609" w14:textId="22B1AC5E" w:rsidR="00BA40F6" w:rsidRPr="00CD150E" w:rsidRDefault="00EA1717" w:rsidP="00BA40F6">
      <w:pPr>
        <w:adjustRightInd w:val="0"/>
        <w:snapToGrid w:val="0"/>
        <w:jc w:val="left"/>
        <w:rPr>
          <w:rFonts w:cs="Times New Roman"/>
          <w:b/>
          <w:sz w:val="32"/>
          <w:szCs w:val="32"/>
        </w:rPr>
      </w:pPr>
      <w:bookmarkStart w:id="2" w:name="OLE_LINK4"/>
      <w:bookmarkStart w:id="3" w:name="OLE_LINK5"/>
      <w:r w:rsidRPr="00CD150E">
        <w:rPr>
          <w:rFonts w:cs="Times New Roman"/>
          <w:b/>
          <w:sz w:val="32"/>
          <w:szCs w:val="32"/>
        </w:rPr>
        <w:t>Managing ammonia emission for multi-benefits in China</w:t>
      </w:r>
    </w:p>
    <w:p w14:paraId="152E4BC5" w14:textId="5148EE2C" w:rsidR="00EA1717" w:rsidRPr="00BA583D" w:rsidRDefault="00EA1717" w:rsidP="00BA40F6">
      <w:pPr>
        <w:adjustRightInd w:val="0"/>
        <w:snapToGrid w:val="0"/>
        <w:jc w:val="left"/>
        <w:rPr>
          <w:rFonts w:eastAsia="等线 Light" w:cs="Times New Roman"/>
          <w:b/>
          <w:sz w:val="24"/>
          <w:szCs w:val="24"/>
        </w:rPr>
      </w:pPr>
    </w:p>
    <w:p w14:paraId="75E5F7EE" w14:textId="7CCAD62F" w:rsidR="00FF722A" w:rsidRPr="00BA583D" w:rsidRDefault="00FF722A" w:rsidP="00BA40F6">
      <w:pPr>
        <w:adjustRightInd w:val="0"/>
        <w:snapToGrid w:val="0"/>
        <w:jc w:val="left"/>
        <w:rPr>
          <w:rFonts w:eastAsia="等线 Light" w:cs="Times New Roman"/>
          <w:b/>
          <w:sz w:val="24"/>
          <w:szCs w:val="24"/>
        </w:rPr>
      </w:pPr>
    </w:p>
    <w:bookmarkEnd w:id="2"/>
    <w:bookmarkEnd w:id="3"/>
    <w:p w14:paraId="5F0BE515" w14:textId="77777777" w:rsidR="00CD150E" w:rsidRDefault="00CD150E" w:rsidP="0065107C">
      <w:pPr>
        <w:spacing w:line="360" w:lineRule="auto"/>
        <w:rPr>
          <w:rFonts w:eastAsia="等线 Light" w:cs="Times New Roman"/>
          <w:b/>
          <w:sz w:val="24"/>
          <w:szCs w:val="24"/>
        </w:rPr>
      </w:pPr>
      <w:r w:rsidRPr="00CD150E">
        <w:rPr>
          <w:rFonts w:eastAsia="等线 Light" w:cs="Times New Roman"/>
          <w:b/>
          <w:sz w:val="24"/>
          <w:szCs w:val="24"/>
        </w:rPr>
        <w:t>This PDF file includes:</w:t>
      </w:r>
    </w:p>
    <w:p w14:paraId="728695B5" w14:textId="3DCF9174" w:rsidR="0065107C" w:rsidRPr="00BA583D" w:rsidRDefault="0065107C" w:rsidP="0065107C">
      <w:pPr>
        <w:spacing w:line="360" w:lineRule="auto"/>
        <w:rPr>
          <w:rFonts w:cs="Times New Roman"/>
          <w:sz w:val="24"/>
          <w:szCs w:val="24"/>
        </w:rPr>
      </w:pPr>
      <w:r w:rsidRPr="00BA583D">
        <w:rPr>
          <w:rFonts w:cs="Times New Roman"/>
          <w:sz w:val="24"/>
          <w:szCs w:val="24"/>
        </w:rPr>
        <w:t>Supplementary Methods</w:t>
      </w:r>
    </w:p>
    <w:p w14:paraId="7C3FDAA0" w14:textId="77777777" w:rsidR="00E63E33" w:rsidRPr="00BA583D" w:rsidRDefault="00E63E33" w:rsidP="00685B91">
      <w:pPr>
        <w:spacing w:line="360" w:lineRule="auto"/>
        <w:rPr>
          <w:rFonts w:cs="Times New Roman"/>
          <w:sz w:val="24"/>
          <w:szCs w:val="24"/>
        </w:rPr>
      </w:pPr>
      <w:r w:rsidRPr="00BA583D">
        <w:rPr>
          <w:rFonts w:cs="Times New Roman"/>
          <w:sz w:val="24"/>
          <w:szCs w:val="24"/>
        </w:rPr>
        <w:t>Supplementary Discussion</w:t>
      </w:r>
    </w:p>
    <w:p w14:paraId="68DD0DD9" w14:textId="5AC03267" w:rsidR="00E63E33" w:rsidRPr="00BA583D" w:rsidRDefault="00E63E33" w:rsidP="00685B91">
      <w:pPr>
        <w:spacing w:line="360" w:lineRule="auto"/>
        <w:rPr>
          <w:rFonts w:cs="Times New Roman"/>
          <w:sz w:val="24"/>
          <w:szCs w:val="24"/>
        </w:rPr>
      </w:pPr>
      <w:r w:rsidRPr="00BA583D">
        <w:rPr>
          <w:rFonts w:cs="Times New Roman"/>
          <w:sz w:val="24"/>
          <w:szCs w:val="24"/>
        </w:rPr>
        <w:t>Supplementary Figures</w:t>
      </w:r>
      <w:r w:rsidR="00004D11" w:rsidRPr="00BA583D">
        <w:rPr>
          <w:rFonts w:cs="Times New Roman"/>
          <w:sz w:val="24"/>
          <w:szCs w:val="24"/>
        </w:rPr>
        <w:t xml:space="preserve"> S1</w:t>
      </w:r>
      <w:r w:rsidR="00D16080">
        <w:rPr>
          <w:rFonts w:cs="Times New Roman"/>
          <w:sz w:val="24"/>
          <w:szCs w:val="24"/>
        </w:rPr>
        <w:t xml:space="preserve"> </w:t>
      </w:r>
      <w:r w:rsidR="00D16080">
        <w:rPr>
          <w:rFonts w:cs="Times New Roman" w:hint="eastAsia"/>
          <w:sz w:val="24"/>
          <w:szCs w:val="24"/>
        </w:rPr>
        <w:t>t</w:t>
      </w:r>
      <w:r w:rsidR="00D16080">
        <w:rPr>
          <w:rFonts w:cs="Times New Roman"/>
          <w:sz w:val="24"/>
          <w:szCs w:val="24"/>
        </w:rPr>
        <w:t xml:space="preserve">o </w:t>
      </w:r>
      <w:r w:rsidR="00004D11" w:rsidRPr="00BA583D">
        <w:rPr>
          <w:rFonts w:cs="Times New Roman"/>
          <w:sz w:val="24"/>
          <w:szCs w:val="24"/>
        </w:rPr>
        <w:t>S</w:t>
      </w:r>
      <w:r w:rsidR="0065107C">
        <w:rPr>
          <w:rFonts w:cs="Times New Roman"/>
          <w:sz w:val="24"/>
          <w:szCs w:val="24"/>
        </w:rPr>
        <w:t>13</w:t>
      </w:r>
    </w:p>
    <w:p w14:paraId="03692E74" w14:textId="0939F313" w:rsidR="00E63E33" w:rsidRPr="00BA583D" w:rsidRDefault="00E63E33" w:rsidP="00685B91">
      <w:pPr>
        <w:spacing w:line="360" w:lineRule="auto"/>
        <w:rPr>
          <w:rFonts w:cs="Times New Roman"/>
          <w:sz w:val="24"/>
          <w:szCs w:val="24"/>
        </w:rPr>
      </w:pPr>
      <w:r w:rsidRPr="00BA583D">
        <w:rPr>
          <w:rFonts w:cs="Times New Roman"/>
          <w:sz w:val="24"/>
          <w:szCs w:val="24"/>
        </w:rPr>
        <w:t>Supplementary Tables</w:t>
      </w:r>
      <w:r w:rsidR="00004D11" w:rsidRPr="00BA583D">
        <w:rPr>
          <w:rFonts w:cs="Times New Roman"/>
          <w:sz w:val="24"/>
          <w:szCs w:val="24"/>
        </w:rPr>
        <w:t xml:space="preserve"> S1</w:t>
      </w:r>
      <w:r w:rsidR="00D16080">
        <w:rPr>
          <w:rFonts w:cs="Times New Roman"/>
          <w:sz w:val="24"/>
          <w:szCs w:val="24"/>
        </w:rPr>
        <w:t xml:space="preserve"> to </w:t>
      </w:r>
      <w:r w:rsidR="00004D11" w:rsidRPr="00BA583D">
        <w:rPr>
          <w:rFonts w:cs="Times New Roman"/>
          <w:sz w:val="24"/>
          <w:szCs w:val="24"/>
        </w:rPr>
        <w:t>S</w:t>
      </w:r>
      <w:r w:rsidR="0043362F">
        <w:rPr>
          <w:rFonts w:cs="Times New Roman"/>
          <w:sz w:val="24"/>
          <w:szCs w:val="24"/>
        </w:rPr>
        <w:t>4</w:t>
      </w:r>
    </w:p>
    <w:p w14:paraId="2490DCC5" w14:textId="5CAA335F" w:rsidR="0057061F" w:rsidRPr="00BA583D" w:rsidRDefault="00FF722A" w:rsidP="00BB131B">
      <w:pPr>
        <w:spacing w:line="360" w:lineRule="auto"/>
        <w:rPr>
          <w:rFonts w:cs="Times New Roman"/>
          <w:sz w:val="24"/>
          <w:szCs w:val="24"/>
        </w:rPr>
      </w:pPr>
      <w:r w:rsidRPr="00BA583D">
        <w:rPr>
          <w:rFonts w:cs="Times New Roman"/>
          <w:sz w:val="24"/>
          <w:szCs w:val="24"/>
        </w:rPr>
        <w:t>Supplementary References</w:t>
      </w:r>
      <w:r w:rsidR="00D16080">
        <w:rPr>
          <w:rFonts w:cs="Times New Roman"/>
          <w:sz w:val="24"/>
          <w:szCs w:val="24"/>
        </w:rPr>
        <w:t xml:space="preserve"> </w:t>
      </w:r>
      <w:r w:rsidR="00D16080" w:rsidRPr="00D16080">
        <w:rPr>
          <w:rFonts w:cs="Times New Roman"/>
          <w:i/>
          <w:iCs/>
          <w:sz w:val="24"/>
          <w:szCs w:val="24"/>
        </w:rPr>
        <w:t>(1-30)</w:t>
      </w:r>
    </w:p>
    <w:p w14:paraId="1D516D04" w14:textId="57CFE57A" w:rsidR="00BA40F6" w:rsidRPr="00BA583D" w:rsidRDefault="00BA40F6" w:rsidP="0057061F">
      <w:pPr>
        <w:adjustRightInd w:val="0"/>
        <w:snapToGrid w:val="0"/>
        <w:jc w:val="left"/>
        <w:rPr>
          <w:rFonts w:cs="Times New Roman"/>
          <w:sz w:val="24"/>
          <w:szCs w:val="24"/>
        </w:rPr>
      </w:pPr>
    </w:p>
    <w:p w14:paraId="6D9BAC59" w14:textId="77777777" w:rsidR="00BA40F6" w:rsidRPr="00BA583D" w:rsidRDefault="00BA40F6" w:rsidP="0057061F">
      <w:pPr>
        <w:adjustRightInd w:val="0"/>
        <w:snapToGrid w:val="0"/>
        <w:jc w:val="left"/>
        <w:rPr>
          <w:rFonts w:cs="Times New Roman"/>
          <w:sz w:val="24"/>
          <w:szCs w:val="24"/>
        </w:rPr>
        <w:sectPr w:rsidR="00BA40F6" w:rsidRPr="00BA583D" w:rsidSect="00A976CE">
          <w:pgSz w:w="11906" w:h="16838"/>
          <w:pgMar w:top="1418" w:right="1418" w:bottom="1418" w:left="1418" w:header="851" w:footer="992" w:gutter="0"/>
          <w:cols w:space="425"/>
          <w:docGrid w:type="lines" w:linePitch="312"/>
        </w:sectPr>
      </w:pPr>
    </w:p>
    <w:p w14:paraId="5915154E" w14:textId="4F18DE3F" w:rsidR="0047617D" w:rsidRPr="00BA583D" w:rsidRDefault="00314032" w:rsidP="00717A51">
      <w:pPr>
        <w:pStyle w:val="2"/>
        <w:rPr>
          <w:rFonts w:cs="Times New Roman"/>
          <w:sz w:val="24"/>
          <w:szCs w:val="24"/>
        </w:rPr>
      </w:pPr>
      <w:r w:rsidRPr="00BA583D">
        <w:rPr>
          <w:rFonts w:cs="Times New Roman"/>
          <w:sz w:val="24"/>
          <w:szCs w:val="24"/>
        </w:rPr>
        <w:lastRenderedPageBreak/>
        <w:t>Supplementary Methods</w:t>
      </w:r>
    </w:p>
    <w:p w14:paraId="2107578E" w14:textId="548CF580" w:rsidR="0047617D" w:rsidRPr="00BA583D" w:rsidRDefault="0047617D" w:rsidP="00C93395">
      <w:pPr>
        <w:pStyle w:val="3"/>
        <w:jc w:val="left"/>
        <w:rPr>
          <w:rFonts w:cs="Times New Roman"/>
          <w:szCs w:val="24"/>
        </w:rPr>
      </w:pPr>
      <w:r w:rsidRPr="00BA583D">
        <w:rPr>
          <w:rFonts w:cs="Times New Roman"/>
          <w:szCs w:val="24"/>
        </w:rPr>
        <w:t>Estimation of Livestock NH</w:t>
      </w:r>
      <w:r w:rsidRPr="00BA583D">
        <w:rPr>
          <w:rFonts w:cs="Times New Roman"/>
          <w:szCs w:val="24"/>
          <w:vertAlign w:val="subscript"/>
        </w:rPr>
        <w:t>3</w:t>
      </w:r>
    </w:p>
    <w:p w14:paraId="31B6A366" w14:textId="727A1E7B" w:rsidR="0047617D" w:rsidRPr="00BA583D" w:rsidRDefault="0047617D" w:rsidP="0047617D">
      <w:pPr>
        <w:rPr>
          <w:rFonts w:cs="Times New Roman"/>
          <w:sz w:val="24"/>
          <w:szCs w:val="24"/>
        </w:rPr>
      </w:pPr>
      <w:r w:rsidRPr="00BA583D">
        <w:rPr>
          <w:rFonts w:cs="Times New Roman"/>
          <w:b/>
          <w:bCs/>
          <w:sz w:val="24"/>
          <w:szCs w:val="24"/>
        </w:rPr>
        <w:t>Data sources</w:t>
      </w:r>
      <w:r w:rsidRPr="00BA583D">
        <w:rPr>
          <w:rFonts w:cs="Times New Roman"/>
          <w:sz w:val="24"/>
          <w:szCs w:val="24"/>
        </w:rPr>
        <w:t>. The animal NH</w:t>
      </w:r>
      <w:r w:rsidRPr="00BA583D">
        <w:rPr>
          <w:rFonts w:cs="Times New Roman"/>
          <w:sz w:val="24"/>
          <w:szCs w:val="24"/>
          <w:vertAlign w:val="subscript"/>
        </w:rPr>
        <w:t>3</w:t>
      </w:r>
      <w:r w:rsidRPr="00BA583D">
        <w:rPr>
          <w:rFonts w:cs="Times New Roman"/>
          <w:sz w:val="24"/>
          <w:szCs w:val="24"/>
        </w:rPr>
        <w:t xml:space="preserve"> EFs in 2017 are estimated based on the China’s second national census of agricultural pollution source and the related parameters derived from the recommended values from the Ministry of Agriculture and Rural Affairs of China. The animal NH</w:t>
      </w:r>
      <w:r w:rsidRPr="00BA583D">
        <w:rPr>
          <w:rFonts w:cs="Times New Roman"/>
          <w:sz w:val="24"/>
          <w:szCs w:val="24"/>
          <w:vertAlign w:val="subscript"/>
        </w:rPr>
        <w:t>3</w:t>
      </w:r>
      <w:r w:rsidRPr="00BA583D">
        <w:rPr>
          <w:rFonts w:cs="Times New Roman"/>
          <w:sz w:val="24"/>
          <w:szCs w:val="24"/>
        </w:rPr>
        <w:t xml:space="preserve"> emission factors are changed with the management practices and manure treatment methods from the national census, as shown in the following equation (</w:t>
      </w:r>
      <w:r w:rsidR="007C458D" w:rsidRPr="00BA583D">
        <w:rPr>
          <w:rFonts w:cs="Times New Roman"/>
          <w:sz w:val="24"/>
          <w:szCs w:val="24"/>
        </w:rPr>
        <w:t>1</w:t>
      </w:r>
      <w:r w:rsidRPr="00BA583D">
        <w:rPr>
          <w:rFonts w:cs="Times New Roman"/>
          <w:sz w:val="24"/>
          <w:szCs w:val="24"/>
        </w:rPr>
        <w:t>)</w:t>
      </w:r>
    </w:p>
    <w:p w14:paraId="46A75E77" w14:textId="77777777" w:rsidR="0047617D" w:rsidRPr="00BA583D" w:rsidRDefault="0047617D" w:rsidP="0047617D">
      <w:pPr>
        <w:rPr>
          <w:rFonts w:cs="Times New Roman"/>
          <w:sz w:val="24"/>
          <w:szCs w:val="24"/>
        </w:rPr>
      </w:pPr>
    </w:p>
    <w:p w14:paraId="1DDFCFFA" w14:textId="5902CA0E" w:rsidR="0047617D" w:rsidRPr="00BA583D" w:rsidRDefault="00814C0B" w:rsidP="007C458D">
      <w:pPr>
        <w:adjustRightInd w:val="0"/>
        <w:snapToGrid w:val="0"/>
        <w:jc w:val="right"/>
        <w:rPr>
          <w:rFonts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EF</m:t>
            </m:r>
          </m:e>
          <m:sub>
            <m:r>
              <w:rPr>
                <w:rFonts w:ascii="Cambria Math" w:hAnsi="Cambria Math" w:cs="Times New Roman"/>
                <w:sz w:val="24"/>
                <w:szCs w:val="24"/>
              </w:rPr>
              <m:t>i,j,k</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NE</m:t>
            </m:r>
          </m:e>
          <m:sub>
            <m:r>
              <w:rPr>
                <w:rFonts w:ascii="Cambria Math" w:hAnsi="Cambria Math" w:cs="Times New Roman"/>
                <w:sz w:val="24"/>
                <w:szCs w:val="24"/>
              </w:rPr>
              <m:t>i,j</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eastAsia="仿宋" w:hAnsi="Cambria Math" w:cs="Times New Roman"/>
                <w:sz w:val="24"/>
                <w:szCs w:val="24"/>
              </w:rPr>
              <m:t>C</m:t>
            </m:r>
          </m:e>
          <m:sub>
            <m:r>
              <w:rPr>
                <w:rFonts w:ascii="Cambria Math" w:hAnsi="Cambria Math" w:cs="Times New Roman"/>
                <w:sz w:val="24"/>
                <w:szCs w:val="24"/>
              </w:rPr>
              <m:t>i,j</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m:rPr>
                    <m:sty m:val="p"/>
                  </m:rPr>
                  <w:rPr>
                    <w:rFonts w:ascii="Cambria Math" w:eastAsia="仿宋" w:hAnsi="Cambria Math" w:cs="Times New Roman"/>
                    <w:sz w:val="24"/>
                    <w:szCs w:val="24"/>
                  </w:rPr>
                  <m:t>η</m:t>
                </m:r>
              </m:e>
              <m:sub>
                <m:r>
                  <w:rPr>
                    <w:rFonts w:ascii="Cambria Math" w:hAnsi="Cambria Math" w:cs="Times New Roman"/>
                    <w:sz w:val="24"/>
                    <w:szCs w:val="24"/>
                  </w:rPr>
                  <m:t>U</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i,j,k</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NE</m:t>
            </m:r>
          </m:e>
          <m:sub>
            <m:r>
              <w:rPr>
                <w:rFonts w:ascii="Cambria Math" w:hAnsi="Cambria Math" w:cs="Times New Roman"/>
                <w:sz w:val="24"/>
                <w:szCs w:val="24"/>
              </w:rPr>
              <m:t>i,j</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m:rPr>
                    <m:sty m:val="p"/>
                  </m:rPr>
                  <w:rPr>
                    <w:rFonts w:ascii="Cambria Math" w:eastAsia="仿宋" w:hAnsi="Cambria Math" w:cs="Times New Roman"/>
                    <w:sz w:val="24"/>
                    <w:szCs w:val="24"/>
                  </w:rPr>
                  <m:t>C</m:t>
                </m:r>
              </m:e>
              <m:sub>
                <m:r>
                  <w:rPr>
                    <w:rFonts w:ascii="Cambria Math" w:hAnsi="Cambria Math" w:cs="Times New Roman"/>
                    <w:sz w:val="24"/>
                    <w:szCs w:val="24"/>
                  </w:rPr>
                  <m:t>i,j</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i,j, na</m:t>
            </m:r>
          </m:sub>
        </m:sSub>
        <m:r>
          <w:rPr>
            <w:rFonts w:ascii="Cambria Math" w:hAnsi="Cambria Math" w:cs="Times New Roman"/>
            <w:sz w:val="24"/>
            <w:szCs w:val="24"/>
          </w:rPr>
          <m:t xml:space="preserve"> </m:t>
        </m:r>
      </m:oMath>
      <w:r w:rsidR="0047617D" w:rsidRPr="00BA583D">
        <w:rPr>
          <w:rFonts w:cs="Times New Roman"/>
          <w:sz w:val="24"/>
          <w:szCs w:val="24"/>
        </w:rPr>
        <w:t xml:space="preserve"> </w:t>
      </w:r>
      <w:r w:rsidR="007C458D" w:rsidRPr="00BA583D">
        <w:rPr>
          <w:rFonts w:cs="Times New Roman"/>
          <w:sz w:val="24"/>
          <w:szCs w:val="24"/>
        </w:rPr>
        <w:t xml:space="preserve">       </w:t>
      </w:r>
      <w:r w:rsidR="0047617D" w:rsidRPr="00BA583D">
        <w:rPr>
          <w:rFonts w:cs="Times New Roman"/>
          <w:sz w:val="24"/>
          <w:szCs w:val="24"/>
        </w:rPr>
        <w:t>(</w:t>
      </w:r>
      <w:r w:rsidR="007C458D" w:rsidRPr="00BA583D">
        <w:rPr>
          <w:rFonts w:cs="Times New Roman"/>
          <w:sz w:val="24"/>
          <w:szCs w:val="24"/>
        </w:rPr>
        <w:t>1</w:t>
      </w:r>
      <w:r w:rsidR="0047617D" w:rsidRPr="00BA583D">
        <w:rPr>
          <w:rFonts w:cs="Times New Roman"/>
          <w:sz w:val="24"/>
          <w:szCs w:val="24"/>
        </w:rPr>
        <w:t>)</w:t>
      </w:r>
    </w:p>
    <w:p w14:paraId="2E3A6E02" w14:textId="77777777" w:rsidR="0047617D" w:rsidRPr="00BA583D" w:rsidRDefault="0047617D" w:rsidP="0047617D">
      <w:pPr>
        <w:adjustRightInd w:val="0"/>
        <w:snapToGrid w:val="0"/>
        <w:rPr>
          <w:rFonts w:cs="Times New Roman"/>
          <w:sz w:val="24"/>
          <w:szCs w:val="24"/>
        </w:rPr>
      </w:pPr>
    </w:p>
    <w:p w14:paraId="129B0172" w14:textId="77777777" w:rsidR="0047617D" w:rsidRPr="00BA583D" w:rsidRDefault="0047617D" w:rsidP="0047617D">
      <w:pPr>
        <w:adjustRightInd w:val="0"/>
        <w:snapToGrid w:val="0"/>
        <w:rPr>
          <w:rFonts w:cs="Times New Roman"/>
          <w:bCs/>
          <w:sz w:val="24"/>
          <w:szCs w:val="24"/>
        </w:rPr>
      </w:pPr>
      <w:r w:rsidRPr="00BA583D">
        <w:rPr>
          <w:rFonts w:cs="Times New Roman"/>
          <w:bCs/>
          <w:i/>
          <w:sz w:val="24"/>
          <w:szCs w:val="24"/>
        </w:rPr>
        <w:t>NE</w:t>
      </w:r>
      <w:r w:rsidRPr="00BA583D">
        <w:rPr>
          <w:rFonts w:cs="Times New Roman"/>
          <w:bCs/>
          <w:i/>
          <w:sz w:val="24"/>
          <w:szCs w:val="24"/>
          <w:vertAlign w:val="subscript"/>
        </w:rPr>
        <w:t>i,j</w:t>
      </w:r>
      <w:r w:rsidRPr="00BA583D">
        <w:rPr>
          <w:rFonts w:cs="Times New Roman"/>
          <w:bCs/>
          <w:sz w:val="24"/>
          <w:szCs w:val="24"/>
        </w:rPr>
        <w:t xml:space="preserve"> (kg/head) is the N excretion rate in feeding and housing stage; </w:t>
      </w:r>
      <m:oMath>
        <m:sSub>
          <m:sSubPr>
            <m:ctrlPr>
              <w:rPr>
                <w:rFonts w:ascii="Cambria Math" w:hAnsi="Cambria Math" w:cs="Times New Roman"/>
                <w:bCs/>
                <w:i/>
                <w:sz w:val="24"/>
                <w:szCs w:val="24"/>
              </w:rPr>
            </m:ctrlPr>
          </m:sSubPr>
          <m:e>
            <m:r>
              <w:rPr>
                <w:rFonts w:ascii="Cambria Math" w:hAnsi="Cambria Math" w:cs="Times New Roman"/>
                <w:sz w:val="24"/>
                <w:szCs w:val="24"/>
              </w:rPr>
              <m:t>C</m:t>
            </m:r>
          </m:e>
          <m:sub>
            <m:r>
              <w:rPr>
                <w:rFonts w:ascii="Cambria Math" w:hAnsi="Cambria Math" w:cs="Times New Roman"/>
                <w:sz w:val="24"/>
                <w:szCs w:val="24"/>
              </w:rPr>
              <m:t>ij</m:t>
            </m:r>
          </m:sub>
        </m:sSub>
      </m:oMath>
      <w:r w:rsidRPr="00BA583D">
        <w:rPr>
          <w:rFonts w:cs="Times New Roman"/>
          <w:bCs/>
          <w:sz w:val="24"/>
          <w:szCs w:val="24"/>
        </w:rPr>
        <w:t xml:space="preserve"> (%) is the manure collection ratio; </w:t>
      </w:r>
      <m:oMath>
        <m:sSub>
          <m:sSubPr>
            <m:ctrlPr>
              <w:rPr>
                <w:rFonts w:ascii="Cambria Math" w:hAnsi="Cambria Math" w:cs="Times New Roman"/>
                <w:i/>
                <w:sz w:val="24"/>
                <w:szCs w:val="24"/>
              </w:rPr>
            </m:ctrlPr>
          </m:sSubPr>
          <m:e>
            <m:r>
              <m:rPr>
                <m:sty m:val="p"/>
              </m:rPr>
              <w:rPr>
                <w:rFonts w:ascii="Cambria Math" w:eastAsia="仿宋" w:hAnsi="Cambria Math" w:cs="Times New Roman"/>
                <w:sz w:val="24"/>
                <w:szCs w:val="24"/>
              </w:rPr>
              <m:t>η</m:t>
            </m:r>
          </m:e>
          <m:sub>
            <m:r>
              <w:rPr>
                <w:rFonts w:ascii="Cambria Math" w:hAnsi="Cambria Math" w:cs="Times New Roman"/>
                <w:sz w:val="24"/>
                <w:szCs w:val="24"/>
              </w:rPr>
              <m:t>U</m:t>
            </m:r>
          </m:sub>
        </m:sSub>
      </m:oMath>
      <w:r w:rsidRPr="00BA583D">
        <w:rPr>
          <w:rFonts w:cs="Times New Roman"/>
          <w:bCs/>
          <w:sz w:val="24"/>
          <w:szCs w:val="24"/>
        </w:rPr>
        <w:t xml:space="preserve"> (%) is the reuse ratio of excretion;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i,j,k</m:t>
            </m:r>
          </m:sub>
        </m:sSub>
      </m:oMath>
      <w:r w:rsidRPr="00BA583D">
        <w:rPr>
          <w:rFonts w:cs="Times New Roman"/>
          <w:bCs/>
          <w:sz w:val="24"/>
          <w:szCs w:val="24"/>
        </w:rPr>
        <w:t xml:space="preserve"> (kg N /head) is the quantity of NH</w:t>
      </w:r>
      <w:r w:rsidRPr="00BA583D">
        <w:rPr>
          <w:rFonts w:cs="Times New Roman"/>
          <w:bCs/>
          <w:sz w:val="24"/>
          <w:szCs w:val="24"/>
          <w:vertAlign w:val="subscript"/>
        </w:rPr>
        <w:t>3</w:t>
      </w:r>
      <w:r w:rsidRPr="00BA583D">
        <w:rPr>
          <w:rFonts w:cs="Times New Roman"/>
          <w:bCs/>
          <w:sz w:val="24"/>
          <w:szCs w:val="24"/>
        </w:rPr>
        <w:t xml:space="preserve"> volatilization with the </w:t>
      </w:r>
      <w:r w:rsidRPr="00BA583D">
        <w:rPr>
          <w:rFonts w:cs="Times New Roman"/>
          <w:bCs/>
          <w:i/>
          <w:sz w:val="24"/>
          <w:szCs w:val="24"/>
        </w:rPr>
        <w:t>manure</w:t>
      </w:r>
      <w:r w:rsidRPr="00BA583D">
        <w:rPr>
          <w:rFonts w:cs="Times New Roman"/>
          <w:bCs/>
          <w:sz w:val="24"/>
          <w:szCs w:val="24"/>
        </w:rPr>
        <w:t xml:space="preserve"> treatment measure k;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 j,na</m:t>
            </m:r>
          </m:sub>
        </m:sSub>
      </m:oMath>
      <w:r w:rsidRPr="00BA583D">
        <w:rPr>
          <w:rFonts w:cs="Times New Roman"/>
          <w:bCs/>
          <w:sz w:val="24"/>
          <w:szCs w:val="24"/>
        </w:rPr>
        <w:t xml:space="preserve"> is the quantity of NH</w:t>
      </w:r>
      <w:r w:rsidRPr="00BA583D">
        <w:rPr>
          <w:rFonts w:cs="Times New Roman"/>
          <w:bCs/>
          <w:sz w:val="24"/>
          <w:szCs w:val="24"/>
          <w:vertAlign w:val="subscript"/>
        </w:rPr>
        <w:t>3</w:t>
      </w:r>
      <w:r w:rsidRPr="00BA583D">
        <w:rPr>
          <w:rFonts w:cs="Times New Roman"/>
          <w:bCs/>
          <w:sz w:val="24"/>
          <w:szCs w:val="24"/>
        </w:rPr>
        <w:t xml:space="preserve"> volatilization from the uncollected manure.</w:t>
      </w:r>
    </w:p>
    <w:p w14:paraId="5F932729" w14:textId="77777777" w:rsidR="0047617D" w:rsidRPr="00BA583D" w:rsidRDefault="0047617D" w:rsidP="0047617D">
      <w:pPr>
        <w:rPr>
          <w:rFonts w:cs="Times New Roman"/>
          <w:sz w:val="24"/>
          <w:szCs w:val="24"/>
        </w:rPr>
      </w:pPr>
    </w:p>
    <w:p w14:paraId="2B524B4E" w14:textId="5461B18C" w:rsidR="0047617D" w:rsidRPr="00BA583D" w:rsidRDefault="0047617D" w:rsidP="00705CBD">
      <w:pPr>
        <w:jc w:val="left"/>
        <w:rPr>
          <w:rFonts w:cs="Times New Roman"/>
          <w:sz w:val="24"/>
          <w:szCs w:val="24"/>
        </w:rPr>
      </w:pPr>
      <w:r w:rsidRPr="00BA583D">
        <w:rPr>
          <w:rFonts w:cs="Times New Roman"/>
          <w:sz w:val="24"/>
          <w:szCs w:val="24"/>
        </w:rPr>
        <w:t>Parameters used in equations (</w:t>
      </w:r>
      <w:r w:rsidR="007C458D" w:rsidRPr="00BA583D">
        <w:rPr>
          <w:rFonts w:cs="Times New Roman"/>
          <w:sz w:val="24"/>
          <w:szCs w:val="24"/>
        </w:rPr>
        <w:t>1</w:t>
      </w:r>
      <w:r w:rsidRPr="00BA583D">
        <w:rPr>
          <w:rFonts w:cs="Times New Roman"/>
          <w:sz w:val="24"/>
          <w:szCs w:val="24"/>
        </w:rPr>
        <w:t xml:space="preserve">) are derived from the farm surveys of China’s second nation census of livestock pollution source in 2017, which were processed following the detail steps and methods described in the </w:t>
      </w:r>
      <w:r w:rsidRPr="00705CBD">
        <w:rPr>
          <w:rFonts w:cs="Times New Roman"/>
          <w:sz w:val="24"/>
          <w:szCs w:val="24"/>
        </w:rPr>
        <w:t>Zhu et al</w:t>
      </w:r>
      <w:r w:rsidR="00705CBD">
        <w:rPr>
          <w:rFonts w:cs="Times New Roman"/>
          <w:sz w:val="24"/>
          <w:szCs w:val="24"/>
        </w:rPr>
        <w:fldChar w:fldCharType="begin"/>
      </w:r>
      <w:r w:rsidR="00705CBD">
        <w:rPr>
          <w:rFonts w:cs="Times New Roman"/>
          <w:sz w:val="24"/>
          <w:szCs w:val="24"/>
        </w:rPr>
        <w:instrText xml:space="preserve"> ADDIN NE.Ref.{98E328EF-95C4-49AF-9C53-3AFB4962817C}</w:instrText>
      </w:r>
      <w:r w:rsidR="00705CBD">
        <w:rPr>
          <w:rFonts w:cs="Times New Roman"/>
          <w:sz w:val="24"/>
          <w:szCs w:val="24"/>
        </w:rPr>
        <w:fldChar w:fldCharType="separate"/>
      </w:r>
      <w:r w:rsidR="00E02FEC">
        <w:rPr>
          <w:rFonts w:cs="Times New Roman"/>
          <w:color w:val="080000"/>
          <w:kern w:val="0"/>
          <w:sz w:val="24"/>
          <w:szCs w:val="24"/>
          <w:vertAlign w:val="superscript"/>
        </w:rPr>
        <w:t>1</w:t>
      </w:r>
      <w:r w:rsidR="00705CBD">
        <w:rPr>
          <w:rFonts w:cs="Times New Roman"/>
          <w:sz w:val="24"/>
          <w:szCs w:val="24"/>
        </w:rPr>
        <w:fldChar w:fldCharType="end"/>
      </w:r>
      <w:r w:rsidRPr="00BA583D">
        <w:rPr>
          <w:rFonts w:cs="Times New Roman"/>
          <w:sz w:val="24"/>
          <w:szCs w:val="24"/>
        </w:rPr>
        <w:t xml:space="preserve">. In total, approximately 380,000 large-scale farms and 11,919 smallholder farms were surveyed in 2017, respectively. The geographical coordinates of each large-scale farm were recorded in the censuses and used to generate high resolution distribution maps of large-scale farms. For small-scale farms, statistical surveys were conducted at a county scale to record the total number of each animal type. The threshold numbers defining the category of “large-scale” farms are larger than 50, 100, 500, 500, 10,000, and 2,000 for beef cattle (slaughtered), dairy cattle (stock), pig (slaughtered), sheep/goat (slaughtered), broiler (slaughtered) and laying hen (stock). </w:t>
      </w:r>
    </w:p>
    <w:p w14:paraId="0F1FA909" w14:textId="77777777" w:rsidR="0047617D" w:rsidRPr="00BA583D" w:rsidRDefault="0047617D" w:rsidP="0047617D">
      <w:pPr>
        <w:adjustRightInd w:val="0"/>
        <w:snapToGrid w:val="0"/>
        <w:jc w:val="left"/>
        <w:rPr>
          <w:rFonts w:cs="Times New Roman"/>
          <w:b/>
          <w:sz w:val="24"/>
          <w:szCs w:val="24"/>
        </w:rPr>
      </w:pPr>
    </w:p>
    <w:p w14:paraId="3E4CDF0B" w14:textId="77777777" w:rsidR="00F6457C" w:rsidRPr="00BA583D" w:rsidRDefault="00F6457C" w:rsidP="00F6457C">
      <w:pPr>
        <w:adjustRightInd w:val="0"/>
        <w:snapToGrid w:val="0"/>
        <w:jc w:val="left"/>
        <w:rPr>
          <w:rFonts w:cs="Times New Roman"/>
          <w:b/>
          <w:sz w:val="24"/>
          <w:szCs w:val="24"/>
        </w:rPr>
      </w:pPr>
    </w:p>
    <w:p w14:paraId="6F3568A7" w14:textId="77777777" w:rsidR="00F6457C" w:rsidRPr="00BA583D" w:rsidRDefault="00F6457C" w:rsidP="00073BC6">
      <w:pPr>
        <w:pStyle w:val="3"/>
        <w:rPr>
          <w:rFonts w:cs="Times New Roman"/>
          <w:szCs w:val="24"/>
        </w:rPr>
      </w:pPr>
      <w:r w:rsidRPr="00BA583D">
        <w:rPr>
          <w:rFonts w:cs="Times New Roman"/>
          <w:szCs w:val="24"/>
        </w:rPr>
        <w:t>Sampling sites and NH</w:t>
      </w:r>
      <w:r w:rsidRPr="00BA583D">
        <w:rPr>
          <w:rFonts w:cs="Times New Roman"/>
          <w:szCs w:val="24"/>
          <w:vertAlign w:val="subscript"/>
        </w:rPr>
        <w:t>3</w:t>
      </w:r>
      <w:r w:rsidRPr="00BA583D">
        <w:rPr>
          <w:rFonts w:cs="Times New Roman"/>
          <w:szCs w:val="24"/>
        </w:rPr>
        <w:t xml:space="preserve"> collections</w:t>
      </w:r>
    </w:p>
    <w:p w14:paraId="6EFCB099" w14:textId="3439627A" w:rsidR="00F6457C" w:rsidRPr="00BA583D" w:rsidRDefault="00F6457C" w:rsidP="00F6457C">
      <w:pPr>
        <w:adjustRightInd w:val="0"/>
        <w:snapToGrid w:val="0"/>
        <w:jc w:val="left"/>
        <w:rPr>
          <w:rFonts w:cs="Times New Roman"/>
          <w:sz w:val="24"/>
          <w:szCs w:val="24"/>
        </w:rPr>
      </w:pPr>
      <w:r w:rsidRPr="00BA583D">
        <w:rPr>
          <w:rFonts w:cs="Times New Roman"/>
          <w:sz w:val="24"/>
          <w:szCs w:val="24"/>
        </w:rPr>
        <w:t xml:space="preserve">The research was conducted in Luancheng District (37°41′34″~38°01′07″N, 114°28′35″~114°47′35″E), located in the north China plain. Three sampling sites (farmland, livestock and rural) were selected for this study. The farmland sampling site (37°53′24″N, 114°41′46″E) was located in Luancheng Agro-Eco-Experimental Station of Center for Agricultural Resources Research, Institute of Genetics and Developmental Biology, Chinese Academy of Sciences. The livestock sampling site (37°53′2″N, 114°42′0″E) was located in a </w:t>
      </w:r>
      <w:r w:rsidR="00705CBD" w:rsidRPr="00BA583D">
        <w:rPr>
          <w:rFonts w:cs="Times New Roman"/>
          <w:sz w:val="24"/>
          <w:szCs w:val="24"/>
        </w:rPr>
        <w:t>pig farm</w:t>
      </w:r>
      <w:r w:rsidRPr="00BA583D">
        <w:rPr>
          <w:rFonts w:cs="Times New Roman"/>
          <w:sz w:val="24"/>
          <w:szCs w:val="24"/>
        </w:rPr>
        <w:t>, which is 3 km away from the west side of the farmland sampling site. The rural sampling site (37°52′52″N, 114°44′31″E) was 10 km away from the farmland sampling site, where belong to the typical suburban area.</w:t>
      </w:r>
    </w:p>
    <w:p w14:paraId="6F0FC701" w14:textId="77777777" w:rsidR="00F6457C" w:rsidRPr="00BA583D" w:rsidRDefault="00F6457C" w:rsidP="00F6457C">
      <w:pPr>
        <w:adjustRightInd w:val="0"/>
        <w:snapToGrid w:val="0"/>
        <w:jc w:val="left"/>
        <w:rPr>
          <w:rFonts w:cs="Times New Roman"/>
          <w:sz w:val="24"/>
          <w:szCs w:val="24"/>
        </w:rPr>
      </w:pPr>
    </w:p>
    <w:p w14:paraId="4B526115" w14:textId="40C50F2B" w:rsidR="00F6457C" w:rsidRPr="00BA583D" w:rsidRDefault="00F6457C" w:rsidP="00F6457C">
      <w:pPr>
        <w:adjustRightInd w:val="0"/>
        <w:snapToGrid w:val="0"/>
        <w:jc w:val="left"/>
        <w:rPr>
          <w:rFonts w:cs="Times New Roman"/>
          <w:sz w:val="24"/>
          <w:szCs w:val="24"/>
        </w:rPr>
      </w:pPr>
      <w:r w:rsidRPr="00BA583D">
        <w:rPr>
          <w:rFonts w:cs="Times New Roman"/>
          <w:sz w:val="24"/>
          <w:szCs w:val="24"/>
        </w:rPr>
        <w:t>The collection of NH</w:t>
      </w:r>
      <w:r w:rsidRPr="00BA583D">
        <w:rPr>
          <w:rFonts w:cs="Times New Roman"/>
          <w:sz w:val="24"/>
          <w:szCs w:val="24"/>
          <w:vertAlign w:val="subscript"/>
        </w:rPr>
        <w:t>3</w:t>
      </w:r>
      <w:r w:rsidRPr="00BA583D">
        <w:rPr>
          <w:rFonts w:cs="Times New Roman"/>
          <w:sz w:val="24"/>
          <w:szCs w:val="24"/>
        </w:rPr>
        <w:t>-N can be found in Ti et al.</w:t>
      </w:r>
      <w:r w:rsidR="00705CBD">
        <w:rPr>
          <w:rFonts w:cs="Times New Roman"/>
          <w:sz w:val="24"/>
          <w:szCs w:val="24"/>
        </w:rPr>
        <w:fldChar w:fldCharType="begin"/>
      </w:r>
      <w:r w:rsidR="00705CBD">
        <w:rPr>
          <w:rFonts w:cs="Times New Roman"/>
          <w:sz w:val="24"/>
          <w:szCs w:val="24"/>
        </w:rPr>
        <w:instrText xml:space="preserve"> ADDIN NE.Ref.{ECBD8DCF-7531-4903-886E-21E61B5E421B}</w:instrText>
      </w:r>
      <w:r w:rsidR="00705CBD">
        <w:rPr>
          <w:rFonts w:cs="Times New Roman"/>
          <w:sz w:val="24"/>
          <w:szCs w:val="24"/>
        </w:rPr>
        <w:fldChar w:fldCharType="separate"/>
      </w:r>
      <w:r w:rsidR="00E02FEC">
        <w:rPr>
          <w:rFonts w:cs="Times New Roman"/>
          <w:color w:val="080000"/>
          <w:kern w:val="0"/>
          <w:sz w:val="24"/>
          <w:szCs w:val="24"/>
          <w:vertAlign w:val="superscript"/>
        </w:rPr>
        <w:t>2</w:t>
      </w:r>
      <w:r w:rsidR="00705CBD">
        <w:rPr>
          <w:rFonts w:cs="Times New Roman"/>
          <w:sz w:val="24"/>
          <w:szCs w:val="24"/>
        </w:rPr>
        <w:fldChar w:fldCharType="end"/>
      </w:r>
      <w:r w:rsidRPr="00BA583D">
        <w:rPr>
          <w:rFonts w:cs="Times New Roman"/>
          <w:sz w:val="24"/>
          <w:szCs w:val="24"/>
        </w:rPr>
        <w:t>. Briefly, ambient NH</w:t>
      </w:r>
      <w:r w:rsidRPr="00BA583D">
        <w:rPr>
          <w:rFonts w:cs="Times New Roman"/>
          <w:sz w:val="24"/>
          <w:szCs w:val="24"/>
          <w:vertAlign w:val="subscript"/>
        </w:rPr>
        <w:t>3</w:t>
      </w:r>
      <w:r w:rsidRPr="00BA583D">
        <w:rPr>
          <w:rFonts w:cs="Times New Roman"/>
          <w:sz w:val="24"/>
          <w:szCs w:val="24"/>
        </w:rPr>
        <w:t xml:space="preserve"> concentrations were captured by acid solution every 10 days at each site using integrated air samplers (ZC-Q0102, Zhejiang Hengda Instrument Company, China), which were operated for 24 h and sampled ambient air at a height of 2 m above ground level. The NH</w:t>
      </w:r>
      <w:r w:rsidRPr="00BA583D">
        <w:rPr>
          <w:rFonts w:cs="Times New Roman"/>
          <w:sz w:val="24"/>
          <w:szCs w:val="24"/>
          <w:vertAlign w:val="subscript"/>
        </w:rPr>
        <w:t>4</w:t>
      </w:r>
      <w:r w:rsidRPr="00705CBD">
        <w:rPr>
          <w:rFonts w:cs="Times New Roman"/>
          <w:sz w:val="24"/>
          <w:szCs w:val="24"/>
          <w:vertAlign w:val="superscript"/>
        </w:rPr>
        <w:t>+</w:t>
      </w:r>
      <w:r w:rsidRPr="00BA583D">
        <w:rPr>
          <w:rFonts w:cs="Times New Roman"/>
          <w:sz w:val="24"/>
          <w:szCs w:val="24"/>
        </w:rPr>
        <w:t xml:space="preserve">-N concentrations in the absorption solution were then </w:t>
      </w:r>
      <w:r w:rsidRPr="00BA583D">
        <w:rPr>
          <w:rFonts w:cs="Times New Roman"/>
          <w:sz w:val="24"/>
          <w:szCs w:val="24"/>
        </w:rPr>
        <w:lastRenderedPageBreak/>
        <w:t>determined using a continuous-flow analyser (Skalar San++ System, Breda, the Netherlands), with the detection limit of concentration determination of 0.046 mg N L</w:t>
      </w:r>
      <w:r w:rsidRPr="00BA583D">
        <w:rPr>
          <w:rFonts w:cs="Times New Roman"/>
          <w:sz w:val="24"/>
          <w:szCs w:val="24"/>
          <w:vertAlign w:val="superscript"/>
        </w:rPr>
        <w:t>-1</w:t>
      </w:r>
      <w:r w:rsidRPr="00BA583D">
        <w:rPr>
          <w:rFonts w:cs="Times New Roman"/>
          <w:sz w:val="24"/>
          <w:szCs w:val="24"/>
        </w:rPr>
        <w:t>. The isotopic N concentration of the absorbent solutions at natural abundance was analyzed using the method of Liu et al</w:t>
      </w:r>
      <w:r w:rsidR="00705CBD">
        <w:rPr>
          <w:rFonts w:cs="Times New Roman"/>
          <w:sz w:val="24"/>
          <w:szCs w:val="24"/>
        </w:rPr>
        <w:fldChar w:fldCharType="begin"/>
      </w:r>
      <w:r w:rsidR="00705CBD">
        <w:rPr>
          <w:rFonts w:cs="Times New Roman"/>
          <w:sz w:val="24"/>
          <w:szCs w:val="24"/>
        </w:rPr>
        <w:instrText xml:space="preserve"> ADDIN NE.Ref.{D952C4E4-CD36-4C7A-9680-FDBCB97380B6}</w:instrText>
      </w:r>
      <w:r w:rsidR="00705CBD">
        <w:rPr>
          <w:rFonts w:cs="Times New Roman"/>
          <w:sz w:val="24"/>
          <w:szCs w:val="24"/>
        </w:rPr>
        <w:fldChar w:fldCharType="separate"/>
      </w:r>
      <w:r w:rsidR="00E02FEC">
        <w:rPr>
          <w:rFonts w:cs="Times New Roman"/>
          <w:color w:val="080000"/>
          <w:kern w:val="0"/>
          <w:sz w:val="24"/>
          <w:szCs w:val="24"/>
          <w:vertAlign w:val="superscript"/>
        </w:rPr>
        <w:t>3</w:t>
      </w:r>
      <w:r w:rsidR="00705CBD">
        <w:rPr>
          <w:rFonts w:cs="Times New Roman"/>
          <w:sz w:val="24"/>
          <w:szCs w:val="24"/>
        </w:rPr>
        <w:fldChar w:fldCharType="end"/>
      </w:r>
      <w:r w:rsidRPr="00BA583D">
        <w:rPr>
          <w:rFonts w:cs="Times New Roman"/>
          <w:sz w:val="24"/>
          <w:szCs w:val="24"/>
        </w:rPr>
        <w:t>. (2014).</w:t>
      </w:r>
    </w:p>
    <w:p w14:paraId="7462EC31" w14:textId="77777777" w:rsidR="00F6457C" w:rsidRPr="00BA583D" w:rsidRDefault="00F6457C" w:rsidP="00F6457C">
      <w:pPr>
        <w:adjustRightInd w:val="0"/>
        <w:snapToGrid w:val="0"/>
        <w:jc w:val="left"/>
        <w:rPr>
          <w:rFonts w:eastAsiaTheme="majorEastAsia" w:cs="Times New Roman"/>
          <w:b/>
          <w:bCs/>
          <w:sz w:val="24"/>
          <w:szCs w:val="24"/>
        </w:rPr>
      </w:pPr>
    </w:p>
    <w:p w14:paraId="4CE4BC83" w14:textId="1BA84611" w:rsidR="00314032" w:rsidRPr="00BA583D" w:rsidRDefault="00314032" w:rsidP="00C93395">
      <w:pPr>
        <w:pStyle w:val="2"/>
        <w:rPr>
          <w:rFonts w:cs="Times New Roman"/>
          <w:sz w:val="24"/>
          <w:szCs w:val="24"/>
        </w:rPr>
      </w:pPr>
      <w:bookmarkStart w:id="4" w:name="_Hlk121232986"/>
      <w:r w:rsidRPr="00BA583D">
        <w:rPr>
          <w:rFonts w:cs="Times New Roman"/>
          <w:sz w:val="24"/>
          <w:szCs w:val="24"/>
        </w:rPr>
        <w:t>Supplementary Discussion</w:t>
      </w:r>
    </w:p>
    <w:bookmarkEnd w:id="4"/>
    <w:p w14:paraId="15150E97" w14:textId="67498145" w:rsidR="00063F4D" w:rsidRPr="00BA583D" w:rsidRDefault="00063F4D" w:rsidP="00063F4D">
      <w:pPr>
        <w:pStyle w:val="3"/>
        <w:jc w:val="left"/>
        <w:rPr>
          <w:rFonts w:cs="Times New Roman"/>
          <w:szCs w:val="24"/>
        </w:rPr>
      </w:pPr>
      <w:r w:rsidRPr="00BA583D">
        <w:rPr>
          <w:rFonts w:cs="Times New Roman"/>
          <w:szCs w:val="24"/>
        </w:rPr>
        <w:t>Emissions from different sources</w:t>
      </w:r>
    </w:p>
    <w:p w14:paraId="06E87B70" w14:textId="5BE16D1B" w:rsidR="00063F4D" w:rsidRPr="00BA583D" w:rsidRDefault="00063F4D" w:rsidP="00705CBD">
      <w:pPr>
        <w:jc w:val="left"/>
        <w:rPr>
          <w:rFonts w:cs="Times New Roman"/>
          <w:sz w:val="24"/>
          <w:szCs w:val="24"/>
        </w:rPr>
      </w:pPr>
      <w:r w:rsidRPr="00BA583D">
        <w:rPr>
          <w:rFonts w:cs="Times New Roman"/>
          <w:sz w:val="24"/>
          <w:szCs w:val="24"/>
        </w:rPr>
        <w:t>We have calculated the NH</w:t>
      </w:r>
      <w:r w:rsidRPr="00BA583D">
        <w:rPr>
          <w:rFonts w:cs="Times New Roman"/>
          <w:sz w:val="24"/>
          <w:szCs w:val="24"/>
          <w:vertAlign w:val="subscript"/>
        </w:rPr>
        <w:t>3</w:t>
      </w:r>
      <w:r w:rsidRPr="00BA583D">
        <w:rPr>
          <w:rFonts w:cs="Times New Roman"/>
          <w:sz w:val="24"/>
          <w:szCs w:val="24"/>
        </w:rPr>
        <w:t xml:space="preserve"> emission of N fertilizer from 14 crops in each county according to the previously developed empirical model </w:t>
      </w:r>
      <w:r w:rsidRPr="00BA583D">
        <w:rPr>
          <w:rFonts w:cs="Times New Roman"/>
          <w:color w:val="4472C4" w:themeColor="accent1"/>
          <w:sz w:val="24"/>
          <w:szCs w:val="24"/>
        </w:rPr>
        <w:t>(</w:t>
      </w:r>
      <w:r w:rsidR="00EC3DF9" w:rsidRPr="00EC3DF9">
        <w:rPr>
          <w:rFonts w:cs="Times New Roman"/>
          <w:color w:val="4472C4" w:themeColor="accent1"/>
          <w:sz w:val="24"/>
          <w:szCs w:val="24"/>
        </w:rPr>
        <w:t>Extended Data Fig. 2</w:t>
      </w:r>
      <w:r w:rsidRPr="00BA583D">
        <w:rPr>
          <w:rFonts w:cs="Times New Roman"/>
          <w:color w:val="4472C4" w:themeColor="accent1"/>
          <w:sz w:val="24"/>
          <w:szCs w:val="24"/>
        </w:rPr>
        <w:t>).</w:t>
      </w:r>
      <w:r w:rsidRPr="00BA583D">
        <w:rPr>
          <w:rFonts w:cs="Times New Roman"/>
          <w:sz w:val="24"/>
          <w:szCs w:val="24"/>
        </w:rPr>
        <w:t xml:space="preserve"> Maize is mainly because its high N fertilization rate and the high environmental temperature during growth period in summer in the North China Plain (NCP) region. Followed by rice and vegetables (18%), which are planted in the southern region with </w:t>
      </w:r>
      <w:r w:rsidR="00AC0DC0">
        <w:rPr>
          <w:rFonts w:cs="Times New Roman"/>
          <w:sz w:val="24"/>
          <w:szCs w:val="24"/>
        </w:rPr>
        <w:t xml:space="preserve">a </w:t>
      </w:r>
      <w:r w:rsidRPr="00BA583D">
        <w:rPr>
          <w:rFonts w:cs="Times New Roman"/>
          <w:sz w:val="24"/>
          <w:szCs w:val="24"/>
        </w:rPr>
        <w:t xml:space="preserve">high emission factor. In the course of our estimation, the emissions of wheat are smaller (8%) even with a large planted area, which is not identified </w:t>
      </w:r>
      <w:r w:rsidR="00AC0DC0">
        <w:rPr>
          <w:rFonts w:cs="Times New Roman"/>
          <w:sz w:val="24"/>
          <w:szCs w:val="24"/>
        </w:rPr>
        <w:t>in</w:t>
      </w:r>
      <w:r w:rsidRPr="00BA583D">
        <w:rPr>
          <w:rFonts w:cs="Times New Roman"/>
          <w:sz w:val="24"/>
          <w:szCs w:val="24"/>
        </w:rPr>
        <w:t xml:space="preserve"> previous studies. This is mainly because wheat has a low EF</w:t>
      </w:r>
      <w:r w:rsidR="00AC0DC0" w:rsidRPr="00AC0DC0">
        <w:t xml:space="preserve"> </w:t>
      </w:r>
      <w:r w:rsidR="00AC0DC0" w:rsidRPr="00AC0DC0">
        <w:rPr>
          <w:rFonts w:cs="Times New Roman"/>
          <w:sz w:val="24"/>
          <w:szCs w:val="24"/>
        </w:rPr>
        <w:t>and is</w:t>
      </w:r>
      <w:r w:rsidRPr="00BA583D">
        <w:rPr>
          <w:rFonts w:cs="Times New Roman"/>
          <w:sz w:val="24"/>
          <w:szCs w:val="24"/>
        </w:rPr>
        <w:t xml:space="preserve"> usually only applied as a base fertilizer in autumn. Fruits, often using manure as a base fertilizer, have a continuous volatilization of NH</w:t>
      </w:r>
      <w:r w:rsidRPr="00BA583D">
        <w:rPr>
          <w:rFonts w:cs="Times New Roman"/>
          <w:sz w:val="24"/>
          <w:szCs w:val="24"/>
          <w:vertAlign w:val="subscript"/>
        </w:rPr>
        <w:t>3</w:t>
      </w:r>
      <w:r w:rsidRPr="00BA583D">
        <w:rPr>
          <w:rFonts w:cs="Times New Roman"/>
          <w:sz w:val="24"/>
          <w:szCs w:val="24"/>
        </w:rPr>
        <w:t xml:space="preserve"> throughout the year and, like vegetables, have no significant seasonality, with emissions concentrated in special provinces (e.g.</w:t>
      </w:r>
      <w:r w:rsidR="00AC0DC0">
        <w:rPr>
          <w:rFonts w:cs="Times New Roman"/>
          <w:sz w:val="24"/>
          <w:szCs w:val="24"/>
        </w:rPr>
        <w:t>,</w:t>
      </w:r>
      <w:r w:rsidRPr="00BA583D">
        <w:rPr>
          <w:rFonts w:cs="Times New Roman"/>
          <w:sz w:val="24"/>
          <w:szCs w:val="24"/>
        </w:rPr>
        <w:t xml:space="preserve"> Guangzhou, Guangxi and Shaanxi). The emissions from other crops with small acreage, including legumes, sugar and cotton, were all relatively low.</w:t>
      </w:r>
    </w:p>
    <w:p w14:paraId="1FD42240" w14:textId="77777777" w:rsidR="00063F4D" w:rsidRPr="00BA583D" w:rsidRDefault="00063F4D" w:rsidP="00705CBD">
      <w:pPr>
        <w:jc w:val="left"/>
        <w:rPr>
          <w:rFonts w:cs="Times New Roman"/>
          <w:sz w:val="24"/>
          <w:szCs w:val="24"/>
        </w:rPr>
      </w:pPr>
    </w:p>
    <w:p w14:paraId="2832AB52" w14:textId="5D2C1537" w:rsidR="00063F4D" w:rsidRPr="00BA583D" w:rsidRDefault="00063F4D" w:rsidP="00705CBD">
      <w:pPr>
        <w:jc w:val="left"/>
        <w:rPr>
          <w:rFonts w:cs="Times New Roman"/>
          <w:sz w:val="24"/>
          <w:szCs w:val="24"/>
        </w:rPr>
      </w:pPr>
      <w:r w:rsidRPr="00BA583D">
        <w:rPr>
          <w:rFonts w:cs="Times New Roman"/>
          <w:sz w:val="24"/>
          <w:szCs w:val="24"/>
        </w:rPr>
        <w:t>The NH</w:t>
      </w:r>
      <w:r w:rsidRPr="00BA583D">
        <w:rPr>
          <w:rFonts w:cs="Times New Roman"/>
          <w:sz w:val="24"/>
          <w:szCs w:val="24"/>
          <w:vertAlign w:val="subscript"/>
        </w:rPr>
        <w:t>3</w:t>
      </w:r>
      <w:r w:rsidRPr="00BA583D">
        <w:rPr>
          <w:rFonts w:cs="Times New Roman"/>
          <w:sz w:val="24"/>
          <w:szCs w:val="24"/>
        </w:rPr>
        <w:t xml:space="preserve"> emissions from livestock in 2017 w</w:t>
      </w:r>
      <w:r w:rsidR="00AC0DC0">
        <w:rPr>
          <w:rFonts w:cs="Times New Roman"/>
          <w:sz w:val="24"/>
          <w:szCs w:val="24"/>
        </w:rPr>
        <w:t>ere</w:t>
      </w:r>
      <w:r w:rsidRPr="00BA583D">
        <w:rPr>
          <w:rFonts w:cs="Times New Roman"/>
          <w:sz w:val="24"/>
          <w:szCs w:val="24"/>
        </w:rPr>
        <w:t xml:space="preserve"> estimated based on the intensive production of pollution census data from farms </w:t>
      </w:r>
      <w:bookmarkStart w:id="5" w:name="_Hlk111307792"/>
      <w:r w:rsidRPr="00BA583D">
        <w:rPr>
          <w:rFonts w:cs="Times New Roman"/>
          <w:sz w:val="24"/>
          <w:szCs w:val="24"/>
        </w:rPr>
        <w:t xml:space="preserve">and the statistical data of free-range breeding </w:t>
      </w:r>
      <w:r w:rsidRPr="00BA583D">
        <w:rPr>
          <w:rFonts w:cs="Times New Roman"/>
          <w:color w:val="4472C4" w:themeColor="accent1"/>
          <w:sz w:val="24"/>
          <w:szCs w:val="24"/>
        </w:rPr>
        <w:t>(Fig. S</w:t>
      </w:r>
      <w:r w:rsidR="007F7389" w:rsidRPr="00BA583D">
        <w:rPr>
          <w:rFonts w:cs="Times New Roman"/>
          <w:color w:val="4472C4" w:themeColor="accent1"/>
          <w:sz w:val="24"/>
          <w:szCs w:val="24"/>
        </w:rPr>
        <w:t>10</w:t>
      </w:r>
      <w:r w:rsidRPr="00BA583D">
        <w:rPr>
          <w:rFonts w:cs="Times New Roman"/>
          <w:color w:val="4472C4" w:themeColor="accent1"/>
          <w:sz w:val="24"/>
          <w:szCs w:val="24"/>
        </w:rPr>
        <w:t>)</w:t>
      </w:r>
      <w:bookmarkEnd w:id="5"/>
      <w:r w:rsidRPr="00BA583D">
        <w:rPr>
          <w:rFonts w:cs="Times New Roman"/>
          <w:sz w:val="24"/>
          <w:szCs w:val="24"/>
        </w:rPr>
        <w:t>. The hogs, sheep and cattle contribut</w:t>
      </w:r>
      <w:r w:rsidR="00AC0DC0">
        <w:rPr>
          <w:rFonts w:cs="Times New Roman"/>
          <w:sz w:val="24"/>
          <w:szCs w:val="24"/>
        </w:rPr>
        <w:t>ed</w:t>
      </w:r>
      <w:r w:rsidRPr="00BA583D">
        <w:rPr>
          <w:rFonts w:cs="Times New Roman"/>
          <w:sz w:val="24"/>
          <w:szCs w:val="24"/>
        </w:rPr>
        <w:t xml:space="preserve"> 70% of the total emissions, </w:t>
      </w:r>
      <w:r w:rsidR="00AC0DC0">
        <w:rPr>
          <w:rFonts w:cs="Times New Roman"/>
          <w:sz w:val="24"/>
          <w:szCs w:val="24"/>
        </w:rPr>
        <w:t>with</w:t>
      </w:r>
      <w:r w:rsidRPr="00BA583D">
        <w:rPr>
          <w:rFonts w:cs="Times New Roman"/>
          <w:sz w:val="24"/>
          <w:szCs w:val="24"/>
        </w:rPr>
        <w:t xml:space="preserve"> the highest from the spreading on cropland (2.3 Tg, 46%), followed by </w:t>
      </w:r>
      <w:bookmarkStart w:id="6" w:name="_Hlk113030490"/>
      <w:r w:rsidRPr="00BA583D">
        <w:rPr>
          <w:rFonts w:cs="Times New Roman"/>
          <w:sz w:val="24"/>
          <w:szCs w:val="24"/>
        </w:rPr>
        <w:t xml:space="preserve">housing (31%), storage (13%) and outdoors </w:t>
      </w:r>
      <w:bookmarkEnd w:id="6"/>
      <w:r w:rsidRPr="00BA583D">
        <w:rPr>
          <w:rFonts w:cs="Times New Roman"/>
          <w:sz w:val="24"/>
          <w:szCs w:val="24"/>
        </w:rPr>
        <w:t xml:space="preserve">(10%) </w:t>
      </w:r>
      <w:bookmarkStart w:id="7" w:name="_Hlk111307801"/>
      <w:r w:rsidRPr="00BA583D">
        <w:rPr>
          <w:rFonts w:cs="Times New Roman"/>
          <w:sz w:val="24"/>
          <w:szCs w:val="24"/>
        </w:rPr>
        <w:t xml:space="preserve">in four </w:t>
      </w:r>
      <w:r w:rsidR="000A4071" w:rsidRPr="00BA583D">
        <w:rPr>
          <w:rFonts w:cs="Times New Roman"/>
          <w:sz w:val="24"/>
          <w:szCs w:val="24"/>
        </w:rPr>
        <w:t>stages</w:t>
      </w:r>
      <w:r w:rsidRPr="00BA583D">
        <w:rPr>
          <w:rFonts w:cs="Times New Roman"/>
          <w:sz w:val="24"/>
          <w:szCs w:val="24"/>
        </w:rPr>
        <w:t xml:space="preserve"> </w:t>
      </w:r>
      <w:bookmarkEnd w:id="7"/>
      <w:r w:rsidRPr="00BA583D">
        <w:rPr>
          <w:rFonts w:cs="Times New Roman"/>
          <w:sz w:val="24"/>
          <w:szCs w:val="24"/>
        </w:rPr>
        <w:t>volatilizing a large amount of NH</w:t>
      </w:r>
      <w:r w:rsidRPr="00BA583D">
        <w:rPr>
          <w:rFonts w:cs="Times New Roman"/>
          <w:sz w:val="24"/>
          <w:szCs w:val="24"/>
          <w:vertAlign w:val="subscript"/>
        </w:rPr>
        <w:t>3</w:t>
      </w:r>
      <w:r w:rsidRPr="00BA583D">
        <w:rPr>
          <w:rFonts w:cs="Times New Roman"/>
          <w:sz w:val="24"/>
          <w:szCs w:val="24"/>
        </w:rPr>
        <w:t xml:space="preserve"> in the open air</w:t>
      </w:r>
      <w:r w:rsidR="007F7389" w:rsidRPr="00BA583D">
        <w:rPr>
          <w:rFonts w:cs="Times New Roman"/>
          <w:sz w:val="24"/>
          <w:szCs w:val="24"/>
        </w:rPr>
        <w:t xml:space="preserve"> </w:t>
      </w:r>
      <w:r w:rsidR="007F7389" w:rsidRPr="00BA583D">
        <w:rPr>
          <w:rFonts w:cs="Times New Roman"/>
          <w:color w:val="4472C4" w:themeColor="accent1"/>
          <w:sz w:val="24"/>
          <w:szCs w:val="24"/>
        </w:rPr>
        <w:t>(</w:t>
      </w:r>
      <w:r w:rsidR="000A4071" w:rsidRPr="000A4071">
        <w:rPr>
          <w:rFonts w:cs="Times New Roman"/>
          <w:color w:val="4472C4" w:themeColor="accent1"/>
          <w:sz w:val="24"/>
          <w:szCs w:val="24"/>
        </w:rPr>
        <w:t>Extended Data Fig. 3</w:t>
      </w:r>
      <w:r w:rsidR="007F7389" w:rsidRPr="00BA583D">
        <w:rPr>
          <w:rFonts w:cs="Times New Roman"/>
          <w:color w:val="4472C4" w:themeColor="accent1"/>
          <w:sz w:val="24"/>
          <w:szCs w:val="24"/>
        </w:rPr>
        <w:t>)</w:t>
      </w:r>
      <w:r w:rsidRPr="00BA583D">
        <w:rPr>
          <w:rFonts w:cs="Times New Roman"/>
          <w:sz w:val="24"/>
          <w:szCs w:val="24"/>
        </w:rPr>
        <w:t>. The emissions at</w:t>
      </w:r>
      <w:r w:rsidR="00AC0DC0">
        <w:rPr>
          <w:rFonts w:cs="Times New Roman"/>
          <w:sz w:val="24"/>
          <w:szCs w:val="24"/>
        </w:rPr>
        <w:t xml:space="preserve"> the</w:t>
      </w:r>
      <w:r w:rsidRPr="00BA583D">
        <w:rPr>
          <w:rFonts w:cs="Times New Roman"/>
          <w:sz w:val="24"/>
          <w:szCs w:val="24"/>
        </w:rPr>
        <w:t xml:space="preserve"> fourth stage are</w:t>
      </w:r>
      <w:r w:rsidR="00AC0DC0">
        <w:rPr>
          <w:rFonts w:cs="Times New Roman"/>
          <w:sz w:val="24"/>
          <w:szCs w:val="24"/>
        </w:rPr>
        <w:t xml:space="preserve"> the</w:t>
      </w:r>
      <w:r w:rsidRPr="00BA583D">
        <w:rPr>
          <w:rFonts w:cs="Times New Roman"/>
          <w:sz w:val="24"/>
          <w:szCs w:val="24"/>
        </w:rPr>
        <w:t xml:space="preserve"> highest, especially from free-range farming (1.7</w:t>
      </w:r>
      <w:r w:rsidR="00AC0DC0">
        <w:rPr>
          <w:rFonts w:cs="Times New Roman"/>
          <w:sz w:val="24"/>
          <w:szCs w:val="24"/>
        </w:rPr>
        <w:t xml:space="preserve"> </w:t>
      </w:r>
      <w:r w:rsidRPr="00BA583D">
        <w:rPr>
          <w:rFonts w:cs="Times New Roman"/>
          <w:sz w:val="24"/>
          <w:szCs w:val="24"/>
        </w:rPr>
        <w:t xml:space="preserve">Tg), where manure is produced at home and applied directly to cropland without professional treatment or simple fermentation </w:t>
      </w:r>
      <w:r w:rsidRPr="00BA583D">
        <w:rPr>
          <w:rFonts w:cs="Times New Roman"/>
          <w:color w:val="4472C4" w:themeColor="accent1"/>
          <w:sz w:val="24"/>
          <w:szCs w:val="24"/>
        </w:rPr>
        <w:t>(</w:t>
      </w:r>
      <w:r w:rsidR="000A4071" w:rsidRPr="000A4071">
        <w:rPr>
          <w:rFonts w:cs="Times New Roman"/>
          <w:color w:val="4472C4" w:themeColor="accent1"/>
          <w:sz w:val="24"/>
          <w:szCs w:val="24"/>
        </w:rPr>
        <w:t>Extended Data Fig. 6</w:t>
      </w:r>
      <w:r w:rsidRPr="00BA583D">
        <w:rPr>
          <w:rFonts w:cs="Times New Roman"/>
          <w:color w:val="4472C4" w:themeColor="accent1"/>
          <w:sz w:val="24"/>
          <w:szCs w:val="24"/>
        </w:rPr>
        <w:t>)</w:t>
      </w:r>
      <w:r w:rsidRPr="00BA583D">
        <w:rPr>
          <w:rFonts w:cs="Times New Roman"/>
          <w:sz w:val="24"/>
          <w:szCs w:val="24"/>
        </w:rPr>
        <w:t>. The overall emissions from large-scale farming are lower than those from free-range farming because we consider the emissions from different barn management in large-scale farming, such as mechanical manure removal, such better management methods to reduce NH</w:t>
      </w:r>
      <w:r w:rsidRPr="00BA583D">
        <w:rPr>
          <w:rFonts w:cs="Times New Roman"/>
          <w:sz w:val="24"/>
          <w:szCs w:val="24"/>
          <w:vertAlign w:val="subscript"/>
        </w:rPr>
        <w:t>3</w:t>
      </w:r>
      <w:r w:rsidRPr="00BA583D">
        <w:rPr>
          <w:rFonts w:cs="Times New Roman"/>
          <w:sz w:val="24"/>
          <w:szCs w:val="24"/>
        </w:rPr>
        <w:t xml:space="preserve"> emissions at the housing and storage stages, and manure is returned to the cropland after treated</w:t>
      </w:r>
      <w:bookmarkStart w:id="8" w:name="_Hlk111307812"/>
      <w:r w:rsidR="00073187">
        <w:rPr>
          <w:rFonts w:cs="Times New Roman"/>
          <w:sz w:val="24"/>
          <w:szCs w:val="24"/>
        </w:rPr>
        <w:fldChar w:fldCharType="begin"/>
      </w:r>
      <w:r w:rsidR="00073187">
        <w:rPr>
          <w:rFonts w:cs="Times New Roman"/>
          <w:sz w:val="24"/>
          <w:szCs w:val="24"/>
        </w:rPr>
        <w:instrText xml:space="preserve"> ADDIN NE.Ref.{3AB36D76-DE12-413D-905B-257EE2BED06E}</w:instrText>
      </w:r>
      <w:r w:rsidR="00073187">
        <w:rPr>
          <w:rFonts w:cs="Times New Roman"/>
          <w:sz w:val="24"/>
          <w:szCs w:val="24"/>
        </w:rPr>
        <w:fldChar w:fldCharType="separate"/>
      </w:r>
      <w:r w:rsidR="00E02FEC">
        <w:rPr>
          <w:rFonts w:cs="Times New Roman"/>
          <w:color w:val="080000"/>
          <w:kern w:val="0"/>
          <w:sz w:val="24"/>
          <w:szCs w:val="24"/>
          <w:vertAlign w:val="superscript"/>
        </w:rPr>
        <w:t>4</w:t>
      </w:r>
      <w:r w:rsidR="00073187">
        <w:rPr>
          <w:rFonts w:cs="Times New Roman"/>
          <w:sz w:val="24"/>
          <w:szCs w:val="24"/>
        </w:rPr>
        <w:fldChar w:fldCharType="end"/>
      </w:r>
      <w:r w:rsidRPr="00BA583D">
        <w:rPr>
          <w:rFonts w:cs="Times New Roman"/>
          <w:sz w:val="24"/>
          <w:szCs w:val="24"/>
        </w:rPr>
        <w:t xml:space="preserve"> </w:t>
      </w:r>
      <w:r w:rsidRPr="00BA583D">
        <w:rPr>
          <w:rFonts w:cs="Times New Roman"/>
          <w:color w:val="4472C4" w:themeColor="accent1"/>
          <w:sz w:val="24"/>
          <w:szCs w:val="24"/>
        </w:rPr>
        <w:t>(</w:t>
      </w:r>
      <w:r w:rsidR="000A4071" w:rsidRPr="000A4071">
        <w:rPr>
          <w:rFonts w:cs="Times New Roman"/>
          <w:color w:val="4472C4" w:themeColor="accent1"/>
          <w:sz w:val="24"/>
          <w:szCs w:val="24"/>
        </w:rPr>
        <w:t>Extended Data Fig. 3</w:t>
      </w:r>
      <w:r w:rsidRPr="00BA583D">
        <w:rPr>
          <w:rFonts w:cs="Times New Roman"/>
          <w:color w:val="4472C4" w:themeColor="accent1"/>
          <w:sz w:val="24"/>
          <w:szCs w:val="24"/>
        </w:rPr>
        <w:t>)</w:t>
      </w:r>
      <w:bookmarkEnd w:id="8"/>
      <w:r w:rsidRPr="00BA583D">
        <w:rPr>
          <w:rFonts w:cs="Times New Roman"/>
          <w:sz w:val="24"/>
          <w:szCs w:val="24"/>
        </w:rPr>
        <w:t xml:space="preserve">. Therefore, more large-scale livestock farms should be used to improve the current farming situation, increase the rate of return to the field and use more efficient manure treatment methods. </w:t>
      </w:r>
    </w:p>
    <w:p w14:paraId="3AE339DD" w14:textId="77777777" w:rsidR="00063F4D" w:rsidRPr="00BA583D" w:rsidRDefault="00063F4D" w:rsidP="00705CBD">
      <w:pPr>
        <w:jc w:val="left"/>
        <w:rPr>
          <w:rFonts w:cs="Times New Roman"/>
          <w:sz w:val="24"/>
          <w:szCs w:val="24"/>
        </w:rPr>
      </w:pPr>
    </w:p>
    <w:p w14:paraId="3A2F9B4B" w14:textId="19BE0C41" w:rsidR="00063F4D" w:rsidRPr="00BA583D" w:rsidRDefault="00063F4D" w:rsidP="00705CBD">
      <w:pPr>
        <w:jc w:val="left"/>
        <w:rPr>
          <w:rFonts w:cs="Times New Roman"/>
          <w:sz w:val="24"/>
          <w:szCs w:val="24"/>
        </w:rPr>
      </w:pPr>
      <w:r w:rsidRPr="00BA583D">
        <w:rPr>
          <w:rFonts w:cs="Times New Roman"/>
          <w:sz w:val="24"/>
          <w:szCs w:val="24"/>
        </w:rPr>
        <w:t xml:space="preserve">Our results show that non-agricultural sources account for a larger proportion of emissions (30%), and previous studies also have </w:t>
      </w:r>
      <w:r w:rsidR="00192915">
        <w:rPr>
          <w:rFonts w:cs="Times New Roman"/>
          <w:sz w:val="24"/>
          <w:szCs w:val="24"/>
        </w:rPr>
        <w:t xml:space="preserve">also </w:t>
      </w:r>
      <w:r w:rsidRPr="00BA583D">
        <w:rPr>
          <w:rFonts w:cs="Times New Roman"/>
          <w:sz w:val="24"/>
          <w:szCs w:val="24"/>
        </w:rPr>
        <w:t>stress</w:t>
      </w:r>
      <w:r w:rsidR="00192915">
        <w:rPr>
          <w:rFonts w:cs="Times New Roman"/>
          <w:sz w:val="24"/>
          <w:szCs w:val="24"/>
        </w:rPr>
        <w:t>ed</w:t>
      </w:r>
      <w:r w:rsidRPr="00BA583D">
        <w:rPr>
          <w:rFonts w:cs="Times New Roman"/>
          <w:sz w:val="24"/>
          <w:szCs w:val="24"/>
        </w:rPr>
        <w:t xml:space="preserve"> that emissions have been increasing and are underestimated</w:t>
      </w:r>
      <w:r w:rsidR="00B70057" w:rsidRPr="00BA583D">
        <w:rPr>
          <w:rFonts w:cs="Times New Roman"/>
          <w:sz w:val="24"/>
          <w:szCs w:val="24"/>
        </w:rPr>
        <w:t xml:space="preserve"> </w:t>
      </w:r>
      <w:r w:rsidR="000A4071" w:rsidRPr="000A4071">
        <w:rPr>
          <w:rFonts w:cs="Times New Roman"/>
          <w:color w:val="5B9BD5" w:themeColor="accent5"/>
          <w:sz w:val="24"/>
          <w:szCs w:val="24"/>
        </w:rPr>
        <w:t>(</w:t>
      </w:r>
      <w:r w:rsidR="000A4071" w:rsidRPr="000A4071">
        <w:rPr>
          <w:rFonts w:cs="Times New Roman"/>
          <w:color w:val="4472C4" w:themeColor="accent1"/>
          <w:sz w:val="24"/>
          <w:szCs w:val="24"/>
        </w:rPr>
        <w:t>Fig</w:t>
      </w:r>
      <w:r w:rsidR="000A4071">
        <w:rPr>
          <w:rFonts w:cs="Times New Roman"/>
          <w:color w:val="4472C4" w:themeColor="accent1"/>
          <w:sz w:val="24"/>
          <w:szCs w:val="24"/>
        </w:rPr>
        <w:t>.</w:t>
      </w:r>
      <w:r w:rsidR="000A4071" w:rsidRPr="000A4071">
        <w:rPr>
          <w:rFonts w:cs="Times New Roman"/>
          <w:color w:val="4472C4" w:themeColor="accent1"/>
          <w:sz w:val="24"/>
          <w:szCs w:val="24"/>
        </w:rPr>
        <w:t xml:space="preserve"> 1</w:t>
      </w:r>
      <w:r w:rsidR="00B70057" w:rsidRPr="00BA583D">
        <w:rPr>
          <w:rFonts w:cs="Times New Roman"/>
          <w:color w:val="4472C4" w:themeColor="accent1"/>
          <w:sz w:val="24"/>
          <w:szCs w:val="24"/>
        </w:rPr>
        <w:t>)</w:t>
      </w:r>
      <w:r w:rsidRPr="00BA583D">
        <w:rPr>
          <w:rFonts w:cs="Times New Roman"/>
          <w:sz w:val="24"/>
          <w:szCs w:val="24"/>
        </w:rPr>
        <w:t>. In addition to enhanced automobile exhaust emissions in urban areas, large emissions from cement production and coal-fired power plants in the past two decades, primarily due to the NH</w:t>
      </w:r>
      <w:r w:rsidRPr="00BA583D">
        <w:rPr>
          <w:rFonts w:cs="Times New Roman"/>
          <w:sz w:val="24"/>
          <w:szCs w:val="24"/>
          <w:vertAlign w:val="subscript"/>
        </w:rPr>
        <w:t>3</w:t>
      </w:r>
      <w:r w:rsidRPr="00BA583D">
        <w:rPr>
          <w:rFonts w:cs="Times New Roman"/>
          <w:sz w:val="24"/>
          <w:szCs w:val="24"/>
        </w:rPr>
        <w:t xml:space="preserve"> scape caused by the large-scale application of the denitration process (e.g., non-selective catalytic </w:t>
      </w:r>
      <w:r w:rsidRPr="00BA583D">
        <w:rPr>
          <w:rFonts w:cs="Times New Roman"/>
          <w:sz w:val="24"/>
          <w:szCs w:val="24"/>
        </w:rPr>
        <w:lastRenderedPageBreak/>
        <w:t>reduction (SNCR) and selective catalytic reduction (SCR) technologies)</w:t>
      </w:r>
      <w:r w:rsidR="00256DBA">
        <w:rPr>
          <w:rFonts w:cs="Times New Roman"/>
          <w:sz w:val="24"/>
          <w:szCs w:val="24"/>
        </w:rPr>
        <w:fldChar w:fldCharType="begin"/>
      </w:r>
      <w:r w:rsidR="00256DBA">
        <w:rPr>
          <w:rFonts w:cs="Times New Roman"/>
          <w:sz w:val="24"/>
          <w:szCs w:val="24"/>
        </w:rPr>
        <w:instrText xml:space="preserve"> ADDIN NE.Ref.{2FC3B726-3B4C-4DA8-9019-D84108001C3B}</w:instrText>
      </w:r>
      <w:r w:rsidR="00256DBA">
        <w:rPr>
          <w:rFonts w:cs="Times New Roman"/>
          <w:sz w:val="24"/>
          <w:szCs w:val="24"/>
        </w:rPr>
        <w:fldChar w:fldCharType="separate"/>
      </w:r>
      <w:r w:rsidR="00E02FEC">
        <w:rPr>
          <w:rFonts w:cs="Times New Roman"/>
          <w:color w:val="080000"/>
          <w:kern w:val="0"/>
          <w:sz w:val="24"/>
          <w:szCs w:val="24"/>
          <w:vertAlign w:val="superscript"/>
        </w:rPr>
        <w:t>5-8</w:t>
      </w:r>
      <w:r w:rsidR="00256DBA">
        <w:rPr>
          <w:rFonts w:cs="Times New Roman"/>
          <w:sz w:val="24"/>
          <w:szCs w:val="24"/>
        </w:rPr>
        <w:fldChar w:fldCharType="end"/>
      </w:r>
      <w:r w:rsidRPr="00BA583D">
        <w:rPr>
          <w:rFonts w:cs="Times New Roman"/>
          <w:sz w:val="24"/>
          <w:szCs w:val="24"/>
        </w:rPr>
        <w:t>, which could cause “slip out” of NH</w:t>
      </w:r>
      <w:r w:rsidRPr="00BA583D">
        <w:rPr>
          <w:rFonts w:cs="Times New Roman"/>
          <w:sz w:val="24"/>
          <w:szCs w:val="24"/>
          <w:vertAlign w:val="subscript"/>
        </w:rPr>
        <w:t>3</w:t>
      </w:r>
      <w:r w:rsidRPr="00BA583D">
        <w:rPr>
          <w:rFonts w:cs="Times New Roman"/>
          <w:sz w:val="24"/>
          <w:szCs w:val="24"/>
        </w:rPr>
        <w:t xml:space="preserve">. Other emission sources, such as grassland and aquaculture, </w:t>
      </w:r>
      <w:r w:rsidR="00192915">
        <w:rPr>
          <w:rFonts w:cs="Times New Roman"/>
          <w:sz w:val="24"/>
          <w:szCs w:val="24"/>
        </w:rPr>
        <w:t xml:space="preserve">were </w:t>
      </w:r>
      <w:r w:rsidRPr="00BA583D">
        <w:rPr>
          <w:rFonts w:cs="Times New Roman"/>
          <w:sz w:val="24"/>
          <w:szCs w:val="24"/>
        </w:rPr>
        <w:t>eas</w:t>
      </w:r>
      <w:r w:rsidR="00192915">
        <w:rPr>
          <w:rFonts w:cs="Times New Roman"/>
          <w:sz w:val="24"/>
          <w:szCs w:val="24"/>
        </w:rPr>
        <w:t>ily</w:t>
      </w:r>
      <w:r w:rsidRPr="00BA583D">
        <w:rPr>
          <w:rFonts w:cs="Times New Roman"/>
          <w:sz w:val="24"/>
          <w:szCs w:val="24"/>
        </w:rPr>
        <w:t xml:space="preserve"> to be ignored in previous studies. This is also an important emission source that deserves attention due to the increase of urban greening and the serious atmospheric nitrogen deposition in recent years</w:t>
      </w:r>
      <w:r w:rsidR="00256DBA">
        <w:rPr>
          <w:rFonts w:cs="Times New Roman"/>
          <w:sz w:val="24"/>
          <w:szCs w:val="24"/>
        </w:rPr>
        <w:fldChar w:fldCharType="begin"/>
      </w:r>
      <w:r w:rsidR="00256DBA">
        <w:rPr>
          <w:rFonts w:cs="Times New Roman"/>
          <w:sz w:val="24"/>
          <w:szCs w:val="24"/>
        </w:rPr>
        <w:instrText xml:space="preserve"> ADDIN NE.Ref.{5C513101-917F-4F91-8405-276D5DF1041F}</w:instrText>
      </w:r>
      <w:r w:rsidR="00256DBA">
        <w:rPr>
          <w:rFonts w:cs="Times New Roman"/>
          <w:sz w:val="24"/>
          <w:szCs w:val="24"/>
        </w:rPr>
        <w:fldChar w:fldCharType="separate"/>
      </w:r>
      <w:r w:rsidR="00E02FEC">
        <w:rPr>
          <w:rFonts w:cs="Times New Roman"/>
          <w:color w:val="080000"/>
          <w:kern w:val="0"/>
          <w:sz w:val="24"/>
          <w:szCs w:val="24"/>
          <w:vertAlign w:val="superscript"/>
        </w:rPr>
        <w:t>9, 10</w:t>
      </w:r>
      <w:r w:rsidR="00256DBA">
        <w:rPr>
          <w:rFonts w:cs="Times New Roman"/>
          <w:sz w:val="24"/>
          <w:szCs w:val="24"/>
        </w:rPr>
        <w:fldChar w:fldCharType="end"/>
      </w:r>
      <w:r w:rsidRPr="00BA583D">
        <w:rPr>
          <w:rFonts w:cs="Times New Roman"/>
          <w:sz w:val="24"/>
          <w:szCs w:val="24"/>
        </w:rPr>
        <w:t>. Our efforts, together with a recently implemented, stress the importance and potential risks towards those fast-increasing emissions and call for more restricted and comprehensive policies.</w:t>
      </w:r>
    </w:p>
    <w:p w14:paraId="42A67522" w14:textId="5FB72248" w:rsidR="00063F4D" w:rsidRPr="00BA583D" w:rsidRDefault="00063F4D" w:rsidP="00430ACD">
      <w:pPr>
        <w:adjustRightInd w:val="0"/>
        <w:snapToGrid w:val="0"/>
        <w:jc w:val="left"/>
        <w:rPr>
          <w:rFonts w:eastAsiaTheme="majorEastAsia" w:cs="Times New Roman"/>
          <w:b/>
          <w:bCs/>
          <w:sz w:val="24"/>
          <w:szCs w:val="24"/>
        </w:rPr>
      </w:pPr>
    </w:p>
    <w:p w14:paraId="31402A62" w14:textId="46BF7E68" w:rsidR="00A57E74" w:rsidRPr="00BA583D" w:rsidRDefault="00314032" w:rsidP="00A57E74">
      <w:pPr>
        <w:pStyle w:val="3"/>
        <w:jc w:val="left"/>
        <w:rPr>
          <w:rFonts w:cs="Times New Roman"/>
          <w:szCs w:val="24"/>
        </w:rPr>
      </w:pPr>
      <w:bookmarkStart w:id="9" w:name="OLE_LINK39"/>
      <w:bookmarkStart w:id="10" w:name="OLE_LINK40"/>
      <w:r w:rsidRPr="00BA583D">
        <w:rPr>
          <w:rFonts w:cs="Times New Roman"/>
          <w:szCs w:val="24"/>
        </w:rPr>
        <w:t>H</w:t>
      </w:r>
      <w:r w:rsidR="00A57E74" w:rsidRPr="00BA583D">
        <w:rPr>
          <w:rFonts w:cs="Times New Roman"/>
          <w:szCs w:val="24"/>
        </w:rPr>
        <w:t>igh temporal-spatial resolution</w:t>
      </w:r>
    </w:p>
    <w:bookmarkEnd w:id="9"/>
    <w:bookmarkEnd w:id="10"/>
    <w:p w14:paraId="0FAB148D" w14:textId="28D73413" w:rsidR="00A57E74" w:rsidRPr="00BA583D" w:rsidRDefault="001D4DE4" w:rsidP="00AC0DC0">
      <w:pPr>
        <w:jc w:val="left"/>
        <w:rPr>
          <w:rFonts w:cs="Times New Roman"/>
          <w:sz w:val="24"/>
          <w:szCs w:val="24"/>
        </w:rPr>
      </w:pPr>
      <w:r w:rsidRPr="00BA583D">
        <w:rPr>
          <w:rFonts w:cs="Times New Roman"/>
          <w:sz w:val="24"/>
          <w:szCs w:val="24"/>
        </w:rPr>
        <w:t>For cropland, w</w:t>
      </w:r>
      <w:r w:rsidR="00A57E74" w:rsidRPr="00BA583D">
        <w:rPr>
          <w:rFonts w:cs="Times New Roman"/>
          <w:sz w:val="24"/>
          <w:szCs w:val="24"/>
        </w:rPr>
        <w:t xml:space="preserve">e used secondary pollution census data to obtain the frequency of fertilizer application at ten-day intervals throughout the year, which is the latest and most accurate fertilization time for different crops. </w:t>
      </w:r>
      <w:r w:rsidRPr="00BA583D">
        <w:rPr>
          <w:rFonts w:cs="Times New Roman"/>
          <w:sz w:val="24"/>
          <w:szCs w:val="24"/>
        </w:rPr>
        <w:t>The annual emission change of livestock is mainly affected by environmental factors. For</w:t>
      </w:r>
      <w:r w:rsidR="00A57E74" w:rsidRPr="00BA583D">
        <w:rPr>
          <w:rFonts w:cs="Times New Roman"/>
          <w:sz w:val="24"/>
          <w:szCs w:val="24"/>
        </w:rPr>
        <w:t xml:space="preserve"> example, when the temperature in Northeast China is low in winter with lower emissions, while the emissions in the south are still high. From the perspective of different region across China, the emission of temporal variation in each city are different, due to the temperature discrepancy of the year</w:t>
      </w:r>
      <w:r w:rsidR="00256DBA">
        <w:rPr>
          <w:rFonts w:cs="Times New Roman"/>
          <w:sz w:val="24"/>
          <w:szCs w:val="24"/>
        </w:rPr>
        <w:fldChar w:fldCharType="begin"/>
      </w:r>
      <w:r w:rsidR="00256DBA">
        <w:rPr>
          <w:rFonts w:cs="Times New Roman"/>
          <w:sz w:val="24"/>
          <w:szCs w:val="24"/>
        </w:rPr>
        <w:instrText xml:space="preserve"> ADDIN NE.Ref.{1E7626EA-47AA-420C-ADB2-EE86DC0AB9AB}</w:instrText>
      </w:r>
      <w:r w:rsidR="00256DBA">
        <w:rPr>
          <w:rFonts w:cs="Times New Roman"/>
          <w:sz w:val="24"/>
          <w:szCs w:val="24"/>
        </w:rPr>
        <w:fldChar w:fldCharType="separate"/>
      </w:r>
      <w:r w:rsidR="00E02FEC">
        <w:rPr>
          <w:rFonts w:cs="Times New Roman"/>
          <w:color w:val="080000"/>
          <w:kern w:val="0"/>
          <w:sz w:val="24"/>
          <w:szCs w:val="24"/>
          <w:vertAlign w:val="superscript"/>
        </w:rPr>
        <w:t>11</w:t>
      </w:r>
      <w:r w:rsidR="00256DBA">
        <w:rPr>
          <w:rFonts w:cs="Times New Roman"/>
          <w:sz w:val="24"/>
          <w:szCs w:val="24"/>
        </w:rPr>
        <w:fldChar w:fldCharType="end"/>
      </w:r>
      <w:r w:rsidR="00A57E74" w:rsidRPr="00BA583D">
        <w:rPr>
          <w:rFonts w:cs="Times New Roman"/>
          <w:sz w:val="24"/>
          <w:szCs w:val="24"/>
        </w:rPr>
        <w:t>.</w:t>
      </w:r>
      <w:r w:rsidRPr="00BA583D">
        <w:rPr>
          <w:rFonts w:cs="Times New Roman"/>
          <w:sz w:val="24"/>
          <w:szCs w:val="24"/>
        </w:rPr>
        <w:t xml:space="preserve"> We use county-level environmental data to correct the impact, which could better identify the spatial differences. </w:t>
      </w:r>
      <w:r w:rsidR="00A57E74" w:rsidRPr="00BA583D">
        <w:rPr>
          <w:rFonts w:cs="Times New Roman"/>
          <w:sz w:val="24"/>
          <w:szCs w:val="24"/>
        </w:rPr>
        <w:t>For livestock, we achieved the spatial distribution of large-scale farms in the way of latitude and longitude positioning for the first time, with NH</w:t>
      </w:r>
      <w:r w:rsidR="00A57E74" w:rsidRPr="00BA583D">
        <w:rPr>
          <w:rFonts w:cs="Times New Roman"/>
          <w:sz w:val="24"/>
          <w:szCs w:val="24"/>
          <w:vertAlign w:val="subscript"/>
        </w:rPr>
        <w:t>3</w:t>
      </w:r>
      <w:r w:rsidR="00A57E74" w:rsidRPr="00BA583D">
        <w:rPr>
          <w:rFonts w:cs="Times New Roman"/>
          <w:sz w:val="24"/>
          <w:szCs w:val="24"/>
        </w:rPr>
        <w:t xml:space="preserve"> emissions from each farm on a 1 km spatial grid, so the spatial uncertainty was substantially decreased compared with the previous studies. The emission intensity is still the highest in South China, followed by YRD. For non-agricultural sources, </w:t>
      </w:r>
      <w:r w:rsidR="00063A9F" w:rsidRPr="00BA583D">
        <w:rPr>
          <w:rFonts w:cs="Times New Roman"/>
          <w:sz w:val="24"/>
          <w:szCs w:val="24"/>
        </w:rPr>
        <w:t xml:space="preserve">emissions </w:t>
      </w:r>
      <w:r w:rsidR="00A57E74" w:rsidRPr="00BA583D">
        <w:rPr>
          <w:rFonts w:cs="Times New Roman"/>
          <w:sz w:val="24"/>
          <w:szCs w:val="24"/>
        </w:rPr>
        <w:t>are usually concentrated in urban areas and it is easier to form a complex of atmospheric pollution together with other pollutants (e.g., O</w:t>
      </w:r>
      <w:r w:rsidR="00A57E74" w:rsidRPr="00BA583D">
        <w:rPr>
          <w:rFonts w:cs="Times New Roman"/>
          <w:sz w:val="24"/>
          <w:szCs w:val="24"/>
          <w:vertAlign w:val="subscript"/>
        </w:rPr>
        <w:t>3</w:t>
      </w:r>
      <w:r w:rsidR="00A57E74" w:rsidRPr="00BA583D">
        <w:rPr>
          <w:rFonts w:cs="Times New Roman"/>
          <w:sz w:val="24"/>
          <w:szCs w:val="24"/>
        </w:rPr>
        <w:t>, NOx) (</w:t>
      </w:r>
      <w:r w:rsidR="00A57E74" w:rsidRPr="00BA583D">
        <w:rPr>
          <w:rFonts w:cs="Times New Roman"/>
          <w:color w:val="4472C4" w:themeColor="accent1"/>
          <w:sz w:val="24"/>
          <w:szCs w:val="24"/>
        </w:rPr>
        <w:t xml:space="preserve">Fig. </w:t>
      </w:r>
      <w:r w:rsidR="00063A9F" w:rsidRPr="00BA583D">
        <w:rPr>
          <w:rFonts w:cs="Times New Roman"/>
          <w:color w:val="4472C4" w:themeColor="accent1"/>
          <w:sz w:val="24"/>
          <w:szCs w:val="24"/>
        </w:rPr>
        <w:t>1</w:t>
      </w:r>
      <w:r w:rsidR="000A4071">
        <w:rPr>
          <w:rFonts w:cs="Times New Roman"/>
          <w:color w:val="4472C4" w:themeColor="accent1"/>
          <w:sz w:val="24"/>
          <w:szCs w:val="24"/>
        </w:rPr>
        <w:t>h, i</w:t>
      </w:r>
      <w:r w:rsidR="00A57E74" w:rsidRPr="00BA583D">
        <w:rPr>
          <w:rFonts w:cs="Times New Roman"/>
          <w:sz w:val="24"/>
          <w:szCs w:val="24"/>
        </w:rPr>
        <w:t>). Thus, there is a greater impact on human health risks and should further stressed. Our efforts could advance these understandings through the development of an unprecedented high temporal-spatial resolution data set of China’s NH</w:t>
      </w:r>
      <w:r w:rsidR="00A57E74" w:rsidRPr="00BA583D">
        <w:rPr>
          <w:rFonts w:cs="Times New Roman"/>
          <w:sz w:val="24"/>
          <w:szCs w:val="24"/>
          <w:vertAlign w:val="subscript"/>
        </w:rPr>
        <w:t>3</w:t>
      </w:r>
      <w:r w:rsidR="00A57E74" w:rsidRPr="00BA583D">
        <w:rPr>
          <w:rFonts w:cs="Times New Roman"/>
          <w:sz w:val="24"/>
          <w:szCs w:val="24"/>
        </w:rPr>
        <w:t xml:space="preserve"> emissions with county-level and survey point-level data.</w:t>
      </w:r>
    </w:p>
    <w:p w14:paraId="793EB09F" w14:textId="795B96F6" w:rsidR="00A57E74" w:rsidRPr="00BA583D" w:rsidRDefault="00A57E74" w:rsidP="00A57E74">
      <w:pPr>
        <w:adjustRightInd w:val="0"/>
        <w:snapToGrid w:val="0"/>
        <w:jc w:val="left"/>
        <w:rPr>
          <w:rFonts w:eastAsiaTheme="majorEastAsia" w:cs="Times New Roman"/>
          <w:b/>
          <w:bCs/>
          <w:sz w:val="24"/>
          <w:szCs w:val="24"/>
        </w:rPr>
      </w:pPr>
    </w:p>
    <w:p w14:paraId="44F9A7E5" w14:textId="77777777" w:rsidR="00E15C80" w:rsidRPr="00BA583D" w:rsidRDefault="00E15C80" w:rsidP="00E15C80">
      <w:pPr>
        <w:pStyle w:val="3"/>
        <w:rPr>
          <w:rFonts w:cs="Times New Roman"/>
          <w:szCs w:val="24"/>
        </w:rPr>
      </w:pPr>
      <w:bookmarkStart w:id="11" w:name="_Hlk111309267"/>
      <w:r w:rsidRPr="00BA583D">
        <w:rPr>
          <w:rFonts w:cs="Times New Roman"/>
          <w:szCs w:val="24"/>
        </w:rPr>
        <w:t>Comparison with previous studies</w:t>
      </w:r>
      <w:bookmarkEnd w:id="11"/>
    </w:p>
    <w:p w14:paraId="1C2D2B11" w14:textId="39D2B9A7" w:rsidR="00E15C80" w:rsidRPr="00BA583D" w:rsidRDefault="00E15C80" w:rsidP="00AC0DC0">
      <w:pPr>
        <w:jc w:val="left"/>
        <w:rPr>
          <w:rFonts w:cs="Times New Roman"/>
          <w:sz w:val="24"/>
          <w:szCs w:val="24"/>
        </w:rPr>
      </w:pPr>
      <w:r w:rsidRPr="00BA583D">
        <w:rPr>
          <w:rFonts w:cs="Times New Roman"/>
          <w:sz w:val="24"/>
          <w:szCs w:val="24"/>
        </w:rPr>
        <w:t>The lapsed inventories that are no longer to reflect the current situation due to the fertilization and livestock farming in China have undergone great changes.</w:t>
      </w:r>
      <w:r w:rsidR="00612388" w:rsidRPr="00BA583D">
        <w:rPr>
          <w:rFonts w:cs="Times New Roman"/>
          <w:sz w:val="24"/>
          <w:szCs w:val="24"/>
        </w:rPr>
        <w:t xml:space="preserve"> The previous study mainly has the following deficiencies based on the above research: (1) Since the current fertilization and livestock farming in China have undergone great changes</w:t>
      </w:r>
      <w:r w:rsidR="00073187">
        <w:rPr>
          <w:rFonts w:cs="Times New Roman"/>
          <w:sz w:val="24"/>
          <w:szCs w:val="24"/>
        </w:rPr>
        <w:fldChar w:fldCharType="begin"/>
      </w:r>
      <w:r w:rsidR="00073187">
        <w:rPr>
          <w:rFonts w:cs="Times New Roman"/>
          <w:sz w:val="24"/>
          <w:szCs w:val="24"/>
        </w:rPr>
        <w:instrText xml:space="preserve"> ADDIN NE.Ref.{7798F829-A671-481E-BB32-1484B1B3B55B}</w:instrText>
      </w:r>
      <w:r w:rsidR="00073187">
        <w:rPr>
          <w:rFonts w:cs="Times New Roman"/>
          <w:sz w:val="24"/>
          <w:szCs w:val="24"/>
        </w:rPr>
        <w:fldChar w:fldCharType="separate"/>
      </w:r>
      <w:r w:rsidR="00E02FEC">
        <w:rPr>
          <w:rFonts w:cs="Times New Roman"/>
          <w:color w:val="080000"/>
          <w:kern w:val="0"/>
          <w:sz w:val="24"/>
          <w:szCs w:val="24"/>
          <w:vertAlign w:val="superscript"/>
        </w:rPr>
        <w:t>1, 12</w:t>
      </w:r>
      <w:r w:rsidR="00073187">
        <w:rPr>
          <w:rFonts w:cs="Times New Roman"/>
          <w:sz w:val="24"/>
          <w:szCs w:val="24"/>
        </w:rPr>
        <w:fldChar w:fldCharType="end"/>
      </w:r>
      <w:r w:rsidR="00612388" w:rsidRPr="00BA583D">
        <w:rPr>
          <w:rFonts w:cs="Times New Roman"/>
          <w:sz w:val="24"/>
          <w:szCs w:val="24"/>
        </w:rPr>
        <w:t>, the lapsed inventories that are no longer to reflect the current situation without timeliness. (2) Inventories are mostly compiled using provincial or municipal scale statistics, and then downscale emissions to a smaller spatial resolution simply in ArcGIS, and it is difficult to capture the precise NH</w:t>
      </w:r>
      <w:r w:rsidR="00612388" w:rsidRPr="00BA583D">
        <w:rPr>
          <w:rFonts w:cs="Times New Roman"/>
          <w:sz w:val="24"/>
          <w:szCs w:val="24"/>
          <w:vertAlign w:val="subscript"/>
        </w:rPr>
        <w:t>3</w:t>
      </w:r>
      <w:r w:rsidR="00612388" w:rsidRPr="00BA583D">
        <w:rPr>
          <w:rFonts w:cs="Times New Roman"/>
          <w:sz w:val="24"/>
          <w:szCs w:val="24"/>
        </w:rPr>
        <w:t xml:space="preserve"> emission hotspot</w:t>
      </w:r>
      <w:r w:rsidR="00256DBA">
        <w:rPr>
          <w:rFonts w:cs="Times New Roman"/>
          <w:sz w:val="24"/>
          <w:szCs w:val="24"/>
        </w:rPr>
        <w:fldChar w:fldCharType="begin"/>
      </w:r>
      <w:r w:rsidR="00256DBA">
        <w:rPr>
          <w:rFonts w:cs="Times New Roman"/>
          <w:sz w:val="24"/>
          <w:szCs w:val="24"/>
        </w:rPr>
        <w:instrText xml:space="preserve"> ADDIN NE.Ref.{77A6AD7C-6855-4090-BA4A-8008CABB3C9E}</w:instrText>
      </w:r>
      <w:r w:rsidR="00256DBA">
        <w:rPr>
          <w:rFonts w:cs="Times New Roman"/>
          <w:sz w:val="24"/>
          <w:szCs w:val="24"/>
        </w:rPr>
        <w:fldChar w:fldCharType="separate"/>
      </w:r>
      <w:r w:rsidR="00E02FEC">
        <w:rPr>
          <w:rFonts w:cs="Times New Roman"/>
          <w:color w:val="080000"/>
          <w:kern w:val="0"/>
          <w:sz w:val="24"/>
          <w:szCs w:val="24"/>
          <w:vertAlign w:val="superscript"/>
        </w:rPr>
        <w:t>13, 14</w:t>
      </w:r>
      <w:r w:rsidR="00256DBA">
        <w:rPr>
          <w:rFonts w:cs="Times New Roman"/>
          <w:sz w:val="24"/>
          <w:szCs w:val="24"/>
        </w:rPr>
        <w:fldChar w:fldCharType="end"/>
      </w:r>
      <w:r w:rsidR="00612388" w:rsidRPr="00BA583D">
        <w:rPr>
          <w:rFonts w:cs="Times New Roman"/>
          <w:sz w:val="24"/>
          <w:szCs w:val="24"/>
        </w:rPr>
        <w:t>. (3) Most of the estimation calculated by foreign emission factors, and there is no localized emission database. (4) The temporal resolution is mostly annual, quarterly and monthly, which can only reflect the rough temporal distribution characteristics of emissions and cannot be simulated carefully</w:t>
      </w:r>
      <w:r w:rsidR="00256DBA">
        <w:rPr>
          <w:rFonts w:cs="Times New Roman"/>
          <w:sz w:val="24"/>
          <w:szCs w:val="24"/>
        </w:rPr>
        <w:fldChar w:fldCharType="begin"/>
      </w:r>
      <w:r w:rsidR="00256DBA">
        <w:rPr>
          <w:rFonts w:cs="Times New Roman"/>
          <w:sz w:val="24"/>
          <w:szCs w:val="24"/>
        </w:rPr>
        <w:instrText xml:space="preserve"> ADDIN NE.Ref.{21973AF1-9B3B-4373-97C8-A92828BA6A6D}</w:instrText>
      </w:r>
      <w:r w:rsidR="00256DBA">
        <w:rPr>
          <w:rFonts w:cs="Times New Roman"/>
          <w:sz w:val="24"/>
          <w:szCs w:val="24"/>
        </w:rPr>
        <w:fldChar w:fldCharType="separate"/>
      </w:r>
      <w:r w:rsidR="00E02FEC">
        <w:rPr>
          <w:rFonts w:cs="Times New Roman"/>
          <w:color w:val="080000"/>
          <w:kern w:val="0"/>
          <w:sz w:val="24"/>
          <w:szCs w:val="24"/>
          <w:vertAlign w:val="superscript"/>
        </w:rPr>
        <w:t>13, 15, 16</w:t>
      </w:r>
      <w:r w:rsidR="00256DBA">
        <w:rPr>
          <w:rFonts w:cs="Times New Roman"/>
          <w:sz w:val="24"/>
          <w:szCs w:val="24"/>
        </w:rPr>
        <w:fldChar w:fldCharType="end"/>
      </w:r>
      <w:r w:rsidR="00612388" w:rsidRPr="00BA583D">
        <w:rPr>
          <w:rFonts w:cs="Times New Roman"/>
          <w:sz w:val="24"/>
          <w:szCs w:val="24"/>
        </w:rPr>
        <w:t>; These all limit the implementation of NH</w:t>
      </w:r>
      <w:r w:rsidR="00612388" w:rsidRPr="00BA583D">
        <w:rPr>
          <w:rFonts w:cs="Times New Roman"/>
          <w:sz w:val="24"/>
          <w:szCs w:val="24"/>
          <w:vertAlign w:val="subscript"/>
        </w:rPr>
        <w:t>3</w:t>
      </w:r>
      <w:r w:rsidR="00612388" w:rsidRPr="00BA583D">
        <w:rPr>
          <w:rFonts w:cs="Times New Roman"/>
          <w:sz w:val="24"/>
          <w:szCs w:val="24"/>
        </w:rPr>
        <w:t xml:space="preserve"> emission reduction measures. Therefore, accurate NH</w:t>
      </w:r>
      <w:r w:rsidR="00612388" w:rsidRPr="00BA583D">
        <w:rPr>
          <w:rFonts w:cs="Times New Roman"/>
          <w:sz w:val="24"/>
          <w:szCs w:val="24"/>
          <w:vertAlign w:val="subscript"/>
        </w:rPr>
        <w:t>3</w:t>
      </w:r>
      <w:r w:rsidR="00612388" w:rsidRPr="00BA583D">
        <w:rPr>
          <w:rFonts w:cs="Times New Roman"/>
          <w:sz w:val="24"/>
          <w:szCs w:val="24"/>
        </w:rPr>
        <w:t xml:space="preserve"> emissions inventory is important to identifying high-resolution spatial and temporal </w:t>
      </w:r>
      <w:r w:rsidR="00612388" w:rsidRPr="00BA583D">
        <w:rPr>
          <w:rFonts w:cs="Times New Roman"/>
          <w:sz w:val="24"/>
          <w:szCs w:val="24"/>
        </w:rPr>
        <w:lastRenderedPageBreak/>
        <w:t>characteristics and provide references for fine agricultural management in different regions, as well as for air pollution control.</w:t>
      </w:r>
      <w:r w:rsidRPr="00BA583D">
        <w:rPr>
          <w:rFonts w:cs="Times New Roman"/>
          <w:sz w:val="24"/>
          <w:szCs w:val="24"/>
        </w:rPr>
        <w:t xml:space="preserve"> The specific classification and estimation methods of each study are list in the </w:t>
      </w:r>
      <w:r w:rsidR="000A4071" w:rsidRPr="000A4071">
        <w:rPr>
          <w:rFonts w:cs="Times New Roman"/>
          <w:color w:val="4472C4" w:themeColor="accent1"/>
          <w:sz w:val="24"/>
          <w:szCs w:val="24"/>
        </w:rPr>
        <w:t>Extended Data Table S1</w:t>
      </w:r>
      <w:r w:rsidRPr="00BA583D">
        <w:rPr>
          <w:rFonts w:cs="Times New Roman"/>
          <w:sz w:val="24"/>
          <w:szCs w:val="24"/>
        </w:rPr>
        <w:t>. Improved inventory has been developed in recent years, as well as scenario analyses to explore the possible emission reduction potential</w:t>
      </w:r>
      <w:r w:rsidR="00256DBA">
        <w:rPr>
          <w:rFonts w:cs="Times New Roman"/>
          <w:sz w:val="24"/>
          <w:szCs w:val="24"/>
        </w:rPr>
        <w:fldChar w:fldCharType="begin"/>
      </w:r>
      <w:r w:rsidR="00256DBA">
        <w:rPr>
          <w:rFonts w:cs="Times New Roman"/>
          <w:sz w:val="24"/>
          <w:szCs w:val="24"/>
        </w:rPr>
        <w:instrText xml:space="preserve"> ADDIN NE.Ref.{40896F96-08CE-49CB-8054-86F415F9D9EB}</w:instrText>
      </w:r>
      <w:r w:rsidR="00256DBA">
        <w:rPr>
          <w:rFonts w:cs="Times New Roman"/>
          <w:sz w:val="24"/>
          <w:szCs w:val="24"/>
        </w:rPr>
        <w:fldChar w:fldCharType="separate"/>
      </w:r>
      <w:r w:rsidR="00E02FEC">
        <w:rPr>
          <w:rFonts w:cs="Times New Roman"/>
          <w:color w:val="080000"/>
          <w:kern w:val="0"/>
          <w:sz w:val="24"/>
          <w:szCs w:val="24"/>
          <w:vertAlign w:val="superscript"/>
        </w:rPr>
        <w:t>4, 17, 18</w:t>
      </w:r>
      <w:r w:rsidR="00256DBA">
        <w:rPr>
          <w:rFonts w:cs="Times New Roman"/>
          <w:sz w:val="24"/>
          <w:szCs w:val="24"/>
        </w:rPr>
        <w:fldChar w:fldCharType="end"/>
      </w:r>
      <w:r w:rsidRPr="00BA583D">
        <w:rPr>
          <w:rFonts w:cs="Times New Roman"/>
          <w:sz w:val="24"/>
          <w:szCs w:val="24"/>
        </w:rPr>
        <w:t>. Satellite and ground-based concentration data can well find emission hot spots and identify the monthly variation. From the perspective of the overall interannual change trend, our research is within a reasonable range</w:t>
      </w:r>
      <w:r w:rsidR="00C27926" w:rsidRPr="00BA583D">
        <w:rPr>
          <w:rFonts w:cs="Times New Roman"/>
          <w:sz w:val="24"/>
          <w:szCs w:val="24"/>
        </w:rPr>
        <w:t xml:space="preserve"> (</w:t>
      </w:r>
      <w:r w:rsidR="00C27926" w:rsidRPr="00BA583D">
        <w:rPr>
          <w:rFonts w:cs="Times New Roman"/>
          <w:color w:val="4472C4" w:themeColor="accent1"/>
          <w:sz w:val="24"/>
          <w:szCs w:val="24"/>
        </w:rPr>
        <w:t>Fig. 3</w:t>
      </w:r>
      <w:r w:rsidR="000A4071">
        <w:rPr>
          <w:rFonts w:cs="Times New Roman"/>
          <w:color w:val="4472C4" w:themeColor="accent1"/>
          <w:sz w:val="24"/>
          <w:szCs w:val="24"/>
        </w:rPr>
        <w:t>f</w:t>
      </w:r>
      <w:r w:rsidR="00C27926" w:rsidRPr="00BA583D">
        <w:rPr>
          <w:rFonts w:cs="Times New Roman"/>
          <w:sz w:val="24"/>
          <w:szCs w:val="24"/>
        </w:rPr>
        <w:t>)</w:t>
      </w:r>
      <w:r w:rsidRPr="00BA583D">
        <w:rPr>
          <w:rFonts w:cs="Times New Roman"/>
          <w:sz w:val="24"/>
          <w:szCs w:val="24"/>
        </w:rPr>
        <w:t>.</w:t>
      </w:r>
    </w:p>
    <w:p w14:paraId="101DDA07" w14:textId="77777777" w:rsidR="000E6C5C" w:rsidRDefault="000E6C5C" w:rsidP="000E6C5C">
      <w:pPr>
        <w:jc w:val="left"/>
        <w:rPr>
          <w:rFonts w:eastAsiaTheme="majorEastAsia" w:cs="Times New Roman"/>
          <w:sz w:val="24"/>
          <w:szCs w:val="24"/>
        </w:rPr>
      </w:pPr>
    </w:p>
    <w:p w14:paraId="5AD2FBCE" w14:textId="6A0655FE" w:rsidR="000E6C5C" w:rsidRDefault="000E6C5C" w:rsidP="000E6C5C">
      <w:pPr>
        <w:jc w:val="left"/>
        <w:rPr>
          <w:rFonts w:eastAsiaTheme="majorEastAsia" w:cs="Times New Roman"/>
          <w:sz w:val="24"/>
          <w:szCs w:val="24"/>
        </w:rPr>
      </w:pPr>
      <w:r>
        <w:rPr>
          <w:rFonts w:eastAsiaTheme="majorEastAsia" w:cs="Times New Roman"/>
          <w:sz w:val="24"/>
          <w:szCs w:val="24"/>
        </w:rPr>
        <w:t>We</w:t>
      </w:r>
      <w:r w:rsidRPr="001775B4">
        <w:rPr>
          <w:rFonts w:eastAsiaTheme="majorEastAsia" w:cs="Times New Roman"/>
          <w:sz w:val="24"/>
          <w:szCs w:val="24"/>
        </w:rPr>
        <w:t xml:space="preserve"> listed the references about NH</w:t>
      </w:r>
      <w:r w:rsidRPr="001775B4">
        <w:rPr>
          <w:rFonts w:eastAsiaTheme="majorEastAsia" w:cs="Times New Roman"/>
          <w:sz w:val="24"/>
          <w:szCs w:val="24"/>
          <w:vertAlign w:val="subscript"/>
        </w:rPr>
        <w:t>3</w:t>
      </w:r>
      <w:r w:rsidRPr="001775B4">
        <w:rPr>
          <w:rFonts w:eastAsiaTheme="majorEastAsia" w:cs="Times New Roman"/>
          <w:sz w:val="24"/>
          <w:szCs w:val="24"/>
        </w:rPr>
        <w:t xml:space="preserve"> emission </w:t>
      </w:r>
      <w:r w:rsidRPr="00A75301">
        <w:rPr>
          <w:sz w:val="24"/>
          <w:szCs w:val="24"/>
        </w:rPr>
        <w:t xml:space="preserve">in the </w:t>
      </w:r>
      <w:r w:rsidRPr="000E6C5C">
        <w:rPr>
          <w:color w:val="4472C4" w:themeColor="accent1"/>
          <w:sz w:val="24"/>
          <w:szCs w:val="24"/>
        </w:rPr>
        <w:t>Extended Data Table S1</w:t>
      </w:r>
      <w:r>
        <w:rPr>
          <w:sz w:val="24"/>
          <w:szCs w:val="24"/>
        </w:rPr>
        <w:t>.</w:t>
      </w:r>
    </w:p>
    <w:p w14:paraId="6B12FDC7" w14:textId="74B399C1" w:rsidR="000E6C5C" w:rsidRPr="00906DF1" w:rsidRDefault="000E6C5C" w:rsidP="000E6C5C">
      <w:pPr>
        <w:jc w:val="left"/>
        <w:rPr>
          <w:rFonts w:eastAsia="宋体" w:cs="Times New Roman"/>
          <w:sz w:val="24"/>
          <w:szCs w:val="24"/>
        </w:rPr>
      </w:pPr>
      <w:r w:rsidRPr="00906DF1">
        <w:rPr>
          <w:rFonts w:eastAsia="宋体" w:cs="Times New Roman"/>
          <w:sz w:val="24"/>
          <w:szCs w:val="24"/>
        </w:rPr>
        <w:t>EDGARv5.0</w:t>
      </w:r>
      <w:r w:rsidR="00073187">
        <w:rPr>
          <w:rFonts w:eastAsia="宋体" w:cs="Times New Roman"/>
          <w:sz w:val="24"/>
          <w:szCs w:val="24"/>
        </w:rPr>
        <w:fldChar w:fldCharType="begin"/>
      </w:r>
      <w:r w:rsidR="00073187">
        <w:rPr>
          <w:rFonts w:eastAsia="宋体" w:cs="Times New Roman"/>
          <w:sz w:val="24"/>
          <w:szCs w:val="24"/>
        </w:rPr>
        <w:instrText xml:space="preserve"> ADDIN NE.Ref.{084D0B2B-6A5B-402C-9801-EB3EBCC002D0}</w:instrText>
      </w:r>
      <w:r w:rsidR="00073187">
        <w:rPr>
          <w:rFonts w:eastAsia="宋体" w:cs="Times New Roman"/>
          <w:sz w:val="24"/>
          <w:szCs w:val="24"/>
        </w:rPr>
        <w:fldChar w:fldCharType="separate"/>
      </w:r>
      <w:r w:rsidR="00E02FEC">
        <w:rPr>
          <w:rFonts w:cs="Times New Roman"/>
          <w:color w:val="080000"/>
          <w:kern w:val="0"/>
          <w:sz w:val="24"/>
          <w:szCs w:val="24"/>
          <w:vertAlign w:val="superscript"/>
        </w:rPr>
        <w:t>19</w:t>
      </w:r>
      <w:r w:rsidR="00073187">
        <w:rPr>
          <w:rFonts w:eastAsia="宋体" w:cs="Times New Roman"/>
          <w:sz w:val="24"/>
          <w:szCs w:val="24"/>
        </w:rPr>
        <w:fldChar w:fldCharType="end"/>
      </w:r>
    </w:p>
    <w:p w14:paraId="529EAED5" w14:textId="0B6626D4" w:rsidR="000E6C5C" w:rsidRPr="00906DF1" w:rsidRDefault="000E6C5C" w:rsidP="000E6C5C">
      <w:pPr>
        <w:jc w:val="left"/>
        <w:rPr>
          <w:rFonts w:eastAsia="宋体" w:cs="Times New Roman"/>
          <w:sz w:val="24"/>
          <w:szCs w:val="24"/>
        </w:rPr>
      </w:pPr>
      <w:r w:rsidRPr="00906DF1">
        <w:rPr>
          <w:rFonts w:eastAsia="宋体" w:cs="Times New Roman"/>
          <w:sz w:val="24"/>
          <w:szCs w:val="24"/>
        </w:rPr>
        <w:t>Huang et al. (2012)</w:t>
      </w:r>
      <w:r>
        <w:rPr>
          <w:rFonts w:eastAsia="宋体" w:cs="Times New Roman"/>
          <w:sz w:val="24"/>
          <w:szCs w:val="24"/>
        </w:rPr>
        <w:fldChar w:fldCharType="begin"/>
      </w:r>
      <w:r>
        <w:rPr>
          <w:rFonts w:eastAsia="宋体" w:cs="Times New Roman"/>
          <w:sz w:val="24"/>
          <w:szCs w:val="24"/>
        </w:rPr>
        <w:instrText xml:space="preserve"> ADDIN NE.Ref.{6E8C9D73-DAC4-4685-9A46-30A5E2820FFF}</w:instrText>
      </w:r>
      <w:r>
        <w:rPr>
          <w:rFonts w:eastAsia="宋体" w:cs="Times New Roman"/>
          <w:sz w:val="24"/>
          <w:szCs w:val="24"/>
        </w:rPr>
        <w:fldChar w:fldCharType="separate"/>
      </w:r>
      <w:r w:rsidR="00E02FEC">
        <w:rPr>
          <w:rFonts w:cs="Times New Roman"/>
          <w:color w:val="080000"/>
          <w:kern w:val="0"/>
          <w:sz w:val="24"/>
          <w:szCs w:val="24"/>
          <w:vertAlign w:val="superscript"/>
        </w:rPr>
        <w:t>13</w:t>
      </w:r>
      <w:r>
        <w:rPr>
          <w:rFonts w:eastAsia="宋体" w:cs="Times New Roman"/>
          <w:sz w:val="24"/>
          <w:szCs w:val="24"/>
        </w:rPr>
        <w:fldChar w:fldCharType="end"/>
      </w:r>
    </w:p>
    <w:p w14:paraId="2CA5FED1" w14:textId="41783453" w:rsidR="000E6C5C" w:rsidRPr="00906DF1" w:rsidRDefault="000E6C5C" w:rsidP="000E6C5C">
      <w:pPr>
        <w:jc w:val="left"/>
        <w:rPr>
          <w:rFonts w:eastAsia="宋体" w:cs="Times New Roman"/>
          <w:sz w:val="24"/>
          <w:szCs w:val="24"/>
        </w:rPr>
      </w:pPr>
      <w:r w:rsidRPr="00906DF1">
        <w:rPr>
          <w:rFonts w:eastAsia="宋体" w:cs="Times New Roman"/>
          <w:sz w:val="24"/>
          <w:szCs w:val="24"/>
        </w:rPr>
        <w:t>Paulot et al. (2014)</w:t>
      </w:r>
      <w:r w:rsidR="00073187">
        <w:rPr>
          <w:rFonts w:eastAsia="宋体" w:cs="Times New Roman"/>
          <w:sz w:val="24"/>
          <w:szCs w:val="24"/>
        </w:rPr>
        <w:fldChar w:fldCharType="begin"/>
      </w:r>
      <w:r w:rsidR="00073187">
        <w:rPr>
          <w:rFonts w:eastAsia="宋体" w:cs="Times New Roman"/>
          <w:sz w:val="24"/>
          <w:szCs w:val="24"/>
        </w:rPr>
        <w:instrText xml:space="preserve"> ADDIN NE.Ref.{CDD0D6F8-8BCE-4276-8957-49A4682C6DF1}</w:instrText>
      </w:r>
      <w:r w:rsidR="00073187">
        <w:rPr>
          <w:rFonts w:eastAsia="宋体" w:cs="Times New Roman"/>
          <w:sz w:val="24"/>
          <w:szCs w:val="24"/>
        </w:rPr>
        <w:fldChar w:fldCharType="separate"/>
      </w:r>
      <w:r w:rsidR="00E02FEC">
        <w:rPr>
          <w:rFonts w:cs="Times New Roman"/>
          <w:color w:val="080000"/>
          <w:kern w:val="0"/>
          <w:sz w:val="24"/>
          <w:szCs w:val="24"/>
          <w:vertAlign w:val="superscript"/>
        </w:rPr>
        <w:t>20</w:t>
      </w:r>
      <w:r w:rsidR="00073187">
        <w:rPr>
          <w:rFonts w:eastAsia="宋体" w:cs="Times New Roman"/>
          <w:sz w:val="24"/>
          <w:szCs w:val="24"/>
        </w:rPr>
        <w:fldChar w:fldCharType="end"/>
      </w:r>
    </w:p>
    <w:p w14:paraId="772D5ECE" w14:textId="483A5A96" w:rsidR="000E6C5C" w:rsidRPr="00906DF1" w:rsidRDefault="000E6C5C" w:rsidP="000E6C5C">
      <w:pPr>
        <w:jc w:val="left"/>
        <w:rPr>
          <w:rFonts w:eastAsia="宋体" w:cs="Times New Roman"/>
          <w:sz w:val="24"/>
          <w:szCs w:val="24"/>
        </w:rPr>
      </w:pPr>
      <w:r w:rsidRPr="00906DF1">
        <w:rPr>
          <w:rFonts w:eastAsia="宋体" w:cs="Times New Roman"/>
          <w:sz w:val="24"/>
          <w:szCs w:val="24"/>
        </w:rPr>
        <w:t>Kang et al. (2016)</w:t>
      </w:r>
      <w:r>
        <w:rPr>
          <w:rFonts w:eastAsia="宋体" w:cs="Times New Roman"/>
          <w:sz w:val="24"/>
          <w:szCs w:val="24"/>
        </w:rPr>
        <w:fldChar w:fldCharType="begin"/>
      </w:r>
      <w:r>
        <w:rPr>
          <w:rFonts w:eastAsia="宋体" w:cs="Times New Roman"/>
          <w:sz w:val="24"/>
          <w:szCs w:val="24"/>
        </w:rPr>
        <w:instrText xml:space="preserve"> ADDIN NE.Ref.{518D8E13-F8AA-46D1-B452-8087E7DB37DE}</w:instrText>
      </w:r>
      <w:r>
        <w:rPr>
          <w:rFonts w:eastAsia="宋体" w:cs="Times New Roman"/>
          <w:sz w:val="24"/>
          <w:szCs w:val="24"/>
        </w:rPr>
        <w:fldChar w:fldCharType="separate"/>
      </w:r>
      <w:r w:rsidR="00E02FEC">
        <w:rPr>
          <w:rFonts w:cs="Times New Roman"/>
          <w:color w:val="080000"/>
          <w:kern w:val="0"/>
          <w:sz w:val="24"/>
          <w:szCs w:val="24"/>
          <w:vertAlign w:val="superscript"/>
        </w:rPr>
        <w:t>16</w:t>
      </w:r>
      <w:r>
        <w:rPr>
          <w:rFonts w:eastAsia="宋体" w:cs="Times New Roman"/>
          <w:sz w:val="24"/>
          <w:szCs w:val="24"/>
        </w:rPr>
        <w:fldChar w:fldCharType="end"/>
      </w:r>
    </w:p>
    <w:p w14:paraId="229AFE99" w14:textId="339BF808" w:rsidR="000E6C5C" w:rsidRPr="00906DF1" w:rsidRDefault="000E6C5C" w:rsidP="000E6C5C">
      <w:pPr>
        <w:jc w:val="left"/>
        <w:rPr>
          <w:rFonts w:eastAsia="宋体" w:cs="Times New Roman"/>
          <w:sz w:val="24"/>
          <w:szCs w:val="24"/>
        </w:rPr>
      </w:pPr>
      <w:r w:rsidRPr="00906DF1">
        <w:rPr>
          <w:rFonts w:eastAsia="宋体" w:cs="Times New Roman"/>
          <w:sz w:val="24"/>
          <w:szCs w:val="24"/>
        </w:rPr>
        <w:t>Zhang et al. (2018)</w:t>
      </w:r>
      <w:r>
        <w:rPr>
          <w:rFonts w:eastAsia="宋体" w:cs="Times New Roman"/>
          <w:sz w:val="24"/>
          <w:szCs w:val="24"/>
        </w:rPr>
        <w:fldChar w:fldCharType="begin"/>
      </w:r>
      <w:r>
        <w:rPr>
          <w:rFonts w:eastAsia="宋体" w:cs="Times New Roman"/>
          <w:sz w:val="24"/>
          <w:szCs w:val="24"/>
        </w:rPr>
        <w:instrText xml:space="preserve"> ADDIN NE.Ref.{2C0BC511-A464-4219-93CC-ED890DD09D5C}</w:instrText>
      </w:r>
      <w:r>
        <w:rPr>
          <w:rFonts w:eastAsia="宋体" w:cs="Times New Roman"/>
          <w:sz w:val="24"/>
          <w:szCs w:val="24"/>
        </w:rPr>
        <w:fldChar w:fldCharType="separate"/>
      </w:r>
      <w:r w:rsidR="00E02FEC">
        <w:rPr>
          <w:rFonts w:cs="Times New Roman"/>
          <w:color w:val="080000"/>
          <w:kern w:val="0"/>
          <w:sz w:val="24"/>
          <w:szCs w:val="24"/>
          <w:vertAlign w:val="superscript"/>
        </w:rPr>
        <w:t>21</w:t>
      </w:r>
      <w:r>
        <w:rPr>
          <w:rFonts w:eastAsia="宋体" w:cs="Times New Roman"/>
          <w:sz w:val="24"/>
          <w:szCs w:val="24"/>
        </w:rPr>
        <w:fldChar w:fldCharType="end"/>
      </w:r>
    </w:p>
    <w:p w14:paraId="2F25ED81" w14:textId="1E576AC6" w:rsidR="000E6C5C" w:rsidRPr="00906DF1" w:rsidRDefault="000E6C5C" w:rsidP="000E6C5C">
      <w:pPr>
        <w:jc w:val="left"/>
        <w:rPr>
          <w:rFonts w:eastAsia="宋体" w:cs="Times New Roman"/>
          <w:sz w:val="24"/>
          <w:szCs w:val="24"/>
        </w:rPr>
      </w:pPr>
      <w:r w:rsidRPr="00906DF1">
        <w:rPr>
          <w:rFonts w:eastAsia="宋体" w:cs="Times New Roman"/>
          <w:sz w:val="24"/>
          <w:szCs w:val="24"/>
        </w:rPr>
        <w:t>Kong et al. (2019)</w:t>
      </w:r>
      <w:r>
        <w:rPr>
          <w:rFonts w:eastAsia="宋体" w:cs="Times New Roman"/>
          <w:sz w:val="24"/>
          <w:szCs w:val="24"/>
        </w:rPr>
        <w:fldChar w:fldCharType="begin"/>
      </w:r>
      <w:r>
        <w:rPr>
          <w:rFonts w:eastAsia="宋体" w:cs="Times New Roman"/>
          <w:sz w:val="24"/>
          <w:szCs w:val="24"/>
        </w:rPr>
        <w:instrText xml:space="preserve"> ADDIN NE.Ref.{57E295A1-FB81-4C78-9A24-248EBF2308A5}</w:instrText>
      </w:r>
      <w:r>
        <w:rPr>
          <w:rFonts w:eastAsia="宋体" w:cs="Times New Roman"/>
          <w:sz w:val="24"/>
          <w:szCs w:val="24"/>
        </w:rPr>
        <w:fldChar w:fldCharType="separate"/>
      </w:r>
      <w:r w:rsidR="00E02FEC">
        <w:rPr>
          <w:rFonts w:cs="Times New Roman"/>
          <w:color w:val="080000"/>
          <w:kern w:val="0"/>
          <w:sz w:val="24"/>
          <w:szCs w:val="24"/>
          <w:vertAlign w:val="superscript"/>
        </w:rPr>
        <w:t>18</w:t>
      </w:r>
      <w:r>
        <w:rPr>
          <w:rFonts w:eastAsia="宋体" w:cs="Times New Roman"/>
          <w:sz w:val="24"/>
          <w:szCs w:val="24"/>
        </w:rPr>
        <w:fldChar w:fldCharType="end"/>
      </w:r>
    </w:p>
    <w:p w14:paraId="5D1530FF" w14:textId="0D4686D6" w:rsidR="000E6C5C" w:rsidRPr="00906DF1" w:rsidRDefault="000E6C5C" w:rsidP="000E6C5C">
      <w:pPr>
        <w:jc w:val="left"/>
        <w:rPr>
          <w:rFonts w:eastAsia="宋体" w:cs="Times New Roman"/>
          <w:sz w:val="24"/>
          <w:szCs w:val="24"/>
        </w:rPr>
      </w:pPr>
      <w:r w:rsidRPr="00906DF1">
        <w:rPr>
          <w:rFonts w:eastAsia="宋体" w:cs="Times New Roman"/>
          <w:sz w:val="24"/>
          <w:szCs w:val="24"/>
        </w:rPr>
        <w:t>Fu et al. (2020)</w:t>
      </w:r>
      <w:r>
        <w:rPr>
          <w:rFonts w:eastAsia="宋体" w:cs="Times New Roman"/>
          <w:sz w:val="24"/>
          <w:szCs w:val="24"/>
        </w:rPr>
        <w:fldChar w:fldCharType="begin"/>
      </w:r>
      <w:r>
        <w:rPr>
          <w:rFonts w:eastAsia="宋体" w:cs="Times New Roman"/>
          <w:sz w:val="24"/>
          <w:szCs w:val="24"/>
        </w:rPr>
        <w:instrText xml:space="preserve"> ADDIN NE.Ref.{C31AD7F8-EBA5-4207-AF96-716F44E39A15}</w:instrText>
      </w:r>
      <w:r>
        <w:rPr>
          <w:rFonts w:eastAsia="宋体" w:cs="Times New Roman"/>
          <w:sz w:val="24"/>
          <w:szCs w:val="24"/>
        </w:rPr>
        <w:fldChar w:fldCharType="separate"/>
      </w:r>
      <w:r w:rsidR="00E02FEC">
        <w:rPr>
          <w:rFonts w:cs="Times New Roman"/>
          <w:color w:val="080000"/>
          <w:kern w:val="0"/>
          <w:sz w:val="24"/>
          <w:szCs w:val="24"/>
          <w:vertAlign w:val="superscript"/>
        </w:rPr>
        <w:t>22</w:t>
      </w:r>
      <w:r>
        <w:rPr>
          <w:rFonts w:eastAsia="宋体" w:cs="Times New Roman"/>
          <w:sz w:val="24"/>
          <w:szCs w:val="24"/>
        </w:rPr>
        <w:fldChar w:fldCharType="end"/>
      </w:r>
    </w:p>
    <w:p w14:paraId="11059D40" w14:textId="776A793E" w:rsidR="000E6C5C" w:rsidRPr="00906DF1" w:rsidRDefault="000E6C5C" w:rsidP="000E6C5C">
      <w:pPr>
        <w:jc w:val="left"/>
        <w:rPr>
          <w:rFonts w:eastAsia="宋体" w:cs="Times New Roman"/>
          <w:sz w:val="24"/>
          <w:szCs w:val="24"/>
        </w:rPr>
      </w:pPr>
      <w:r w:rsidRPr="00906DF1">
        <w:rPr>
          <w:rFonts w:eastAsia="宋体" w:cs="Times New Roman"/>
          <w:sz w:val="24"/>
          <w:szCs w:val="24"/>
        </w:rPr>
        <w:t>Kurokawa et al. (2020)</w:t>
      </w:r>
      <w:r w:rsidR="00073187">
        <w:rPr>
          <w:rFonts w:eastAsia="宋体" w:cs="Times New Roman"/>
          <w:sz w:val="24"/>
          <w:szCs w:val="24"/>
        </w:rPr>
        <w:fldChar w:fldCharType="begin"/>
      </w:r>
      <w:r w:rsidR="00073187">
        <w:rPr>
          <w:rFonts w:eastAsia="宋体" w:cs="Times New Roman"/>
          <w:sz w:val="24"/>
          <w:szCs w:val="24"/>
        </w:rPr>
        <w:instrText xml:space="preserve"> ADDIN NE.Ref.{945015BB-9CF0-47E3-BFC8-5ACB58BC78E1}</w:instrText>
      </w:r>
      <w:r w:rsidR="00073187">
        <w:rPr>
          <w:rFonts w:eastAsia="宋体" w:cs="Times New Roman"/>
          <w:sz w:val="24"/>
          <w:szCs w:val="24"/>
        </w:rPr>
        <w:fldChar w:fldCharType="separate"/>
      </w:r>
      <w:r w:rsidR="00E02FEC">
        <w:rPr>
          <w:rFonts w:cs="Times New Roman"/>
          <w:color w:val="080000"/>
          <w:kern w:val="0"/>
          <w:sz w:val="24"/>
          <w:szCs w:val="24"/>
          <w:vertAlign w:val="superscript"/>
        </w:rPr>
        <w:t>23</w:t>
      </w:r>
      <w:r w:rsidR="00073187">
        <w:rPr>
          <w:rFonts w:eastAsia="宋体" w:cs="Times New Roman"/>
          <w:sz w:val="24"/>
          <w:szCs w:val="24"/>
        </w:rPr>
        <w:fldChar w:fldCharType="end"/>
      </w:r>
    </w:p>
    <w:p w14:paraId="1F6E6855" w14:textId="03B4626B" w:rsidR="000E6C5C" w:rsidRPr="00906DF1" w:rsidRDefault="000E6C5C" w:rsidP="000E6C5C">
      <w:pPr>
        <w:jc w:val="left"/>
        <w:rPr>
          <w:rFonts w:eastAsia="宋体" w:cs="Times New Roman"/>
          <w:sz w:val="24"/>
          <w:szCs w:val="24"/>
        </w:rPr>
      </w:pPr>
      <w:r w:rsidRPr="00906DF1">
        <w:rPr>
          <w:rFonts w:eastAsia="宋体" w:cs="Times New Roman"/>
          <w:sz w:val="24"/>
          <w:szCs w:val="24"/>
        </w:rPr>
        <w:t>Ma et al. (2020)</w:t>
      </w:r>
      <w:r>
        <w:rPr>
          <w:rFonts w:eastAsia="宋体" w:cs="Times New Roman"/>
          <w:sz w:val="24"/>
          <w:szCs w:val="24"/>
        </w:rPr>
        <w:fldChar w:fldCharType="begin"/>
      </w:r>
      <w:r>
        <w:rPr>
          <w:rFonts w:eastAsia="宋体" w:cs="Times New Roman"/>
          <w:sz w:val="24"/>
          <w:szCs w:val="24"/>
        </w:rPr>
        <w:instrText xml:space="preserve"> ADDIN NE.Ref.{034A5B45-52EC-4A57-AF74-C00232698F08}</w:instrText>
      </w:r>
      <w:r>
        <w:rPr>
          <w:rFonts w:eastAsia="宋体" w:cs="Times New Roman"/>
          <w:sz w:val="24"/>
          <w:szCs w:val="24"/>
        </w:rPr>
        <w:fldChar w:fldCharType="separate"/>
      </w:r>
      <w:r w:rsidR="00E02FEC">
        <w:rPr>
          <w:rFonts w:cs="Times New Roman"/>
          <w:color w:val="080000"/>
          <w:kern w:val="0"/>
          <w:sz w:val="24"/>
          <w:szCs w:val="24"/>
          <w:vertAlign w:val="superscript"/>
        </w:rPr>
        <w:t>24</w:t>
      </w:r>
      <w:r>
        <w:rPr>
          <w:rFonts w:eastAsia="宋体" w:cs="Times New Roman"/>
          <w:sz w:val="24"/>
          <w:szCs w:val="24"/>
        </w:rPr>
        <w:fldChar w:fldCharType="end"/>
      </w:r>
    </w:p>
    <w:p w14:paraId="69A554AD" w14:textId="197C2DB2" w:rsidR="000E6C5C" w:rsidRPr="00906DF1" w:rsidRDefault="000E6C5C" w:rsidP="000E6C5C">
      <w:pPr>
        <w:jc w:val="left"/>
        <w:rPr>
          <w:rFonts w:eastAsia="宋体" w:cs="Times New Roman"/>
          <w:sz w:val="24"/>
          <w:szCs w:val="24"/>
        </w:rPr>
      </w:pPr>
      <w:r w:rsidRPr="00906DF1">
        <w:rPr>
          <w:rFonts w:eastAsia="宋体" w:cs="Times New Roman"/>
          <w:sz w:val="24"/>
          <w:szCs w:val="24"/>
        </w:rPr>
        <w:t>Li et al. (2021)</w:t>
      </w:r>
      <w:r>
        <w:rPr>
          <w:rFonts w:eastAsia="宋体" w:cs="Times New Roman"/>
          <w:sz w:val="24"/>
          <w:szCs w:val="24"/>
        </w:rPr>
        <w:fldChar w:fldCharType="begin"/>
      </w:r>
      <w:r>
        <w:rPr>
          <w:rFonts w:eastAsia="宋体" w:cs="Times New Roman"/>
          <w:sz w:val="24"/>
          <w:szCs w:val="24"/>
        </w:rPr>
        <w:instrText xml:space="preserve"> ADDIN NE.Ref.{94E5AC64-F48B-4529-A38E-EA243BDE4A5E}</w:instrText>
      </w:r>
      <w:r>
        <w:rPr>
          <w:rFonts w:eastAsia="宋体" w:cs="Times New Roman"/>
          <w:sz w:val="24"/>
          <w:szCs w:val="24"/>
        </w:rPr>
        <w:fldChar w:fldCharType="separate"/>
      </w:r>
      <w:r w:rsidR="00E02FEC">
        <w:rPr>
          <w:rFonts w:cs="Times New Roman"/>
          <w:color w:val="080000"/>
          <w:kern w:val="0"/>
          <w:sz w:val="24"/>
          <w:szCs w:val="24"/>
          <w:vertAlign w:val="superscript"/>
        </w:rPr>
        <w:t>17</w:t>
      </w:r>
      <w:r>
        <w:rPr>
          <w:rFonts w:eastAsia="宋体" w:cs="Times New Roman"/>
          <w:sz w:val="24"/>
          <w:szCs w:val="24"/>
        </w:rPr>
        <w:fldChar w:fldCharType="end"/>
      </w:r>
    </w:p>
    <w:p w14:paraId="06AE5BD9" w14:textId="0AED3E9D" w:rsidR="000E6C5C" w:rsidRDefault="000E6C5C" w:rsidP="000E6C5C">
      <w:pPr>
        <w:jc w:val="left"/>
        <w:rPr>
          <w:rFonts w:eastAsia="宋体" w:cs="Times New Roman"/>
          <w:sz w:val="24"/>
          <w:szCs w:val="24"/>
        </w:rPr>
      </w:pPr>
      <w:r w:rsidRPr="00906DF1">
        <w:rPr>
          <w:rFonts w:eastAsia="宋体" w:cs="Times New Roman"/>
          <w:sz w:val="24"/>
          <w:szCs w:val="24"/>
        </w:rPr>
        <w:t>Xu et al. (2015)</w:t>
      </w:r>
      <w:r w:rsidR="000D11A5">
        <w:rPr>
          <w:rFonts w:eastAsia="宋体" w:cs="Times New Roman"/>
          <w:sz w:val="24"/>
          <w:szCs w:val="24"/>
        </w:rPr>
        <w:fldChar w:fldCharType="begin"/>
      </w:r>
      <w:r w:rsidR="000D11A5">
        <w:rPr>
          <w:rFonts w:eastAsia="宋体" w:cs="Times New Roman"/>
          <w:sz w:val="24"/>
          <w:szCs w:val="24"/>
        </w:rPr>
        <w:instrText xml:space="preserve"> ADDIN NE.Ref.{27AA59A0-52BC-4751-A65F-E1C157602AA4}</w:instrText>
      </w:r>
      <w:r w:rsidR="000D11A5">
        <w:rPr>
          <w:rFonts w:eastAsia="宋体" w:cs="Times New Roman"/>
          <w:sz w:val="24"/>
          <w:szCs w:val="24"/>
        </w:rPr>
        <w:fldChar w:fldCharType="separate"/>
      </w:r>
      <w:r w:rsidR="00E02FEC">
        <w:rPr>
          <w:rFonts w:cs="Times New Roman"/>
          <w:color w:val="080000"/>
          <w:kern w:val="0"/>
          <w:sz w:val="24"/>
          <w:szCs w:val="24"/>
          <w:vertAlign w:val="superscript"/>
        </w:rPr>
        <w:t>15</w:t>
      </w:r>
      <w:r w:rsidR="000D11A5">
        <w:rPr>
          <w:rFonts w:eastAsia="宋体" w:cs="Times New Roman"/>
          <w:sz w:val="24"/>
          <w:szCs w:val="24"/>
        </w:rPr>
        <w:fldChar w:fldCharType="end"/>
      </w:r>
    </w:p>
    <w:p w14:paraId="49BB5414" w14:textId="77777777" w:rsidR="00E15C80" w:rsidRPr="00BA583D" w:rsidRDefault="00E15C80" w:rsidP="00A57E74">
      <w:pPr>
        <w:adjustRightInd w:val="0"/>
        <w:snapToGrid w:val="0"/>
        <w:jc w:val="left"/>
        <w:rPr>
          <w:rFonts w:eastAsiaTheme="majorEastAsia" w:cs="Times New Roman"/>
          <w:b/>
          <w:bCs/>
          <w:sz w:val="24"/>
          <w:szCs w:val="24"/>
        </w:rPr>
      </w:pPr>
    </w:p>
    <w:p w14:paraId="7F817511" w14:textId="7116FA9B" w:rsidR="0097428D" w:rsidRPr="00BA583D" w:rsidRDefault="0097428D" w:rsidP="001E1804">
      <w:pPr>
        <w:pStyle w:val="3"/>
        <w:rPr>
          <w:rFonts w:cs="Times New Roman"/>
          <w:szCs w:val="24"/>
        </w:rPr>
      </w:pPr>
      <w:r w:rsidRPr="00BA583D">
        <w:rPr>
          <w:rFonts w:cs="Times New Roman"/>
          <w:szCs w:val="24"/>
        </w:rPr>
        <w:t>Limitations and uncertainty</w:t>
      </w:r>
    </w:p>
    <w:p w14:paraId="247509DC" w14:textId="7DF8C423" w:rsidR="0097428D" w:rsidRPr="00BA583D" w:rsidRDefault="0097428D" w:rsidP="00E611F0">
      <w:pPr>
        <w:jc w:val="left"/>
        <w:rPr>
          <w:rFonts w:eastAsiaTheme="majorEastAsia" w:cs="Times New Roman"/>
          <w:sz w:val="24"/>
          <w:szCs w:val="24"/>
        </w:rPr>
      </w:pPr>
      <w:r w:rsidRPr="00BA583D">
        <w:rPr>
          <w:rFonts w:eastAsiaTheme="majorEastAsia" w:cs="Times New Roman"/>
          <w:sz w:val="24"/>
          <w:szCs w:val="24"/>
        </w:rPr>
        <w:t>China feeds 30% of the world's population on 11% of the world's arable land, and agriculture is fundamental to our development, inevitably resulting in a large magnitude of NH</w:t>
      </w:r>
      <w:r w:rsidRPr="00BA583D">
        <w:rPr>
          <w:rFonts w:eastAsiaTheme="majorEastAsia" w:cs="Times New Roman"/>
          <w:sz w:val="24"/>
          <w:szCs w:val="24"/>
          <w:vertAlign w:val="subscript"/>
        </w:rPr>
        <w:t>3</w:t>
      </w:r>
      <w:r w:rsidRPr="00BA583D">
        <w:rPr>
          <w:rFonts w:eastAsiaTheme="majorEastAsia" w:cs="Times New Roman"/>
          <w:sz w:val="24"/>
          <w:szCs w:val="24"/>
        </w:rPr>
        <w:t xml:space="preserve"> emissions, so abatement control is also encountering difficulties. Although China is booming in science and technology, the level of agricultural technology has not kept pace with development. The main reason is that there </w:t>
      </w:r>
      <w:r w:rsidR="000A4071" w:rsidRPr="00BA583D">
        <w:rPr>
          <w:rFonts w:eastAsiaTheme="majorEastAsia" w:cs="Times New Roman"/>
          <w:sz w:val="24"/>
          <w:szCs w:val="24"/>
        </w:rPr>
        <w:t>are</w:t>
      </w:r>
      <w:r w:rsidRPr="00BA583D">
        <w:rPr>
          <w:rFonts w:eastAsiaTheme="majorEastAsia" w:cs="Times New Roman"/>
          <w:sz w:val="24"/>
          <w:szCs w:val="24"/>
        </w:rPr>
        <w:t xml:space="preserve"> too many small-scale farm</w:t>
      </w:r>
      <w:r w:rsidR="0047617D" w:rsidRPr="00BA583D">
        <w:rPr>
          <w:rFonts w:eastAsiaTheme="majorEastAsia" w:cs="Times New Roman"/>
          <w:sz w:val="24"/>
          <w:szCs w:val="24"/>
        </w:rPr>
        <w:t>s</w:t>
      </w:r>
      <w:r w:rsidRPr="00BA583D">
        <w:rPr>
          <w:rFonts w:eastAsiaTheme="majorEastAsia" w:cs="Times New Roman"/>
          <w:sz w:val="24"/>
          <w:szCs w:val="24"/>
        </w:rPr>
        <w:t xml:space="preserve"> in China, which are managed by some elderly people, who cannot apply the more advanced management practices proposed in this study above, so promote the reform of China’s land tenure system to facilitate large-scale farming is also a great challenge</w:t>
      </w:r>
      <w:r w:rsidR="00256DBA">
        <w:rPr>
          <w:rFonts w:eastAsiaTheme="majorEastAsia" w:cs="Times New Roman"/>
          <w:sz w:val="24"/>
          <w:szCs w:val="24"/>
        </w:rPr>
        <w:fldChar w:fldCharType="begin"/>
      </w:r>
      <w:r w:rsidR="00256DBA">
        <w:rPr>
          <w:rFonts w:eastAsiaTheme="majorEastAsia" w:cs="Times New Roman"/>
          <w:sz w:val="24"/>
          <w:szCs w:val="24"/>
        </w:rPr>
        <w:instrText xml:space="preserve"> ADDIN NE.Ref.{98BCC528-B2A4-47ED-8701-317B03BB295E}</w:instrText>
      </w:r>
      <w:r w:rsidR="00256DBA">
        <w:rPr>
          <w:rFonts w:eastAsiaTheme="majorEastAsia" w:cs="Times New Roman"/>
          <w:sz w:val="24"/>
          <w:szCs w:val="24"/>
        </w:rPr>
        <w:fldChar w:fldCharType="separate"/>
      </w:r>
      <w:r w:rsidR="00E02FEC">
        <w:rPr>
          <w:rFonts w:cs="Times New Roman"/>
          <w:color w:val="080000"/>
          <w:kern w:val="0"/>
          <w:sz w:val="24"/>
          <w:szCs w:val="24"/>
          <w:vertAlign w:val="superscript"/>
        </w:rPr>
        <w:t>12, 25, 26</w:t>
      </w:r>
      <w:r w:rsidR="00256DBA">
        <w:rPr>
          <w:rFonts w:eastAsiaTheme="majorEastAsia" w:cs="Times New Roman"/>
          <w:sz w:val="24"/>
          <w:szCs w:val="24"/>
        </w:rPr>
        <w:fldChar w:fldCharType="end"/>
      </w:r>
      <w:r w:rsidRPr="00BA583D">
        <w:rPr>
          <w:rFonts w:eastAsiaTheme="majorEastAsia" w:cs="Times New Roman"/>
          <w:sz w:val="24"/>
          <w:szCs w:val="24"/>
        </w:rPr>
        <w:t xml:space="preserve">. In addition, the large number of small-scale livestock farms makes it difficult for the state to manage them, and strict policies and rational planning at the national level in terms of the layout of cropland and livestock </w:t>
      </w:r>
      <w:r w:rsidR="007941F1" w:rsidRPr="00BA583D">
        <w:rPr>
          <w:rFonts w:eastAsiaTheme="majorEastAsia" w:cs="Times New Roman"/>
          <w:sz w:val="24"/>
          <w:szCs w:val="24"/>
        </w:rPr>
        <w:t>are</w:t>
      </w:r>
      <w:r w:rsidRPr="00BA583D">
        <w:rPr>
          <w:rFonts w:eastAsiaTheme="majorEastAsia" w:cs="Times New Roman"/>
          <w:sz w:val="24"/>
          <w:szCs w:val="24"/>
        </w:rPr>
        <w:t xml:space="preserve"> needed</w:t>
      </w:r>
      <w:r w:rsidR="00256DBA">
        <w:rPr>
          <w:rFonts w:eastAsiaTheme="majorEastAsia" w:cs="Times New Roman"/>
          <w:sz w:val="24"/>
          <w:szCs w:val="24"/>
        </w:rPr>
        <w:fldChar w:fldCharType="begin"/>
      </w:r>
      <w:r w:rsidR="00256DBA">
        <w:rPr>
          <w:rFonts w:eastAsiaTheme="majorEastAsia" w:cs="Times New Roman"/>
          <w:sz w:val="24"/>
          <w:szCs w:val="24"/>
        </w:rPr>
        <w:instrText xml:space="preserve"> ADDIN NE.Ref.{B1660FAD-3051-4BCC-9BD5-C172163BC5FF}</w:instrText>
      </w:r>
      <w:r w:rsidR="00256DBA">
        <w:rPr>
          <w:rFonts w:eastAsiaTheme="majorEastAsia" w:cs="Times New Roman"/>
          <w:sz w:val="24"/>
          <w:szCs w:val="24"/>
        </w:rPr>
        <w:fldChar w:fldCharType="separate"/>
      </w:r>
      <w:r w:rsidR="00E02FEC">
        <w:rPr>
          <w:rFonts w:cs="Times New Roman"/>
          <w:color w:val="080000"/>
          <w:kern w:val="0"/>
          <w:sz w:val="24"/>
          <w:szCs w:val="24"/>
          <w:vertAlign w:val="superscript"/>
        </w:rPr>
        <w:t>1</w:t>
      </w:r>
      <w:r w:rsidR="00256DBA">
        <w:rPr>
          <w:rFonts w:eastAsiaTheme="majorEastAsia" w:cs="Times New Roman"/>
          <w:sz w:val="24"/>
          <w:szCs w:val="24"/>
        </w:rPr>
        <w:fldChar w:fldCharType="end"/>
      </w:r>
      <w:r w:rsidRPr="00BA583D">
        <w:rPr>
          <w:rFonts w:eastAsiaTheme="majorEastAsia" w:cs="Times New Roman"/>
          <w:sz w:val="24"/>
          <w:szCs w:val="24"/>
        </w:rPr>
        <w:t>.</w:t>
      </w:r>
    </w:p>
    <w:p w14:paraId="3907F9FD" w14:textId="77777777" w:rsidR="0097428D" w:rsidRPr="00BA583D" w:rsidRDefault="0097428D" w:rsidP="00895E45">
      <w:pPr>
        <w:jc w:val="left"/>
        <w:rPr>
          <w:rFonts w:eastAsiaTheme="majorEastAsia" w:cs="Times New Roman"/>
          <w:sz w:val="24"/>
          <w:szCs w:val="24"/>
        </w:rPr>
      </w:pPr>
    </w:p>
    <w:p w14:paraId="020E3A2D" w14:textId="0A1C1F90" w:rsidR="0097428D" w:rsidRDefault="0097428D" w:rsidP="00E611F0">
      <w:pPr>
        <w:jc w:val="left"/>
        <w:rPr>
          <w:rFonts w:eastAsiaTheme="majorEastAsia" w:cs="Times New Roman"/>
          <w:sz w:val="24"/>
          <w:szCs w:val="24"/>
        </w:rPr>
      </w:pPr>
      <w:r w:rsidRPr="00BA583D">
        <w:rPr>
          <w:rFonts w:eastAsiaTheme="majorEastAsia" w:cs="Times New Roman"/>
          <w:sz w:val="24"/>
          <w:szCs w:val="24"/>
        </w:rPr>
        <w:t>This study demonstrates the spatial distribution of the environmental impact of NH</w:t>
      </w:r>
      <w:r w:rsidRPr="00BA583D">
        <w:rPr>
          <w:rFonts w:eastAsiaTheme="majorEastAsia" w:cs="Times New Roman"/>
          <w:sz w:val="24"/>
          <w:szCs w:val="24"/>
          <w:vertAlign w:val="subscript"/>
        </w:rPr>
        <w:t>3</w:t>
      </w:r>
      <w:r w:rsidRPr="00BA583D">
        <w:rPr>
          <w:rFonts w:eastAsiaTheme="majorEastAsia" w:cs="Times New Roman"/>
          <w:sz w:val="24"/>
          <w:szCs w:val="24"/>
        </w:rPr>
        <w:t xml:space="preserve"> emissions, but as more accurate county-level environmental data are limited, this study uses county-level data weights for correction, which can be explored in future studies. As the process of soil acidification is complex, this study does not precisely explore the mechanistic changes involved</w:t>
      </w:r>
      <w:r w:rsidR="004C3573">
        <w:rPr>
          <w:rFonts w:eastAsiaTheme="majorEastAsia" w:cs="Times New Roman"/>
          <w:sz w:val="24"/>
          <w:szCs w:val="24"/>
        </w:rPr>
        <w:fldChar w:fldCharType="begin"/>
      </w:r>
      <w:r w:rsidR="004C3573">
        <w:rPr>
          <w:rFonts w:eastAsiaTheme="majorEastAsia" w:cs="Times New Roman"/>
          <w:sz w:val="24"/>
          <w:szCs w:val="24"/>
        </w:rPr>
        <w:instrText xml:space="preserve"> ADDIN NE.Ref.{3E15146E-18D6-41B3-BD90-7C4BD0FDDBE5}</w:instrText>
      </w:r>
      <w:r w:rsidR="004C3573">
        <w:rPr>
          <w:rFonts w:eastAsiaTheme="majorEastAsia" w:cs="Times New Roman"/>
          <w:sz w:val="24"/>
          <w:szCs w:val="24"/>
        </w:rPr>
        <w:fldChar w:fldCharType="separate"/>
      </w:r>
      <w:r w:rsidR="00E02FEC">
        <w:rPr>
          <w:rFonts w:cs="Times New Roman"/>
          <w:color w:val="080000"/>
          <w:kern w:val="0"/>
          <w:sz w:val="24"/>
          <w:szCs w:val="24"/>
          <w:vertAlign w:val="superscript"/>
        </w:rPr>
        <w:t>27</w:t>
      </w:r>
      <w:r w:rsidR="004C3573">
        <w:rPr>
          <w:rFonts w:eastAsiaTheme="majorEastAsia" w:cs="Times New Roman"/>
          <w:sz w:val="24"/>
          <w:szCs w:val="24"/>
        </w:rPr>
        <w:fldChar w:fldCharType="end"/>
      </w:r>
      <w:r w:rsidRPr="00BA583D">
        <w:rPr>
          <w:rFonts w:eastAsiaTheme="majorEastAsia" w:cs="Times New Roman"/>
          <w:sz w:val="24"/>
          <w:szCs w:val="24"/>
        </w:rPr>
        <w:t>. Atmospheric nitrogen deposition also has a neutralizing effect on acid rain, which can be combined with its specific chemical reactions to quantify soil acidification and biodiversity loss</w:t>
      </w:r>
      <w:r w:rsidR="004C3573">
        <w:rPr>
          <w:rFonts w:eastAsiaTheme="majorEastAsia" w:cs="Times New Roman"/>
          <w:sz w:val="24"/>
          <w:szCs w:val="24"/>
        </w:rPr>
        <w:fldChar w:fldCharType="begin"/>
      </w:r>
      <w:r w:rsidR="004C3573">
        <w:rPr>
          <w:rFonts w:eastAsiaTheme="majorEastAsia" w:cs="Times New Roman"/>
          <w:sz w:val="24"/>
          <w:szCs w:val="24"/>
        </w:rPr>
        <w:instrText xml:space="preserve"> ADDIN NE.Ref.{F84B3CF6-378D-44FE-8B90-85686A620871}</w:instrText>
      </w:r>
      <w:r w:rsidR="004C3573">
        <w:rPr>
          <w:rFonts w:eastAsiaTheme="majorEastAsia" w:cs="Times New Roman"/>
          <w:sz w:val="24"/>
          <w:szCs w:val="24"/>
        </w:rPr>
        <w:fldChar w:fldCharType="separate"/>
      </w:r>
      <w:r w:rsidR="00E02FEC">
        <w:rPr>
          <w:rFonts w:cs="Times New Roman"/>
          <w:color w:val="080000"/>
          <w:kern w:val="0"/>
          <w:sz w:val="24"/>
          <w:szCs w:val="24"/>
          <w:vertAlign w:val="superscript"/>
        </w:rPr>
        <w:t>28</w:t>
      </w:r>
      <w:r w:rsidR="004C3573">
        <w:rPr>
          <w:rFonts w:eastAsiaTheme="majorEastAsia" w:cs="Times New Roman"/>
          <w:sz w:val="24"/>
          <w:szCs w:val="24"/>
        </w:rPr>
        <w:fldChar w:fldCharType="end"/>
      </w:r>
      <w:r w:rsidRPr="00BA583D">
        <w:rPr>
          <w:rFonts w:eastAsiaTheme="majorEastAsia" w:cs="Times New Roman"/>
          <w:sz w:val="24"/>
          <w:szCs w:val="24"/>
        </w:rPr>
        <w:t>. In addition, it is more difficult to compile and integrate county-level data, and this study can present a high-</w:t>
      </w:r>
      <w:r w:rsidRPr="00BA583D">
        <w:rPr>
          <w:rFonts w:eastAsiaTheme="majorEastAsia" w:cs="Times New Roman"/>
          <w:sz w:val="24"/>
          <w:szCs w:val="24"/>
        </w:rPr>
        <w:lastRenderedPageBreak/>
        <w:t>resolution spatial distribution using 2017-based data. This distribution may not have changed much in recent years, so it has strong reference significance, but it also needs to be updated continuously, for example at a time point of five years, to follow up on its spatial changes. At the same time, our other findings in CHANS are sufficient to see how the temporal trend changes in order to make a basis for future policy prediction.</w:t>
      </w:r>
    </w:p>
    <w:p w14:paraId="0CD64F58" w14:textId="14AE8C42" w:rsidR="00D3629E" w:rsidRDefault="00D3629E" w:rsidP="00E611F0">
      <w:pPr>
        <w:jc w:val="left"/>
        <w:rPr>
          <w:rFonts w:eastAsiaTheme="majorEastAsia" w:cs="Times New Roman"/>
          <w:sz w:val="24"/>
          <w:szCs w:val="24"/>
        </w:rPr>
      </w:pPr>
    </w:p>
    <w:p w14:paraId="7B86FCF4" w14:textId="5CF07F25" w:rsidR="00906DF1" w:rsidRDefault="00D3629E" w:rsidP="00DB49B7">
      <w:pPr>
        <w:jc w:val="left"/>
        <w:rPr>
          <w:rFonts w:eastAsia="宋体" w:cs="Times New Roman"/>
          <w:sz w:val="24"/>
          <w:szCs w:val="24"/>
        </w:rPr>
      </w:pPr>
      <w:r w:rsidRPr="00D3629E">
        <w:rPr>
          <w:rFonts w:eastAsiaTheme="majorEastAsia" w:cs="Times New Roman"/>
          <w:sz w:val="24"/>
          <w:szCs w:val="24"/>
        </w:rPr>
        <w:t xml:space="preserve">In order to analyses the uncertainty in </w:t>
      </w:r>
      <w:r>
        <w:rPr>
          <w:rFonts w:eastAsiaTheme="majorEastAsia" w:cs="Times New Roman" w:hint="eastAsia"/>
          <w:sz w:val="24"/>
          <w:szCs w:val="24"/>
        </w:rPr>
        <w:t>our</w:t>
      </w:r>
      <w:r>
        <w:rPr>
          <w:rFonts w:eastAsiaTheme="majorEastAsia" w:cs="Times New Roman"/>
          <w:sz w:val="24"/>
          <w:szCs w:val="24"/>
        </w:rPr>
        <w:t xml:space="preserve"> inventory</w:t>
      </w:r>
      <w:r w:rsidRPr="00D3629E">
        <w:rPr>
          <w:rFonts w:eastAsiaTheme="majorEastAsia" w:cs="Times New Roman"/>
          <w:sz w:val="24"/>
          <w:szCs w:val="24"/>
        </w:rPr>
        <w:t>, we used qualitative and semiquantitative approaches that classify all the N</w:t>
      </w:r>
      <w:r>
        <w:rPr>
          <w:rFonts w:eastAsiaTheme="majorEastAsia" w:cs="Times New Roman"/>
          <w:sz w:val="24"/>
          <w:szCs w:val="24"/>
        </w:rPr>
        <w:t>H</w:t>
      </w:r>
      <w:r w:rsidRPr="00D3629E">
        <w:rPr>
          <w:rFonts w:eastAsiaTheme="majorEastAsia" w:cs="Times New Roman"/>
          <w:sz w:val="24"/>
          <w:szCs w:val="24"/>
          <w:vertAlign w:val="subscript"/>
        </w:rPr>
        <w:t>3</w:t>
      </w:r>
      <w:r w:rsidRPr="00D3629E">
        <w:rPr>
          <w:rFonts w:eastAsiaTheme="majorEastAsia" w:cs="Times New Roman"/>
          <w:sz w:val="24"/>
          <w:szCs w:val="24"/>
        </w:rPr>
        <w:t>-related parameters, coefficients, and</w:t>
      </w:r>
      <w:r>
        <w:rPr>
          <w:rFonts w:eastAsiaTheme="majorEastAsia" w:cs="Times New Roman"/>
          <w:sz w:val="24"/>
          <w:szCs w:val="24"/>
        </w:rPr>
        <w:t xml:space="preserve"> </w:t>
      </w:r>
      <w:r w:rsidRPr="00D3629E">
        <w:rPr>
          <w:rFonts w:eastAsiaTheme="majorEastAsia" w:cs="Times New Roman"/>
          <w:sz w:val="24"/>
          <w:szCs w:val="24"/>
        </w:rPr>
        <w:t>activity data into several confidence levels</w:t>
      </w:r>
      <w:r>
        <w:rPr>
          <w:rFonts w:eastAsiaTheme="majorEastAsia" w:cs="Times New Roman"/>
          <w:sz w:val="24"/>
          <w:szCs w:val="24"/>
        </w:rPr>
        <w:t>.</w:t>
      </w:r>
      <w:r w:rsidRPr="00D3629E">
        <w:rPr>
          <w:rFonts w:eastAsiaTheme="majorEastAsia" w:cs="Times New Roman"/>
          <w:sz w:val="24"/>
          <w:szCs w:val="24"/>
        </w:rPr>
        <w:t xml:space="preserve"> </w:t>
      </w:r>
      <w:r w:rsidRPr="00BA583D">
        <w:rPr>
          <w:rFonts w:eastAsiaTheme="majorEastAsia" w:cs="Times New Roman"/>
          <w:sz w:val="24"/>
          <w:szCs w:val="24"/>
        </w:rPr>
        <w:t>The uncertainty of NH</w:t>
      </w:r>
      <w:r w:rsidRPr="00BA583D">
        <w:rPr>
          <w:rFonts w:eastAsiaTheme="majorEastAsia" w:cs="Times New Roman"/>
          <w:sz w:val="24"/>
          <w:szCs w:val="24"/>
          <w:vertAlign w:val="subscript"/>
        </w:rPr>
        <w:t>3</w:t>
      </w:r>
      <w:r w:rsidRPr="00BA583D">
        <w:rPr>
          <w:rFonts w:eastAsiaTheme="majorEastAsia" w:cs="Times New Roman"/>
          <w:sz w:val="24"/>
          <w:szCs w:val="24"/>
        </w:rPr>
        <w:t xml:space="preserve"> emissions was calculated using the Monte Carlo method, which has been widely used in previous studies.</w:t>
      </w:r>
      <w:r>
        <w:rPr>
          <w:rFonts w:eastAsiaTheme="majorEastAsia" w:cs="Times New Roman"/>
          <w:sz w:val="24"/>
          <w:szCs w:val="24"/>
        </w:rPr>
        <w:t xml:space="preserve"> </w:t>
      </w:r>
      <w:r w:rsidRPr="00D3629E">
        <w:rPr>
          <w:rFonts w:eastAsiaTheme="majorEastAsia" w:cs="Times New Roman"/>
          <w:sz w:val="24"/>
          <w:szCs w:val="24"/>
        </w:rPr>
        <w:t>Based on existing statistical or</w:t>
      </w:r>
      <w:r>
        <w:rPr>
          <w:rFonts w:eastAsiaTheme="majorEastAsia" w:cs="Times New Roman"/>
          <w:sz w:val="24"/>
          <w:szCs w:val="24"/>
        </w:rPr>
        <w:t xml:space="preserve"> </w:t>
      </w:r>
      <w:r w:rsidRPr="00D3629E">
        <w:rPr>
          <w:rFonts w:eastAsiaTheme="majorEastAsia" w:cs="Times New Roman"/>
          <w:sz w:val="24"/>
          <w:szCs w:val="24"/>
        </w:rPr>
        <w:t xml:space="preserve">experimental data and expert judgement, </w:t>
      </w:r>
      <w:r w:rsidR="00637718" w:rsidRPr="00D3629E">
        <w:rPr>
          <w:rFonts w:eastAsiaTheme="majorEastAsia" w:cs="Times New Roman"/>
          <w:sz w:val="24"/>
          <w:szCs w:val="24"/>
        </w:rPr>
        <w:t>N</w:t>
      </w:r>
      <w:r w:rsidR="00637718">
        <w:rPr>
          <w:rFonts w:eastAsiaTheme="majorEastAsia" w:cs="Times New Roman"/>
          <w:sz w:val="24"/>
          <w:szCs w:val="24"/>
        </w:rPr>
        <w:t>H</w:t>
      </w:r>
      <w:r w:rsidR="00637718" w:rsidRPr="00D3629E">
        <w:rPr>
          <w:rFonts w:eastAsiaTheme="majorEastAsia" w:cs="Times New Roman"/>
          <w:sz w:val="24"/>
          <w:szCs w:val="24"/>
          <w:vertAlign w:val="subscript"/>
        </w:rPr>
        <w:t>3</w:t>
      </w:r>
      <w:r w:rsidR="007E5E52">
        <w:rPr>
          <w:rFonts w:eastAsiaTheme="majorEastAsia" w:cs="Times New Roman"/>
          <w:sz w:val="24"/>
          <w:szCs w:val="24"/>
        </w:rPr>
        <w:t xml:space="preserve"> emission </w:t>
      </w:r>
      <w:r w:rsidR="00637718" w:rsidRPr="00D3629E">
        <w:rPr>
          <w:rFonts w:eastAsiaTheme="majorEastAsia" w:cs="Times New Roman"/>
          <w:sz w:val="24"/>
          <w:szCs w:val="24"/>
        </w:rPr>
        <w:t xml:space="preserve">related </w:t>
      </w:r>
      <w:r w:rsidR="007E5E52" w:rsidRPr="00D3629E">
        <w:rPr>
          <w:rFonts w:eastAsiaTheme="majorEastAsia" w:cs="Times New Roman"/>
          <w:sz w:val="24"/>
          <w:szCs w:val="24"/>
        </w:rPr>
        <w:t>parameters</w:t>
      </w:r>
      <w:r w:rsidR="007E5E52" w:rsidRPr="007E5E52">
        <w:rPr>
          <w:rFonts w:eastAsiaTheme="majorEastAsia" w:cs="Times New Roman"/>
          <w:sz w:val="24"/>
          <w:szCs w:val="24"/>
        </w:rPr>
        <w:t xml:space="preserve"> </w:t>
      </w:r>
      <w:r w:rsidR="007E5E52">
        <w:rPr>
          <w:rFonts w:eastAsiaTheme="majorEastAsia" w:cs="Times New Roman"/>
          <w:sz w:val="24"/>
          <w:szCs w:val="24"/>
        </w:rPr>
        <w:t>(</w:t>
      </w:r>
      <w:r w:rsidR="004C5EEA" w:rsidRPr="004C5EEA">
        <w:rPr>
          <w:rFonts w:eastAsiaTheme="majorEastAsia" w:cs="Times New Roman"/>
          <w:sz w:val="24"/>
          <w:szCs w:val="24"/>
        </w:rPr>
        <w:t>Coefficients of variation (CVs)</w:t>
      </w:r>
      <w:r w:rsidR="007E5E52">
        <w:rPr>
          <w:rFonts w:eastAsiaTheme="majorEastAsia" w:cs="Times New Roman"/>
          <w:sz w:val="24"/>
          <w:szCs w:val="24"/>
        </w:rPr>
        <w:t>)</w:t>
      </w:r>
      <w:r w:rsidRPr="00D3629E">
        <w:rPr>
          <w:rFonts w:eastAsiaTheme="majorEastAsia" w:cs="Times New Roman"/>
          <w:sz w:val="24"/>
          <w:szCs w:val="24"/>
        </w:rPr>
        <w:t xml:space="preserve"> were</w:t>
      </w:r>
      <w:r>
        <w:rPr>
          <w:rFonts w:eastAsiaTheme="majorEastAsia" w:cs="Times New Roman"/>
          <w:sz w:val="24"/>
          <w:szCs w:val="24"/>
        </w:rPr>
        <w:t xml:space="preserve"> </w:t>
      </w:r>
      <w:r w:rsidRPr="00D3629E">
        <w:rPr>
          <w:rFonts w:eastAsiaTheme="majorEastAsia" w:cs="Times New Roman"/>
          <w:sz w:val="24"/>
          <w:szCs w:val="24"/>
        </w:rPr>
        <w:t>derived or assumed for this study.</w:t>
      </w:r>
      <w:r w:rsidR="007E5E52">
        <w:rPr>
          <w:rFonts w:eastAsiaTheme="majorEastAsia" w:cs="Times New Roman"/>
          <w:sz w:val="24"/>
          <w:szCs w:val="24"/>
        </w:rPr>
        <w:t xml:space="preserve"> </w:t>
      </w:r>
      <w:r w:rsidR="00A06652" w:rsidRPr="007E5E52">
        <w:rPr>
          <w:rFonts w:eastAsiaTheme="majorEastAsia" w:cs="Times New Roman"/>
          <w:sz w:val="24"/>
          <w:szCs w:val="24"/>
        </w:rPr>
        <w:t xml:space="preserve">Detailed methods and </w:t>
      </w:r>
      <w:r w:rsidR="007E5E52" w:rsidRPr="007E5E52">
        <w:rPr>
          <w:rFonts w:eastAsiaTheme="majorEastAsia" w:cs="Times New Roman"/>
          <w:sz w:val="24"/>
          <w:szCs w:val="24"/>
        </w:rPr>
        <w:t xml:space="preserve">related parameters </w:t>
      </w:r>
      <w:r w:rsidR="00A06652" w:rsidRPr="007E5E52">
        <w:rPr>
          <w:rFonts w:eastAsiaTheme="majorEastAsia" w:cs="Times New Roman"/>
          <w:sz w:val="24"/>
          <w:szCs w:val="24"/>
        </w:rPr>
        <w:t xml:space="preserve">are described </w:t>
      </w:r>
      <w:r w:rsidR="007E5E52" w:rsidRPr="007E5E52">
        <w:rPr>
          <w:rFonts w:eastAsiaTheme="majorEastAsia" w:cs="Times New Roman"/>
          <w:sz w:val="24"/>
          <w:szCs w:val="24"/>
        </w:rPr>
        <w:t>and consistent with our</w:t>
      </w:r>
      <w:r w:rsidR="007E5E52" w:rsidRPr="007E5E52">
        <w:t xml:space="preserve"> </w:t>
      </w:r>
      <w:r w:rsidR="007E5E52" w:rsidRPr="007E5E52">
        <w:rPr>
          <w:rFonts w:eastAsiaTheme="majorEastAsia" w:cs="Times New Roman"/>
          <w:sz w:val="24"/>
          <w:szCs w:val="24"/>
        </w:rPr>
        <w:t>our previous studies</w:t>
      </w:r>
      <w:r w:rsidR="007E5E52">
        <w:rPr>
          <w:rFonts w:eastAsiaTheme="majorEastAsia" w:cs="Times New Roman"/>
          <w:sz w:val="24"/>
          <w:szCs w:val="24"/>
        </w:rPr>
        <w:fldChar w:fldCharType="begin"/>
      </w:r>
      <w:r w:rsidR="007E5E52">
        <w:rPr>
          <w:rFonts w:eastAsiaTheme="majorEastAsia" w:cs="Times New Roman"/>
          <w:sz w:val="24"/>
          <w:szCs w:val="24"/>
        </w:rPr>
        <w:instrText xml:space="preserve"> ADDIN NE.Ref.{3EBBC5C6-2608-42A5-8223-646059E0A1FC}</w:instrText>
      </w:r>
      <w:r w:rsidR="007E5E52">
        <w:rPr>
          <w:rFonts w:eastAsiaTheme="majorEastAsia" w:cs="Times New Roman"/>
          <w:sz w:val="24"/>
          <w:szCs w:val="24"/>
        </w:rPr>
        <w:fldChar w:fldCharType="separate"/>
      </w:r>
      <w:r w:rsidR="00E02FEC">
        <w:rPr>
          <w:rFonts w:cs="Times New Roman"/>
          <w:color w:val="080000"/>
          <w:kern w:val="0"/>
          <w:sz w:val="24"/>
          <w:szCs w:val="24"/>
          <w:vertAlign w:val="superscript"/>
        </w:rPr>
        <w:t>9, 11, 29, 30</w:t>
      </w:r>
      <w:r w:rsidR="007E5E52">
        <w:rPr>
          <w:rFonts w:eastAsiaTheme="majorEastAsia" w:cs="Times New Roman"/>
          <w:sz w:val="24"/>
          <w:szCs w:val="24"/>
        </w:rPr>
        <w:fldChar w:fldCharType="end"/>
      </w:r>
      <w:r w:rsidR="00A06652" w:rsidRPr="007E5E52">
        <w:rPr>
          <w:rFonts w:eastAsiaTheme="majorEastAsia" w:cs="Times New Roman"/>
          <w:sz w:val="24"/>
          <w:szCs w:val="24"/>
        </w:rPr>
        <w:t>.</w:t>
      </w:r>
      <w:r w:rsidR="00A06652">
        <w:rPr>
          <w:rFonts w:eastAsiaTheme="majorEastAsia" w:cs="Times New Roman"/>
          <w:sz w:val="24"/>
          <w:szCs w:val="24"/>
        </w:rPr>
        <w:t xml:space="preserve"> </w:t>
      </w:r>
      <w:r w:rsidR="00CE1FBF" w:rsidRPr="00CE1FBF">
        <w:rPr>
          <w:rFonts w:eastAsiaTheme="majorEastAsia" w:cs="Times New Roman"/>
          <w:sz w:val="24"/>
          <w:szCs w:val="24"/>
        </w:rPr>
        <w:t>Uncertainty range of the NH3 emissions by sector in 2017</w:t>
      </w:r>
      <w:r w:rsidR="00CE1FBF">
        <w:rPr>
          <w:rFonts w:eastAsiaTheme="majorEastAsia" w:cs="Times New Roman"/>
          <w:sz w:val="24"/>
          <w:szCs w:val="24"/>
        </w:rPr>
        <w:t xml:space="preserve"> are list in</w:t>
      </w:r>
      <w:r w:rsidR="00CE1FBF" w:rsidRPr="00CE1FBF">
        <w:rPr>
          <w:rFonts w:eastAsiaTheme="majorEastAsia" w:cs="Times New Roman"/>
          <w:sz w:val="24"/>
          <w:szCs w:val="24"/>
        </w:rPr>
        <w:t xml:space="preserve"> </w:t>
      </w:r>
      <w:r w:rsidR="00CE1FBF" w:rsidRPr="00CE1FBF">
        <w:rPr>
          <w:rFonts w:eastAsiaTheme="majorEastAsia" w:cs="Times New Roman"/>
          <w:color w:val="4472C4" w:themeColor="accent1"/>
          <w:sz w:val="24"/>
          <w:szCs w:val="24"/>
        </w:rPr>
        <w:t>Table S4</w:t>
      </w:r>
      <w:r w:rsidR="00CE1FBF">
        <w:rPr>
          <w:rFonts w:eastAsiaTheme="majorEastAsia" w:cs="Times New Roman"/>
          <w:color w:val="4472C4" w:themeColor="accent1"/>
          <w:sz w:val="24"/>
          <w:szCs w:val="24"/>
        </w:rPr>
        <w:t>,</w:t>
      </w:r>
      <w:r w:rsidR="00CE1FBF">
        <w:rPr>
          <w:rFonts w:eastAsiaTheme="majorEastAsia" w:cs="Times New Roman"/>
          <w:sz w:val="24"/>
          <w:szCs w:val="24"/>
        </w:rPr>
        <w:t xml:space="preserve"> </w:t>
      </w:r>
      <w:r w:rsidR="0097428D" w:rsidRPr="00BA583D">
        <w:rPr>
          <w:rFonts w:eastAsiaTheme="majorEastAsia" w:cs="Times New Roman"/>
          <w:sz w:val="24"/>
          <w:szCs w:val="24"/>
        </w:rPr>
        <w:t>which effectively improv</w:t>
      </w:r>
      <w:r w:rsidR="007941F1" w:rsidRPr="00BA583D">
        <w:rPr>
          <w:rFonts w:eastAsiaTheme="majorEastAsia" w:cs="Times New Roman"/>
          <w:sz w:val="24"/>
          <w:szCs w:val="24"/>
        </w:rPr>
        <w:t>es</w:t>
      </w:r>
      <w:r w:rsidR="0097428D" w:rsidRPr="00BA583D">
        <w:rPr>
          <w:rFonts w:eastAsiaTheme="majorEastAsia" w:cs="Times New Roman"/>
          <w:sz w:val="24"/>
          <w:szCs w:val="24"/>
        </w:rPr>
        <w:t xml:space="preserve"> inventory accuracy and applicability. For different sources, cropland and livestock are the two dominant sources o</w:t>
      </w:r>
      <w:r w:rsidR="007941F1" w:rsidRPr="00BA583D">
        <w:rPr>
          <w:rFonts w:eastAsiaTheme="majorEastAsia" w:cs="Times New Roman"/>
          <w:sz w:val="24"/>
          <w:szCs w:val="24"/>
        </w:rPr>
        <w:t>f</w:t>
      </w:r>
      <w:r w:rsidR="0097428D" w:rsidRPr="00BA583D">
        <w:rPr>
          <w:rFonts w:eastAsiaTheme="majorEastAsia" w:cs="Times New Roman"/>
          <w:sz w:val="24"/>
          <w:szCs w:val="24"/>
        </w:rPr>
        <w:t xml:space="preserve"> the total uncertainty. Although our study has significant improvement in spatial-temporal resolution compared to previous studies, there are still some problems in the assessment process. On the one hand, the time lag of the activity data due to the long period of the survey process, and the omission of some newly established farms may lead to errors in the data. On the other hand, some</w:t>
      </w:r>
      <w:r w:rsidR="007941F1" w:rsidRPr="00BA583D">
        <w:rPr>
          <w:rFonts w:eastAsiaTheme="majorEastAsia" w:cs="Times New Roman"/>
          <w:sz w:val="24"/>
          <w:szCs w:val="24"/>
        </w:rPr>
        <w:t xml:space="preserve"> provincial level</w:t>
      </w:r>
      <w:r w:rsidR="0097428D" w:rsidRPr="00BA583D">
        <w:rPr>
          <w:rFonts w:eastAsiaTheme="majorEastAsia" w:cs="Times New Roman"/>
          <w:sz w:val="24"/>
          <w:szCs w:val="24"/>
        </w:rPr>
        <w:t xml:space="preserve"> parameters are still used </w:t>
      </w:r>
      <w:r w:rsidR="007941F1" w:rsidRPr="00BA583D">
        <w:rPr>
          <w:rFonts w:eastAsiaTheme="majorEastAsia" w:cs="Times New Roman"/>
          <w:sz w:val="24"/>
          <w:szCs w:val="24"/>
        </w:rPr>
        <w:t xml:space="preserve">for county level calculation </w:t>
      </w:r>
      <w:r w:rsidR="0097428D" w:rsidRPr="00BA583D">
        <w:rPr>
          <w:rFonts w:eastAsiaTheme="majorEastAsia" w:cs="Times New Roman"/>
          <w:sz w:val="24"/>
          <w:szCs w:val="24"/>
        </w:rPr>
        <w:t>such as animal nitrogen excretion coefficients due to data</w:t>
      </w:r>
      <w:r w:rsidR="007941F1" w:rsidRPr="00BA583D">
        <w:rPr>
          <w:rFonts w:eastAsiaTheme="majorEastAsia" w:cs="Times New Roman"/>
          <w:sz w:val="24"/>
          <w:szCs w:val="24"/>
        </w:rPr>
        <w:t xml:space="preserve"> limitation</w:t>
      </w:r>
      <w:r w:rsidR="0097428D" w:rsidRPr="00BA583D">
        <w:rPr>
          <w:rFonts w:eastAsiaTheme="majorEastAsia" w:cs="Times New Roman"/>
          <w:sz w:val="24"/>
          <w:szCs w:val="24"/>
        </w:rPr>
        <w:t>, therefore, there is still some bias and uncertainty in the research.</w:t>
      </w:r>
    </w:p>
    <w:p w14:paraId="0DB4F4C2" w14:textId="74BC0260" w:rsidR="001775B4" w:rsidRPr="00BA583D" w:rsidRDefault="001775B4" w:rsidP="00017CE9">
      <w:pPr>
        <w:spacing w:line="360" w:lineRule="auto"/>
        <w:jc w:val="left"/>
        <w:rPr>
          <w:rFonts w:eastAsia="宋体" w:cs="Times New Roman"/>
          <w:sz w:val="24"/>
          <w:szCs w:val="24"/>
        </w:rPr>
        <w:sectPr w:rsidR="001775B4" w:rsidRPr="00BA583D" w:rsidSect="00017CE9">
          <w:pgSz w:w="11906" w:h="16838"/>
          <w:pgMar w:top="1440" w:right="1800" w:bottom="1440" w:left="1800" w:header="851" w:footer="992" w:gutter="0"/>
          <w:cols w:space="425"/>
          <w:docGrid w:type="lines" w:linePitch="312"/>
        </w:sectPr>
      </w:pPr>
    </w:p>
    <w:p w14:paraId="3FFE6A04" w14:textId="7E91EC3E" w:rsidR="007941F1" w:rsidRPr="00BA583D" w:rsidRDefault="00AE6D8B" w:rsidP="00AE6D8B">
      <w:pPr>
        <w:spacing w:line="360" w:lineRule="auto"/>
        <w:ind w:firstLineChars="200" w:firstLine="480"/>
        <w:jc w:val="center"/>
        <w:rPr>
          <w:rFonts w:eastAsia="宋体" w:cs="Times New Roman"/>
          <w:sz w:val="24"/>
          <w:szCs w:val="24"/>
        </w:rPr>
      </w:pPr>
      <w:r w:rsidRPr="00BA583D">
        <w:rPr>
          <w:rFonts w:cs="Times New Roman"/>
          <w:noProof/>
          <w:sz w:val="24"/>
          <w:szCs w:val="24"/>
        </w:rPr>
        <w:lastRenderedPageBreak/>
        <w:drawing>
          <wp:inline distT="0" distB="0" distL="0" distR="0" wp14:anchorId="42625D2B" wp14:editId="788F7AE0">
            <wp:extent cx="7799693" cy="3749675"/>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7762" b="12322"/>
                    <a:stretch/>
                  </pic:blipFill>
                  <pic:spPr bwMode="auto">
                    <a:xfrm>
                      <a:off x="0" y="0"/>
                      <a:ext cx="7812314" cy="3755743"/>
                    </a:xfrm>
                    <a:prstGeom prst="rect">
                      <a:avLst/>
                    </a:prstGeom>
                    <a:noFill/>
                    <a:ln>
                      <a:noFill/>
                    </a:ln>
                    <a:extLst>
                      <a:ext uri="{53640926-AAD7-44D8-BBD7-CCE9431645EC}">
                        <a14:shadowObscured xmlns:a14="http://schemas.microsoft.com/office/drawing/2010/main"/>
                      </a:ext>
                    </a:extLst>
                  </pic:spPr>
                </pic:pic>
              </a:graphicData>
            </a:graphic>
          </wp:inline>
        </w:drawing>
      </w:r>
    </w:p>
    <w:p w14:paraId="42F0A59B" w14:textId="564CFDB5" w:rsidR="00AE6D8B" w:rsidRPr="00BA583D" w:rsidRDefault="00AE6D8B" w:rsidP="00E611F0">
      <w:pPr>
        <w:pStyle w:val="4"/>
      </w:pPr>
      <w:r w:rsidRPr="00BA583D">
        <w:t>Figure S</w:t>
      </w:r>
      <w:r w:rsidR="00B95B51" w:rsidRPr="00BA583D">
        <w:t>1</w:t>
      </w:r>
      <w:r w:rsidRPr="00BA583D">
        <w:t xml:space="preserve"> Illustration of cropland NH</w:t>
      </w:r>
      <w:r w:rsidRPr="00BA583D">
        <w:rPr>
          <w:vertAlign w:val="subscript"/>
        </w:rPr>
        <w:t>3</w:t>
      </w:r>
      <w:r w:rsidRPr="00BA583D">
        <w:t xml:space="preserve"> estimation</w:t>
      </w:r>
      <w:r w:rsidR="00E611F0">
        <w:t>.</w:t>
      </w:r>
    </w:p>
    <w:p w14:paraId="3F210275" w14:textId="77777777" w:rsidR="00AE6D8B" w:rsidRPr="00BA583D" w:rsidRDefault="00AE6D8B" w:rsidP="00E611F0">
      <w:pPr>
        <w:spacing w:line="360" w:lineRule="auto"/>
        <w:rPr>
          <w:rFonts w:eastAsia="宋体" w:cs="Times New Roman"/>
          <w:sz w:val="24"/>
          <w:szCs w:val="24"/>
        </w:rPr>
      </w:pPr>
    </w:p>
    <w:p w14:paraId="12C82345" w14:textId="712484B4" w:rsidR="008F7189" w:rsidRPr="00BA583D" w:rsidRDefault="007941F1" w:rsidP="00DB49B7">
      <w:pPr>
        <w:spacing w:line="360" w:lineRule="auto"/>
        <w:rPr>
          <w:rFonts w:eastAsia="宋体" w:cs="Times New Roman"/>
          <w:sz w:val="24"/>
          <w:szCs w:val="24"/>
        </w:rPr>
      </w:pPr>
      <w:r w:rsidRPr="00BA583D">
        <w:rPr>
          <w:rFonts w:cs="Times New Roman"/>
          <w:noProof/>
          <w:sz w:val="24"/>
          <w:szCs w:val="24"/>
        </w:rPr>
        <w:lastRenderedPageBreak/>
        <w:drawing>
          <wp:inline distT="0" distB="0" distL="0" distR="0" wp14:anchorId="3F3068C3" wp14:editId="1C002E6B">
            <wp:extent cx="8758454" cy="3048000"/>
            <wp:effectExtent l="0" t="0" r="508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70950" cy="3052349"/>
                    </a:xfrm>
                    <a:prstGeom prst="rect">
                      <a:avLst/>
                    </a:prstGeom>
                    <a:noFill/>
                    <a:ln>
                      <a:noFill/>
                    </a:ln>
                  </pic:spPr>
                </pic:pic>
              </a:graphicData>
            </a:graphic>
          </wp:inline>
        </w:drawing>
      </w:r>
    </w:p>
    <w:p w14:paraId="47A0952B" w14:textId="11819797" w:rsidR="007941F1" w:rsidRPr="00E611F0" w:rsidRDefault="007941F1" w:rsidP="00E611F0">
      <w:pPr>
        <w:pStyle w:val="4"/>
      </w:pPr>
      <w:r w:rsidRPr="00BA583D">
        <w:t>Figure S</w:t>
      </w:r>
      <w:r w:rsidR="00B95B51" w:rsidRPr="00BA583D">
        <w:t>2</w:t>
      </w:r>
      <w:r w:rsidRPr="00BA583D">
        <w:t xml:space="preserve"> Illustration of livestock NH</w:t>
      </w:r>
      <w:r w:rsidRPr="00BA583D">
        <w:rPr>
          <w:vertAlign w:val="subscript"/>
        </w:rPr>
        <w:t>3</w:t>
      </w:r>
      <w:r w:rsidRPr="00BA583D">
        <w:t xml:space="preserve"> estimation</w:t>
      </w:r>
      <w:r w:rsidR="00E611F0">
        <w:t>.</w:t>
      </w:r>
    </w:p>
    <w:p w14:paraId="4FA41D6B" w14:textId="7F0A425B" w:rsidR="007941F1" w:rsidRPr="00BA583D" w:rsidRDefault="007941F1" w:rsidP="00EB2C84">
      <w:pPr>
        <w:spacing w:line="360" w:lineRule="auto"/>
        <w:ind w:firstLineChars="200" w:firstLine="480"/>
        <w:rPr>
          <w:rFonts w:eastAsia="宋体" w:cs="Times New Roman"/>
          <w:sz w:val="24"/>
          <w:szCs w:val="24"/>
        </w:rPr>
        <w:sectPr w:rsidR="007941F1" w:rsidRPr="00BA583D" w:rsidSect="00017CE9">
          <w:pgSz w:w="16838" w:h="11906" w:orient="landscape"/>
          <w:pgMar w:top="1800" w:right="1440" w:bottom="1800" w:left="1440" w:header="851" w:footer="992" w:gutter="0"/>
          <w:cols w:space="425"/>
          <w:docGrid w:type="lines" w:linePitch="312"/>
        </w:sectPr>
      </w:pPr>
    </w:p>
    <w:p w14:paraId="5727FA8F" w14:textId="77777777" w:rsidR="00EE1805" w:rsidRPr="00BA583D" w:rsidRDefault="00EE1805" w:rsidP="00EE1805">
      <w:pPr>
        <w:adjustRightInd w:val="0"/>
        <w:snapToGrid w:val="0"/>
        <w:jc w:val="left"/>
        <w:rPr>
          <w:rFonts w:cs="Times New Roman"/>
          <w:sz w:val="24"/>
          <w:szCs w:val="24"/>
        </w:rPr>
      </w:pPr>
      <w:r w:rsidRPr="00BA583D">
        <w:rPr>
          <w:rFonts w:cs="Times New Roman"/>
          <w:noProof/>
          <w:sz w:val="24"/>
          <w:szCs w:val="24"/>
        </w:rPr>
        <w:lastRenderedPageBreak/>
        <w:drawing>
          <wp:inline distT="0" distB="0" distL="0" distR="0" wp14:anchorId="190C1D0A" wp14:editId="00C2C062">
            <wp:extent cx="5000625" cy="3538565"/>
            <wp:effectExtent l="0" t="0" r="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02123" cy="3539625"/>
                    </a:xfrm>
                    <a:prstGeom prst="rect">
                      <a:avLst/>
                    </a:prstGeom>
                    <a:noFill/>
                    <a:ln>
                      <a:noFill/>
                    </a:ln>
                  </pic:spPr>
                </pic:pic>
              </a:graphicData>
            </a:graphic>
          </wp:inline>
        </w:drawing>
      </w:r>
    </w:p>
    <w:p w14:paraId="33C4154B" w14:textId="333AFBFA" w:rsidR="00EE1805" w:rsidRPr="00BA583D" w:rsidRDefault="00EE1805" w:rsidP="00EE1805">
      <w:pPr>
        <w:adjustRightInd w:val="0"/>
        <w:snapToGrid w:val="0"/>
        <w:ind w:firstLineChars="50" w:firstLine="120"/>
        <w:jc w:val="left"/>
        <w:rPr>
          <w:rFonts w:cs="Times New Roman"/>
          <w:sz w:val="24"/>
          <w:szCs w:val="24"/>
        </w:rPr>
      </w:pPr>
      <w:r w:rsidRPr="00BA583D">
        <w:rPr>
          <w:rFonts w:eastAsia="宋体" w:cs="Times New Roman"/>
          <w:b/>
          <w:color w:val="000000" w:themeColor="text1"/>
          <w:sz w:val="24"/>
          <w:szCs w:val="24"/>
        </w:rPr>
        <w:t xml:space="preserve">Fig. S3 </w:t>
      </w:r>
      <w:r w:rsidRPr="00E611F0">
        <w:rPr>
          <w:rFonts w:cs="Times New Roman"/>
          <w:b/>
          <w:bCs/>
          <w:sz w:val="24"/>
          <w:szCs w:val="24"/>
        </w:rPr>
        <w:t>Spatial distribution of cropland survey points.</w:t>
      </w:r>
    </w:p>
    <w:p w14:paraId="0471B3D1" w14:textId="77777777" w:rsidR="00EE1805" w:rsidRPr="00BA583D" w:rsidRDefault="00EE1805" w:rsidP="00EE1805">
      <w:pPr>
        <w:adjustRightInd w:val="0"/>
        <w:snapToGrid w:val="0"/>
        <w:jc w:val="left"/>
        <w:rPr>
          <w:rFonts w:cs="Times New Roman"/>
          <w:sz w:val="24"/>
          <w:szCs w:val="24"/>
        </w:rPr>
      </w:pPr>
      <w:r w:rsidRPr="00BA583D">
        <w:rPr>
          <w:rFonts w:cs="Times New Roman"/>
          <w:sz w:val="24"/>
          <w:szCs w:val="24"/>
        </w:rPr>
        <w:br w:type="page"/>
      </w:r>
    </w:p>
    <w:p w14:paraId="3C787651" w14:textId="2FECA53F" w:rsidR="00EE1805" w:rsidRPr="00BA583D" w:rsidRDefault="00EE1805" w:rsidP="00EE1805">
      <w:pPr>
        <w:adjustRightInd w:val="0"/>
        <w:snapToGrid w:val="0"/>
        <w:jc w:val="center"/>
        <w:rPr>
          <w:rFonts w:cs="Times New Roman"/>
          <w:sz w:val="24"/>
          <w:szCs w:val="24"/>
        </w:rPr>
      </w:pPr>
      <w:r w:rsidRPr="00BA583D">
        <w:rPr>
          <w:rFonts w:cs="Times New Roman"/>
          <w:noProof/>
          <w:sz w:val="24"/>
          <w:szCs w:val="24"/>
          <w:lang w:val="en-GB" w:eastAsia="en-GB"/>
        </w:rPr>
        <w:lastRenderedPageBreak/>
        <w:drawing>
          <wp:inline distT="0" distB="0" distL="0" distR="0" wp14:anchorId="712874BF" wp14:editId="2C721717">
            <wp:extent cx="4829175" cy="6208275"/>
            <wp:effectExtent l="0" t="0" r="0" b="254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64004" cy="6253050"/>
                    </a:xfrm>
                    <a:prstGeom prst="rect">
                      <a:avLst/>
                    </a:prstGeom>
                  </pic:spPr>
                </pic:pic>
              </a:graphicData>
            </a:graphic>
          </wp:inline>
        </w:drawing>
      </w:r>
    </w:p>
    <w:p w14:paraId="745FD32B" w14:textId="7AB80CEC" w:rsidR="00EE1805" w:rsidRPr="00BA583D" w:rsidRDefault="00EE1805" w:rsidP="00E611F0">
      <w:pPr>
        <w:adjustRightInd w:val="0"/>
        <w:snapToGrid w:val="0"/>
        <w:jc w:val="left"/>
        <w:rPr>
          <w:rFonts w:cs="Times New Roman"/>
          <w:b/>
          <w:sz w:val="24"/>
          <w:szCs w:val="24"/>
        </w:rPr>
      </w:pPr>
      <w:r w:rsidRPr="00BA583D">
        <w:rPr>
          <w:rStyle w:val="40"/>
          <w:rFonts w:cs="Times New Roman"/>
          <w:szCs w:val="24"/>
        </w:rPr>
        <w:t xml:space="preserve">Fig. S4 Spatial location of animal farms in 2017 based on the second agricultural </w:t>
      </w:r>
      <w:r w:rsidRPr="00BA583D">
        <w:rPr>
          <w:rFonts w:cs="Times New Roman"/>
          <w:b/>
          <w:sz w:val="24"/>
          <w:szCs w:val="24"/>
        </w:rPr>
        <w:t>pollution source censuses.</w:t>
      </w:r>
      <w:r w:rsidRPr="00E611F0">
        <w:rPr>
          <w:rFonts w:cs="Times New Roman"/>
          <w:bCs/>
          <w:sz w:val="24"/>
          <w:szCs w:val="24"/>
        </w:rPr>
        <w:t xml:space="preserve"> (a) All animals; (b) Pig; (c) Dairy cattle; (d) Beef cattle; (e) Chicken; (f) Sheep/goat</w:t>
      </w:r>
      <w:r w:rsidRPr="00BA583D">
        <w:rPr>
          <w:rFonts w:cs="Times New Roman"/>
          <w:b/>
          <w:sz w:val="24"/>
          <w:szCs w:val="24"/>
        </w:rPr>
        <w:t>.</w:t>
      </w:r>
    </w:p>
    <w:p w14:paraId="50C0DDDE" w14:textId="77777777" w:rsidR="007869E8" w:rsidRPr="00BA583D" w:rsidRDefault="007869E8" w:rsidP="007869E8">
      <w:pPr>
        <w:adjustRightInd w:val="0"/>
        <w:snapToGrid w:val="0"/>
        <w:jc w:val="left"/>
        <w:rPr>
          <w:rFonts w:cs="Times New Roman"/>
          <w:sz w:val="24"/>
          <w:szCs w:val="24"/>
        </w:rPr>
      </w:pPr>
    </w:p>
    <w:p w14:paraId="39C24BE6" w14:textId="0FFABEA1" w:rsidR="00F46505" w:rsidRPr="00BA583D" w:rsidRDefault="00F46505" w:rsidP="00F46505">
      <w:pPr>
        <w:adjustRightInd w:val="0"/>
        <w:snapToGrid w:val="0"/>
        <w:jc w:val="center"/>
        <w:rPr>
          <w:rFonts w:cs="Times New Roman"/>
          <w:sz w:val="24"/>
          <w:szCs w:val="24"/>
        </w:rPr>
      </w:pPr>
      <w:r w:rsidRPr="00BA583D">
        <w:rPr>
          <w:rFonts w:cs="Times New Roman"/>
          <w:noProof/>
          <w:sz w:val="24"/>
          <w:szCs w:val="24"/>
        </w:rPr>
        <w:lastRenderedPageBreak/>
        <w:drawing>
          <wp:inline distT="0" distB="0" distL="0" distR="0" wp14:anchorId="48952C22" wp14:editId="08884B69">
            <wp:extent cx="3155056" cy="320040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2555" cy="3208007"/>
                    </a:xfrm>
                    <a:prstGeom prst="rect">
                      <a:avLst/>
                    </a:prstGeom>
                    <a:noFill/>
                    <a:ln>
                      <a:noFill/>
                    </a:ln>
                  </pic:spPr>
                </pic:pic>
              </a:graphicData>
            </a:graphic>
          </wp:inline>
        </w:drawing>
      </w:r>
    </w:p>
    <w:p w14:paraId="216FCE94" w14:textId="7607B8DD" w:rsidR="00F46505" w:rsidRPr="00BA583D" w:rsidRDefault="00F46505" w:rsidP="00E611F0">
      <w:pPr>
        <w:pStyle w:val="4"/>
      </w:pPr>
      <w:r w:rsidRPr="00BA583D">
        <w:t>Fig. S</w:t>
      </w:r>
      <w:r w:rsidR="00B95B51" w:rsidRPr="00BA583D">
        <w:t>5</w:t>
      </w:r>
      <w:r w:rsidRPr="00BA583D">
        <w:t xml:space="preserve"> Ammonia emission</w:t>
      </w:r>
      <w:r w:rsidR="0097223A" w:rsidRPr="00BA583D">
        <w:t>s by</w:t>
      </w:r>
      <w:r w:rsidRPr="00BA583D">
        <w:t xml:space="preserve"> </w:t>
      </w:r>
      <w:r w:rsidR="0097223A" w:rsidRPr="00BA583D">
        <w:t>cropping system</w:t>
      </w:r>
      <w:r w:rsidRPr="00BA583D">
        <w:t xml:space="preserve"> in 2017</w:t>
      </w:r>
      <w:r w:rsidR="00E611F0">
        <w:t>.</w:t>
      </w:r>
    </w:p>
    <w:p w14:paraId="0FAF59CC" w14:textId="7FC5C545" w:rsidR="00DF14A5" w:rsidRPr="00BA583D" w:rsidRDefault="00DF14A5" w:rsidP="0051329D">
      <w:pPr>
        <w:adjustRightInd w:val="0"/>
        <w:snapToGrid w:val="0"/>
        <w:rPr>
          <w:rFonts w:cs="Times New Roman"/>
          <w:sz w:val="24"/>
          <w:szCs w:val="24"/>
        </w:rPr>
      </w:pPr>
      <w:r w:rsidRPr="00BA583D">
        <w:rPr>
          <w:rFonts w:cs="Times New Roman"/>
          <w:sz w:val="24"/>
          <w:szCs w:val="24"/>
        </w:rPr>
        <w:br w:type="page"/>
      </w:r>
    </w:p>
    <w:p w14:paraId="7128F155" w14:textId="145478CE" w:rsidR="007C0B80" w:rsidRPr="00BA583D" w:rsidRDefault="00237761" w:rsidP="00F32DD6">
      <w:pPr>
        <w:adjustRightInd w:val="0"/>
        <w:snapToGrid w:val="0"/>
        <w:jc w:val="center"/>
        <w:rPr>
          <w:rFonts w:cs="Times New Roman"/>
          <w:sz w:val="24"/>
          <w:szCs w:val="24"/>
        </w:rPr>
      </w:pPr>
      <w:r w:rsidRPr="00BA583D">
        <w:rPr>
          <w:rFonts w:cs="Times New Roman"/>
          <w:noProof/>
          <w:sz w:val="24"/>
          <w:szCs w:val="24"/>
        </w:rPr>
        <w:lastRenderedPageBreak/>
        <w:drawing>
          <wp:inline distT="0" distB="0" distL="0" distR="0" wp14:anchorId="1D002AC8" wp14:editId="140FA5F6">
            <wp:extent cx="4746929" cy="3448162"/>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2884" cy="3452488"/>
                    </a:xfrm>
                    <a:prstGeom prst="rect">
                      <a:avLst/>
                    </a:prstGeom>
                    <a:noFill/>
                    <a:ln>
                      <a:noFill/>
                    </a:ln>
                  </pic:spPr>
                </pic:pic>
              </a:graphicData>
            </a:graphic>
          </wp:inline>
        </w:drawing>
      </w:r>
    </w:p>
    <w:p w14:paraId="7814F033" w14:textId="4C4D7AAF" w:rsidR="00DF14A5" w:rsidRPr="0066384E" w:rsidRDefault="00701578" w:rsidP="0066384E">
      <w:pPr>
        <w:pStyle w:val="4"/>
        <w:rPr>
          <w:rFonts w:eastAsia="宋体" w:cs="Times New Roman"/>
          <w:szCs w:val="24"/>
        </w:rPr>
      </w:pPr>
      <w:bookmarkStart w:id="12" w:name="_Toc72941980"/>
      <w:r w:rsidRPr="00BA583D">
        <w:t>Fig. S</w:t>
      </w:r>
      <w:r w:rsidR="00B95B51" w:rsidRPr="00BA583D">
        <w:t>6</w:t>
      </w:r>
      <w:r w:rsidR="007C0B80" w:rsidRPr="00BA583D">
        <w:t xml:space="preserve"> </w:t>
      </w:r>
      <w:bookmarkStart w:id="13" w:name="_Hlk111307747"/>
      <w:bookmarkEnd w:id="12"/>
      <w:r w:rsidR="007C0B80" w:rsidRPr="00BA583D">
        <w:t>Proportion of manure treatment</w:t>
      </w:r>
      <w:bookmarkEnd w:id="13"/>
      <w:r w:rsidR="007C0B80" w:rsidRPr="00BA583D">
        <w:t xml:space="preserve"> methods of different animals</w:t>
      </w:r>
      <w:r w:rsidR="00DA5659" w:rsidRPr="00BA583D">
        <w:t xml:space="preserve"> in intensive</w:t>
      </w:r>
      <w:r w:rsidR="007C0B80" w:rsidRPr="00BA583D">
        <w:t xml:space="preserve"> in China</w:t>
      </w:r>
      <w:r w:rsidR="00E611F0">
        <w:t>.</w:t>
      </w:r>
      <w:r w:rsidR="00DF14A5" w:rsidRPr="00BA583D">
        <w:rPr>
          <w:rFonts w:eastAsia="宋体" w:cs="Times New Roman"/>
          <w:szCs w:val="24"/>
        </w:rPr>
        <w:br w:type="page"/>
      </w:r>
    </w:p>
    <w:p w14:paraId="75BE04ED" w14:textId="6E0E07CE" w:rsidR="000E583E" w:rsidRPr="00BA583D" w:rsidRDefault="000E583E" w:rsidP="00DB49B7">
      <w:pPr>
        <w:adjustRightInd w:val="0"/>
        <w:snapToGrid w:val="0"/>
        <w:jc w:val="center"/>
        <w:rPr>
          <w:rFonts w:cs="Times New Roman"/>
          <w:sz w:val="24"/>
          <w:szCs w:val="24"/>
        </w:rPr>
      </w:pPr>
      <w:r w:rsidRPr="00BA583D">
        <w:rPr>
          <w:rFonts w:cs="Times New Roman"/>
          <w:noProof/>
          <w:sz w:val="24"/>
          <w:szCs w:val="24"/>
        </w:rPr>
        <w:lastRenderedPageBreak/>
        <w:drawing>
          <wp:inline distT="0" distB="0" distL="0" distR="0" wp14:anchorId="0C9573B6" wp14:editId="5C84BE6B">
            <wp:extent cx="5149970" cy="2841192"/>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59427" cy="2846409"/>
                    </a:xfrm>
                    <a:prstGeom prst="rect">
                      <a:avLst/>
                    </a:prstGeom>
                    <a:noFill/>
                    <a:ln>
                      <a:noFill/>
                    </a:ln>
                  </pic:spPr>
                </pic:pic>
              </a:graphicData>
            </a:graphic>
          </wp:inline>
        </w:drawing>
      </w:r>
    </w:p>
    <w:p w14:paraId="2B4E6565" w14:textId="686BD524" w:rsidR="00DE56A6" w:rsidRPr="00BA583D" w:rsidRDefault="00DE56A6" w:rsidP="000E583E">
      <w:pPr>
        <w:adjustRightInd w:val="0"/>
        <w:snapToGrid w:val="0"/>
        <w:jc w:val="left"/>
        <w:rPr>
          <w:rFonts w:cs="Times New Roman"/>
          <w:sz w:val="24"/>
          <w:szCs w:val="24"/>
        </w:rPr>
      </w:pPr>
      <w:r w:rsidRPr="00BA583D">
        <w:rPr>
          <w:rFonts w:cs="Times New Roman"/>
          <w:b/>
          <w:sz w:val="24"/>
          <w:szCs w:val="24"/>
        </w:rPr>
        <w:t>Fig</w:t>
      </w:r>
      <w:r w:rsidR="004D7B05" w:rsidRPr="00BA583D">
        <w:rPr>
          <w:rFonts w:cs="Times New Roman"/>
          <w:b/>
          <w:sz w:val="24"/>
          <w:szCs w:val="24"/>
        </w:rPr>
        <w:t>.</w:t>
      </w:r>
      <w:r w:rsidRPr="00BA583D">
        <w:rPr>
          <w:rFonts w:cs="Times New Roman"/>
          <w:b/>
          <w:sz w:val="24"/>
          <w:szCs w:val="24"/>
        </w:rPr>
        <w:t xml:space="preserve"> S</w:t>
      </w:r>
      <w:r w:rsidR="0066384E">
        <w:rPr>
          <w:rFonts w:cs="Times New Roman"/>
          <w:b/>
          <w:sz w:val="24"/>
          <w:szCs w:val="24"/>
        </w:rPr>
        <w:t>7</w:t>
      </w:r>
      <w:r w:rsidRPr="004C3573">
        <w:rPr>
          <w:rFonts w:cs="Times New Roman"/>
          <w:b/>
          <w:bCs/>
          <w:sz w:val="24"/>
          <w:szCs w:val="24"/>
        </w:rPr>
        <w:t xml:space="preserve"> </w:t>
      </w:r>
      <w:r w:rsidR="004D7B05" w:rsidRPr="004C3573">
        <w:rPr>
          <w:rFonts w:cs="Times New Roman"/>
          <w:b/>
          <w:bCs/>
          <w:sz w:val="24"/>
          <w:szCs w:val="24"/>
        </w:rPr>
        <w:t>T</w:t>
      </w:r>
      <w:r w:rsidRPr="004C3573">
        <w:rPr>
          <w:rFonts w:cs="Times New Roman"/>
          <w:b/>
          <w:bCs/>
          <w:sz w:val="24"/>
          <w:szCs w:val="24"/>
        </w:rPr>
        <w:t>he time series and spatial distribution of PM</w:t>
      </w:r>
      <w:r w:rsidRPr="004C3573">
        <w:rPr>
          <w:rFonts w:cs="Times New Roman"/>
          <w:b/>
          <w:bCs/>
          <w:sz w:val="24"/>
          <w:szCs w:val="24"/>
          <w:vertAlign w:val="subscript"/>
        </w:rPr>
        <w:t>2.5</w:t>
      </w:r>
      <w:r w:rsidRPr="004C3573">
        <w:rPr>
          <w:rFonts w:cs="Times New Roman"/>
          <w:b/>
          <w:bCs/>
          <w:sz w:val="24"/>
          <w:szCs w:val="24"/>
        </w:rPr>
        <w:t xml:space="preserve"> concentrations in January and July in North China Plain and observed by the model.</w:t>
      </w:r>
    </w:p>
    <w:p w14:paraId="71961B1D" w14:textId="3308515B" w:rsidR="004D7B05" w:rsidRPr="00BA583D" w:rsidRDefault="004D7B05" w:rsidP="000E583E">
      <w:pPr>
        <w:adjustRightInd w:val="0"/>
        <w:snapToGrid w:val="0"/>
        <w:jc w:val="left"/>
        <w:rPr>
          <w:rFonts w:cs="Times New Roman"/>
          <w:sz w:val="24"/>
          <w:szCs w:val="24"/>
        </w:rPr>
      </w:pPr>
      <w:r w:rsidRPr="00BA583D">
        <w:rPr>
          <w:rFonts w:cs="Times New Roman"/>
          <w:sz w:val="24"/>
          <w:szCs w:val="24"/>
        </w:rPr>
        <w:br w:type="page"/>
      </w:r>
    </w:p>
    <w:p w14:paraId="15D20173" w14:textId="67B6BB44" w:rsidR="00E611F0" w:rsidRPr="00BA583D" w:rsidRDefault="00E611F0" w:rsidP="00907807">
      <w:pPr>
        <w:adjustRightInd w:val="0"/>
        <w:snapToGrid w:val="0"/>
        <w:jc w:val="center"/>
        <w:rPr>
          <w:rFonts w:cs="Times New Roman"/>
          <w:sz w:val="24"/>
          <w:szCs w:val="24"/>
        </w:rPr>
      </w:pPr>
      <w:bookmarkStart w:id="14" w:name="OLE_LINK22"/>
      <w:r w:rsidRPr="00E611F0">
        <w:rPr>
          <w:rFonts w:hint="eastAsia"/>
          <w:noProof/>
        </w:rPr>
        <w:lastRenderedPageBreak/>
        <w:drawing>
          <wp:inline distT="0" distB="0" distL="0" distR="0" wp14:anchorId="4828BF11" wp14:editId="52C65D68">
            <wp:extent cx="5423834" cy="47910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24534" cy="4791693"/>
                    </a:xfrm>
                    <a:prstGeom prst="rect">
                      <a:avLst/>
                    </a:prstGeom>
                    <a:noFill/>
                    <a:ln>
                      <a:noFill/>
                    </a:ln>
                  </pic:spPr>
                </pic:pic>
              </a:graphicData>
            </a:graphic>
          </wp:inline>
        </w:drawing>
      </w:r>
    </w:p>
    <w:p w14:paraId="1E0C37A5" w14:textId="6B14A088" w:rsidR="00907807" w:rsidRPr="00BA583D" w:rsidRDefault="00907807" w:rsidP="007869E8">
      <w:pPr>
        <w:adjustRightInd w:val="0"/>
        <w:snapToGrid w:val="0"/>
        <w:jc w:val="left"/>
        <w:rPr>
          <w:rFonts w:cs="Times New Roman"/>
          <w:sz w:val="24"/>
          <w:szCs w:val="24"/>
        </w:rPr>
      </w:pPr>
      <w:r w:rsidRPr="00BA583D">
        <w:rPr>
          <w:rFonts w:cs="Times New Roman"/>
          <w:b/>
          <w:sz w:val="24"/>
          <w:szCs w:val="24"/>
        </w:rPr>
        <w:t>Fig. S</w:t>
      </w:r>
      <w:r w:rsidR="0066384E">
        <w:rPr>
          <w:rFonts w:cs="Times New Roman"/>
          <w:b/>
          <w:sz w:val="24"/>
          <w:szCs w:val="24"/>
        </w:rPr>
        <w:t>8</w:t>
      </w:r>
      <w:r w:rsidRPr="00BA583D">
        <w:rPr>
          <w:rFonts w:cs="Times New Roman"/>
          <w:b/>
          <w:sz w:val="24"/>
          <w:szCs w:val="24"/>
        </w:rPr>
        <w:t xml:space="preserve"> Verification of emission inventory by isotopic traceability. </w:t>
      </w:r>
      <w:r w:rsidRPr="00BA583D">
        <w:rPr>
          <w:rFonts w:cs="Times New Roman"/>
          <w:sz w:val="24"/>
          <w:szCs w:val="24"/>
        </w:rPr>
        <w:t xml:space="preserve">(a) </w:t>
      </w:r>
      <w:r w:rsidR="00EB3164" w:rsidRPr="00BA583D">
        <w:rPr>
          <w:rFonts w:cs="Times New Roman"/>
          <w:sz w:val="24"/>
          <w:szCs w:val="24"/>
        </w:rPr>
        <w:t>a</w:t>
      </w:r>
      <w:r w:rsidRPr="00BA583D">
        <w:rPr>
          <w:rFonts w:cs="Times New Roman"/>
          <w:sz w:val="24"/>
          <w:szCs w:val="24"/>
        </w:rPr>
        <w:t xml:space="preserve">gricultural sources; (b) Industrial sources; (c) Other </w:t>
      </w:r>
      <w:bookmarkStart w:id="15" w:name="_Hlk111308505"/>
      <w:r w:rsidRPr="00BA583D">
        <w:rPr>
          <w:rFonts w:cs="Times New Roman"/>
          <w:sz w:val="24"/>
          <w:szCs w:val="24"/>
        </w:rPr>
        <w:t>sources</w:t>
      </w:r>
      <w:bookmarkEnd w:id="14"/>
      <w:bookmarkEnd w:id="15"/>
    </w:p>
    <w:p w14:paraId="5C921AC6" w14:textId="5D726631" w:rsidR="004D7B05" w:rsidRPr="00BA583D" w:rsidRDefault="004D7B05" w:rsidP="007869E8">
      <w:pPr>
        <w:adjustRightInd w:val="0"/>
        <w:snapToGrid w:val="0"/>
        <w:jc w:val="left"/>
        <w:rPr>
          <w:rFonts w:cs="Times New Roman"/>
          <w:sz w:val="24"/>
          <w:szCs w:val="24"/>
        </w:rPr>
      </w:pPr>
      <w:r w:rsidRPr="00BA583D">
        <w:rPr>
          <w:rFonts w:cs="Times New Roman"/>
          <w:sz w:val="24"/>
          <w:szCs w:val="24"/>
        </w:rPr>
        <w:br w:type="page"/>
      </w:r>
    </w:p>
    <w:p w14:paraId="7B47EB95" w14:textId="77777777" w:rsidR="009460C2" w:rsidRPr="00BA583D" w:rsidRDefault="009460C2" w:rsidP="009460C2">
      <w:pPr>
        <w:adjustRightInd w:val="0"/>
        <w:snapToGrid w:val="0"/>
        <w:jc w:val="center"/>
        <w:rPr>
          <w:rFonts w:cs="Times New Roman"/>
          <w:sz w:val="24"/>
          <w:szCs w:val="24"/>
        </w:rPr>
      </w:pPr>
      <w:r w:rsidRPr="00BA583D">
        <w:rPr>
          <w:rFonts w:cs="Times New Roman"/>
          <w:noProof/>
          <w:sz w:val="24"/>
          <w:szCs w:val="24"/>
        </w:rPr>
        <w:lastRenderedPageBreak/>
        <w:drawing>
          <wp:inline distT="0" distB="0" distL="0" distR="0" wp14:anchorId="6F12AD8D" wp14:editId="3A98EA77">
            <wp:extent cx="2874873" cy="4389120"/>
            <wp:effectExtent l="0" t="0" r="1905" b="0"/>
            <wp:docPr id="17" name="图片 17"/>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8184" cy="4394175"/>
                    </a:xfrm>
                    <a:prstGeom prst="rect">
                      <a:avLst/>
                    </a:prstGeom>
                    <a:noFill/>
                    <a:ln>
                      <a:noFill/>
                    </a:ln>
                  </pic:spPr>
                </pic:pic>
              </a:graphicData>
            </a:graphic>
          </wp:inline>
        </w:drawing>
      </w:r>
    </w:p>
    <w:p w14:paraId="1125B80E" w14:textId="134E8B06" w:rsidR="009460C2" w:rsidRPr="00BA583D" w:rsidRDefault="009460C2" w:rsidP="001775B4">
      <w:pPr>
        <w:adjustRightInd w:val="0"/>
        <w:snapToGrid w:val="0"/>
        <w:jc w:val="left"/>
        <w:rPr>
          <w:rFonts w:cs="Times New Roman"/>
          <w:sz w:val="24"/>
          <w:szCs w:val="24"/>
        </w:rPr>
      </w:pPr>
      <w:r w:rsidRPr="001775B4">
        <w:rPr>
          <w:rFonts w:cs="Times New Roman"/>
          <w:b/>
          <w:bCs/>
          <w:sz w:val="24"/>
          <w:szCs w:val="24"/>
        </w:rPr>
        <w:t>Fig.S</w:t>
      </w:r>
      <w:r w:rsidR="0066384E" w:rsidRPr="001775B4">
        <w:rPr>
          <w:rFonts w:cs="Times New Roman"/>
          <w:b/>
          <w:bCs/>
          <w:sz w:val="24"/>
          <w:szCs w:val="24"/>
        </w:rPr>
        <w:t>9</w:t>
      </w:r>
      <w:r w:rsidRPr="001775B4">
        <w:rPr>
          <w:rFonts w:cs="Times New Roman"/>
          <w:b/>
          <w:bCs/>
          <w:sz w:val="24"/>
          <w:szCs w:val="24"/>
        </w:rPr>
        <w:t xml:space="preserve"> Comparison</w:t>
      </w:r>
      <w:r w:rsidR="004D7B05" w:rsidRPr="001775B4">
        <w:rPr>
          <w:rFonts w:cs="Times New Roman"/>
          <w:b/>
          <w:bCs/>
          <w:sz w:val="24"/>
          <w:szCs w:val="24"/>
        </w:rPr>
        <w:t xml:space="preserve"> of the process model simulation</w:t>
      </w:r>
      <w:r w:rsidRPr="001775B4">
        <w:rPr>
          <w:rFonts w:cs="Times New Roman"/>
          <w:b/>
          <w:bCs/>
          <w:sz w:val="24"/>
          <w:szCs w:val="24"/>
        </w:rPr>
        <w:t xml:space="preserve"> </w:t>
      </w:r>
      <w:r w:rsidR="004D7B05" w:rsidRPr="001775B4">
        <w:rPr>
          <w:rFonts w:cs="Times New Roman"/>
          <w:b/>
          <w:bCs/>
          <w:sz w:val="24"/>
          <w:szCs w:val="24"/>
        </w:rPr>
        <w:t xml:space="preserve">and emission inventory method </w:t>
      </w:r>
      <w:r w:rsidR="002337BE" w:rsidRPr="001775B4">
        <w:rPr>
          <w:rFonts w:cs="Times New Roman"/>
          <w:b/>
          <w:bCs/>
          <w:sz w:val="24"/>
          <w:szCs w:val="24"/>
        </w:rPr>
        <w:t>at</w:t>
      </w:r>
      <w:r w:rsidRPr="001775B4">
        <w:rPr>
          <w:rFonts w:cs="Times New Roman"/>
          <w:b/>
          <w:bCs/>
          <w:sz w:val="24"/>
          <w:szCs w:val="24"/>
        </w:rPr>
        <w:t xml:space="preserve"> city</w:t>
      </w:r>
      <w:r w:rsidR="004D7B05" w:rsidRPr="001775B4">
        <w:rPr>
          <w:rFonts w:cs="Times New Roman"/>
          <w:b/>
          <w:bCs/>
          <w:sz w:val="24"/>
          <w:szCs w:val="24"/>
        </w:rPr>
        <w:t xml:space="preserve"> level.</w:t>
      </w:r>
      <w:r w:rsidR="001775B4">
        <w:rPr>
          <w:rFonts w:cs="Times New Roman"/>
          <w:sz w:val="24"/>
          <w:szCs w:val="24"/>
        </w:rPr>
        <w:t xml:space="preserve"> </w:t>
      </w:r>
      <w:r w:rsidR="001775B4" w:rsidRPr="001775B4">
        <w:rPr>
          <w:rFonts w:cs="Times New Roman"/>
          <w:sz w:val="24"/>
          <w:szCs w:val="24"/>
        </w:rPr>
        <w:t>Red bar graphs indicate lower than the process model</w:t>
      </w:r>
      <w:r w:rsidR="001775B4" w:rsidRPr="001775B4">
        <w:t xml:space="preserve"> </w:t>
      </w:r>
      <w:r w:rsidR="001775B4" w:rsidRPr="001775B4">
        <w:rPr>
          <w:rFonts w:cs="Times New Roman"/>
          <w:sz w:val="24"/>
          <w:szCs w:val="24"/>
        </w:rPr>
        <w:t>simulation, on the contrary blue is indicating higher</w:t>
      </w:r>
      <w:r w:rsidR="001775B4">
        <w:rPr>
          <w:rFonts w:cs="Times New Roman"/>
          <w:sz w:val="24"/>
          <w:szCs w:val="24"/>
        </w:rPr>
        <w:t>.</w:t>
      </w:r>
      <w:r w:rsidR="001775B4">
        <w:rPr>
          <w:rFonts w:cs="Times New Roman"/>
          <w:szCs w:val="24"/>
        </w:rPr>
        <w:t xml:space="preserve"> </w:t>
      </w:r>
      <w:r w:rsidR="001775B4" w:rsidRPr="00AF171E">
        <w:rPr>
          <w:rFonts w:cs="Times New Roman"/>
          <w:szCs w:val="24"/>
        </w:rPr>
        <w:t>Acronyms for 31 provinces, autonomous regions, and municipalities directly under the Central Government are listed in Table S</w:t>
      </w:r>
      <w:r w:rsidR="001775B4">
        <w:rPr>
          <w:rFonts w:cs="Times New Roman"/>
          <w:szCs w:val="24"/>
        </w:rPr>
        <w:t>1</w:t>
      </w:r>
      <w:r w:rsidR="001775B4" w:rsidRPr="00AF171E">
        <w:rPr>
          <w:rFonts w:cs="Times New Roman"/>
          <w:szCs w:val="24"/>
        </w:rPr>
        <w:t>.</w:t>
      </w:r>
    </w:p>
    <w:p w14:paraId="1B715165" w14:textId="4A936BEE" w:rsidR="004D7B05" w:rsidRPr="00BA583D" w:rsidRDefault="004D7B05" w:rsidP="00EA34DC">
      <w:pPr>
        <w:adjustRightInd w:val="0"/>
        <w:snapToGrid w:val="0"/>
        <w:rPr>
          <w:rFonts w:cs="Times New Roman"/>
          <w:sz w:val="24"/>
          <w:szCs w:val="24"/>
        </w:rPr>
      </w:pPr>
      <w:r w:rsidRPr="00BA583D">
        <w:rPr>
          <w:rFonts w:cs="Times New Roman"/>
          <w:sz w:val="24"/>
          <w:szCs w:val="24"/>
        </w:rPr>
        <w:br w:type="page"/>
      </w:r>
    </w:p>
    <w:p w14:paraId="3CE6BF5B" w14:textId="19EC61BE" w:rsidR="009460C2" w:rsidRPr="00BA583D" w:rsidRDefault="004C2045" w:rsidP="00DB49B7">
      <w:pPr>
        <w:adjustRightInd w:val="0"/>
        <w:snapToGrid w:val="0"/>
        <w:jc w:val="center"/>
        <w:rPr>
          <w:rFonts w:cs="Times New Roman"/>
          <w:sz w:val="24"/>
          <w:szCs w:val="24"/>
        </w:rPr>
      </w:pPr>
      <w:r w:rsidRPr="00BA583D">
        <w:rPr>
          <w:rFonts w:cs="Times New Roman"/>
          <w:noProof/>
          <w:sz w:val="24"/>
          <w:szCs w:val="24"/>
        </w:rPr>
        <w:lastRenderedPageBreak/>
        <w:drawing>
          <wp:inline distT="0" distB="0" distL="0" distR="0" wp14:anchorId="09D3C008" wp14:editId="65BD1997">
            <wp:extent cx="5295900" cy="2467508"/>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565"/>
                    <a:stretch/>
                  </pic:blipFill>
                  <pic:spPr bwMode="auto">
                    <a:xfrm>
                      <a:off x="0" y="0"/>
                      <a:ext cx="5355665" cy="2495354"/>
                    </a:xfrm>
                    <a:prstGeom prst="rect">
                      <a:avLst/>
                    </a:prstGeom>
                    <a:noFill/>
                    <a:ln>
                      <a:noFill/>
                    </a:ln>
                    <a:extLst>
                      <a:ext uri="{53640926-AAD7-44D8-BBD7-CCE9431645EC}">
                        <a14:shadowObscured xmlns:a14="http://schemas.microsoft.com/office/drawing/2010/main"/>
                      </a:ext>
                    </a:extLst>
                  </pic:spPr>
                </pic:pic>
              </a:graphicData>
            </a:graphic>
          </wp:inline>
        </w:drawing>
      </w:r>
    </w:p>
    <w:p w14:paraId="6C5BE375" w14:textId="13772A17" w:rsidR="004D7B05" w:rsidRPr="00BA583D" w:rsidRDefault="00224515" w:rsidP="0066384E">
      <w:pPr>
        <w:adjustRightInd w:val="0"/>
        <w:snapToGrid w:val="0"/>
        <w:jc w:val="left"/>
        <w:rPr>
          <w:rFonts w:cs="Times New Roman"/>
          <w:sz w:val="24"/>
          <w:szCs w:val="24"/>
        </w:rPr>
      </w:pPr>
      <w:r w:rsidRPr="0066384E">
        <w:rPr>
          <w:rFonts w:cs="Times New Roman"/>
          <w:b/>
          <w:bCs/>
          <w:sz w:val="24"/>
          <w:szCs w:val="24"/>
        </w:rPr>
        <w:t>Fig.S</w:t>
      </w:r>
      <w:r w:rsidR="00B95B51" w:rsidRPr="0066384E">
        <w:rPr>
          <w:rFonts w:cs="Times New Roman"/>
          <w:b/>
          <w:bCs/>
          <w:sz w:val="24"/>
          <w:szCs w:val="24"/>
        </w:rPr>
        <w:t>1</w:t>
      </w:r>
      <w:r w:rsidR="0066384E" w:rsidRPr="0066384E">
        <w:rPr>
          <w:rFonts w:cs="Times New Roman"/>
          <w:b/>
          <w:bCs/>
          <w:sz w:val="24"/>
          <w:szCs w:val="24"/>
        </w:rPr>
        <w:t>0</w:t>
      </w:r>
      <w:r w:rsidR="00B95B51" w:rsidRPr="0066384E">
        <w:rPr>
          <w:rFonts w:cs="Times New Roman"/>
          <w:b/>
          <w:bCs/>
          <w:sz w:val="24"/>
          <w:szCs w:val="24"/>
        </w:rPr>
        <w:t xml:space="preserve"> </w:t>
      </w:r>
      <w:r w:rsidR="004D7B05" w:rsidRPr="0066384E">
        <w:rPr>
          <w:rFonts w:cs="Times New Roman"/>
          <w:b/>
          <w:bCs/>
          <w:sz w:val="24"/>
          <w:szCs w:val="24"/>
        </w:rPr>
        <w:t>Compare the spatial distribution of the process model simulation and emission inventory method in 1km.</w:t>
      </w:r>
      <w:r w:rsidR="0066384E">
        <w:rPr>
          <w:rFonts w:cs="Times New Roman"/>
          <w:sz w:val="24"/>
          <w:szCs w:val="24"/>
        </w:rPr>
        <w:t xml:space="preserve"> </w:t>
      </w:r>
      <w:r w:rsidR="0066384E">
        <w:rPr>
          <w:rFonts w:cs="Times New Roman"/>
          <w:szCs w:val="24"/>
        </w:rPr>
        <w:t>(a)</w:t>
      </w:r>
      <w:r w:rsidR="0066384E" w:rsidRPr="00BA583D">
        <w:rPr>
          <w:rFonts w:cs="Times New Roman"/>
          <w:sz w:val="24"/>
          <w:szCs w:val="24"/>
        </w:rPr>
        <w:t xml:space="preserve"> </w:t>
      </w:r>
      <w:r w:rsidR="0066384E">
        <w:rPr>
          <w:rFonts w:cs="Times New Roman"/>
          <w:sz w:val="24"/>
          <w:szCs w:val="24"/>
        </w:rPr>
        <w:t>T</w:t>
      </w:r>
      <w:r w:rsidR="0066384E" w:rsidRPr="00BA583D">
        <w:rPr>
          <w:rFonts w:cs="Times New Roman"/>
          <w:sz w:val="24"/>
          <w:szCs w:val="24"/>
        </w:rPr>
        <w:t>he spatial distribution</w:t>
      </w:r>
      <w:r w:rsidR="0066384E">
        <w:rPr>
          <w:rFonts w:cs="Times New Roman"/>
          <w:sz w:val="24"/>
          <w:szCs w:val="24"/>
        </w:rPr>
        <w:t xml:space="preserve"> of </w:t>
      </w:r>
      <w:r w:rsidR="0066384E" w:rsidRPr="00BA583D">
        <w:rPr>
          <w:rFonts w:cs="Times New Roman"/>
          <w:sz w:val="24"/>
          <w:szCs w:val="24"/>
        </w:rPr>
        <w:t>emission inventory method</w:t>
      </w:r>
      <w:r w:rsidR="0066384E">
        <w:rPr>
          <w:rFonts w:cs="Times New Roman"/>
          <w:sz w:val="24"/>
          <w:szCs w:val="24"/>
        </w:rPr>
        <w:t>;</w:t>
      </w:r>
      <w:r w:rsidR="0066384E" w:rsidRPr="00EB1767">
        <w:rPr>
          <w:rFonts w:cs="Times New Roman"/>
          <w:bCs/>
          <w:szCs w:val="24"/>
        </w:rPr>
        <w:t xml:space="preserve"> (b)</w:t>
      </w:r>
      <w:r w:rsidR="0066384E" w:rsidRPr="0066384E">
        <w:rPr>
          <w:rFonts w:cs="Times New Roman"/>
          <w:sz w:val="24"/>
          <w:szCs w:val="24"/>
        </w:rPr>
        <w:t xml:space="preserve"> </w:t>
      </w:r>
      <w:r w:rsidR="0066384E">
        <w:rPr>
          <w:rFonts w:cs="Times New Roman"/>
          <w:sz w:val="24"/>
          <w:szCs w:val="24"/>
        </w:rPr>
        <w:t>T</w:t>
      </w:r>
      <w:r w:rsidR="0066384E" w:rsidRPr="00BA583D">
        <w:rPr>
          <w:rFonts w:cs="Times New Roman"/>
          <w:sz w:val="24"/>
          <w:szCs w:val="24"/>
        </w:rPr>
        <w:t>he spatial distribution</w:t>
      </w:r>
      <w:r w:rsidR="0066384E">
        <w:rPr>
          <w:rFonts w:cs="Times New Roman"/>
          <w:sz w:val="24"/>
          <w:szCs w:val="24"/>
        </w:rPr>
        <w:t xml:space="preserve"> of </w:t>
      </w:r>
      <w:r w:rsidR="0066384E" w:rsidRPr="00BA583D">
        <w:rPr>
          <w:rFonts w:cs="Times New Roman"/>
          <w:sz w:val="24"/>
          <w:szCs w:val="24"/>
        </w:rPr>
        <w:t>process model simulation</w:t>
      </w:r>
      <w:r w:rsidR="0066384E">
        <w:rPr>
          <w:rFonts w:cs="Times New Roman"/>
          <w:sz w:val="24"/>
          <w:szCs w:val="24"/>
        </w:rPr>
        <w:t>.</w:t>
      </w:r>
    </w:p>
    <w:p w14:paraId="4AEE5A30" w14:textId="5F19539A" w:rsidR="004D7B05" w:rsidRPr="00BA583D" w:rsidRDefault="004D7B05" w:rsidP="007869E8">
      <w:pPr>
        <w:adjustRightInd w:val="0"/>
        <w:snapToGrid w:val="0"/>
        <w:jc w:val="left"/>
        <w:rPr>
          <w:rFonts w:cs="Times New Roman"/>
          <w:sz w:val="24"/>
          <w:szCs w:val="24"/>
        </w:rPr>
      </w:pPr>
      <w:r w:rsidRPr="00BA583D">
        <w:rPr>
          <w:rFonts w:cs="Times New Roman"/>
          <w:sz w:val="24"/>
          <w:szCs w:val="24"/>
        </w:rPr>
        <w:br w:type="page"/>
      </w:r>
    </w:p>
    <w:p w14:paraId="70AF1D19" w14:textId="16B85BF9" w:rsidR="004D7B05" w:rsidRPr="00BA583D" w:rsidRDefault="004D7B05" w:rsidP="007B1AB5">
      <w:pPr>
        <w:adjustRightInd w:val="0"/>
        <w:snapToGrid w:val="0"/>
        <w:jc w:val="center"/>
        <w:rPr>
          <w:rFonts w:cs="Times New Roman"/>
          <w:sz w:val="24"/>
          <w:szCs w:val="24"/>
        </w:rPr>
      </w:pPr>
      <w:r w:rsidRPr="00BA583D">
        <w:rPr>
          <w:rFonts w:cs="Times New Roman"/>
          <w:noProof/>
          <w:sz w:val="24"/>
          <w:szCs w:val="24"/>
        </w:rPr>
        <w:lastRenderedPageBreak/>
        <w:drawing>
          <wp:inline distT="0" distB="0" distL="0" distR="0" wp14:anchorId="05352E13" wp14:editId="741911F6">
            <wp:extent cx="5274310" cy="1920522"/>
            <wp:effectExtent l="0" t="0" r="2540" b="381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310" cy="1920522"/>
                    </a:xfrm>
                    <a:prstGeom prst="rect">
                      <a:avLst/>
                    </a:prstGeom>
                    <a:noFill/>
                    <a:ln>
                      <a:noFill/>
                    </a:ln>
                  </pic:spPr>
                </pic:pic>
              </a:graphicData>
            </a:graphic>
          </wp:inline>
        </w:drawing>
      </w:r>
    </w:p>
    <w:p w14:paraId="22AB1744" w14:textId="5D96717F" w:rsidR="00953CFA" w:rsidRPr="00BA583D" w:rsidRDefault="00953CFA" w:rsidP="00953CFA">
      <w:pPr>
        <w:adjustRightInd w:val="0"/>
        <w:snapToGrid w:val="0"/>
        <w:jc w:val="center"/>
        <w:rPr>
          <w:rFonts w:cs="Times New Roman"/>
          <w:b/>
          <w:sz w:val="24"/>
          <w:szCs w:val="24"/>
        </w:rPr>
      </w:pPr>
      <w:r w:rsidRPr="00BA583D">
        <w:rPr>
          <w:rFonts w:cs="Times New Roman"/>
          <w:b/>
          <w:sz w:val="24"/>
          <w:szCs w:val="24"/>
        </w:rPr>
        <w:t>Fig. S</w:t>
      </w:r>
      <w:r w:rsidR="00B95B51" w:rsidRPr="00BA583D">
        <w:rPr>
          <w:rFonts w:cs="Times New Roman"/>
          <w:b/>
          <w:sz w:val="24"/>
          <w:szCs w:val="24"/>
        </w:rPr>
        <w:t>1</w:t>
      </w:r>
      <w:r w:rsidR="0066384E">
        <w:rPr>
          <w:rFonts w:cs="Times New Roman"/>
          <w:b/>
          <w:sz w:val="24"/>
          <w:szCs w:val="24"/>
        </w:rPr>
        <w:t>1</w:t>
      </w:r>
      <w:r w:rsidRPr="00BA583D">
        <w:rPr>
          <w:rFonts w:cs="Times New Roman"/>
          <w:b/>
          <w:sz w:val="24"/>
          <w:szCs w:val="24"/>
        </w:rPr>
        <w:t xml:space="preserve"> Soil acidification due to </w:t>
      </w:r>
      <w:r w:rsidR="00E63E33" w:rsidRPr="00BA583D">
        <w:rPr>
          <w:rFonts w:cs="Times New Roman"/>
          <w:b/>
          <w:sz w:val="24"/>
          <w:szCs w:val="24"/>
        </w:rPr>
        <w:t>T</w:t>
      </w:r>
      <w:r w:rsidRPr="00BA583D">
        <w:rPr>
          <w:rFonts w:cs="Times New Roman"/>
          <w:b/>
          <w:sz w:val="24"/>
          <w:szCs w:val="24"/>
        </w:rPr>
        <w:t>NHx deposition in forests and croplands 2017</w:t>
      </w:r>
      <w:r w:rsidR="0066384E">
        <w:rPr>
          <w:rFonts w:cs="Times New Roman"/>
          <w:b/>
          <w:sz w:val="24"/>
          <w:szCs w:val="24"/>
        </w:rPr>
        <w:t>.</w:t>
      </w:r>
    </w:p>
    <w:p w14:paraId="25A8085B" w14:textId="31C238E2" w:rsidR="004D7B05" w:rsidRDefault="004D7B05" w:rsidP="007869E8">
      <w:pPr>
        <w:adjustRightInd w:val="0"/>
        <w:snapToGrid w:val="0"/>
        <w:jc w:val="left"/>
        <w:rPr>
          <w:rFonts w:cs="Times New Roman"/>
          <w:sz w:val="24"/>
          <w:szCs w:val="24"/>
        </w:rPr>
      </w:pPr>
      <w:r w:rsidRPr="00BA583D">
        <w:rPr>
          <w:rFonts w:cs="Times New Roman"/>
          <w:sz w:val="24"/>
          <w:szCs w:val="24"/>
        </w:rPr>
        <w:br w:type="page"/>
      </w:r>
    </w:p>
    <w:p w14:paraId="7D96B753" w14:textId="77777777" w:rsidR="00E272A1" w:rsidRPr="00E272A1" w:rsidRDefault="00E272A1" w:rsidP="00E272A1">
      <w:pPr>
        <w:adjustRightInd w:val="0"/>
        <w:snapToGrid w:val="0"/>
        <w:jc w:val="center"/>
        <w:rPr>
          <w:rFonts w:eastAsia="等线 Light" w:cs="Times New Roman"/>
          <w:sz w:val="24"/>
          <w:szCs w:val="24"/>
        </w:rPr>
      </w:pPr>
      <w:r w:rsidRPr="00E272A1">
        <w:rPr>
          <w:rFonts w:eastAsia="等线 Light" w:cs="Times New Roman"/>
          <w:noProof/>
          <w:sz w:val="24"/>
          <w:szCs w:val="24"/>
          <w:lang w:val="en-GB" w:eastAsia="en-GB"/>
        </w:rPr>
        <w:lastRenderedPageBreak/>
        <w:drawing>
          <wp:inline distT="0" distB="0" distL="0" distR="0" wp14:anchorId="24B9249A" wp14:editId="28DA7CA1">
            <wp:extent cx="3857625" cy="2816764"/>
            <wp:effectExtent l="0" t="0" r="0" b="3175"/>
            <wp:docPr id="11" name="图片 9">
              <a:extLst xmlns:a="http://schemas.openxmlformats.org/drawingml/2006/main">
                <a:ext uri="{FF2B5EF4-FFF2-40B4-BE49-F238E27FC236}">
                  <a16:creationId xmlns:a16="http://schemas.microsoft.com/office/drawing/2014/main" id="{B939CB4C-222E-4A77-B40F-586AD635A5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B939CB4C-222E-4A77-B40F-586AD635A59F}"/>
                        </a:ext>
                      </a:extLst>
                    </pic:cNvPr>
                    <pic:cNvPicPr>
                      <a:picLocks noChangeAspect="1"/>
                    </pic:cNvPicPr>
                  </pic:nvPicPr>
                  <pic:blipFill>
                    <a:blip r:embed="rId18"/>
                    <a:stretch>
                      <a:fillRect/>
                    </a:stretch>
                  </pic:blipFill>
                  <pic:spPr>
                    <a:xfrm>
                      <a:off x="0" y="0"/>
                      <a:ext cx="3863936" cy="2821372"/>
                    </a:xfrm>
                    <a:prstGeom prst="rect">
                      <a:avLst/>
                    </a:prstGeom>
                  </pic:spPr>
                </pic:pic>
              </a:graphicData>
            </a:graphic>
          </wp:inline>
        </w:drawing>
      </w:r>
    </w:p>
    <w:p w14:paraId="030CF56C" w14:textId="2EFF988E" w:rsidR="00E272A1" w:rsidRDefault="00E272A1" w:rsidP="00E272A1">
      <w:pPr>
        <w:adjustRightInd w:val="0"/>
        <w:snapToGrid w:val="0"/>
        <w:jc w:val="left"/>
        <w:rPr>
          <w:rFonts w:eastAsia="等线 Light" w:cs="Times New Roman"/>
          <w:b/>
          <w:sz w:val="24"/>
        </w:rPr>
      </w:pPr>
      <w:r w:rsidRPr="00BA583D">
        <w:rPr>
          <w:rFonts w:cs="Times New Roman"/>
          <w:b/>
          <w:sz w:val="24"/>
          <w:szCs w:val="24"/>
        </w:rPr>
        <w:t>Fig. S1</w:t>
      </w:r>
      <w:r w:rsidR="0066384E">
        <w:rPr>
          <w:rFonts w:cs="Times New Roman"/>
          <w:b/>
          <w:sz w:val="24"/>
          <w:szCs w:val="24"/>
        </w:rPr>
        <w:t>2</w:t>
      </w:r>
      <w:r w:rsidRPr="00E272A1">
        <w:rPr>
          <w:rFonts w:eastAsia="等线 Light" w:cs="Times New Roman"/>
          <w:b/>
          <w:sz w:val="24"/>
        </w:rPr>
        <w:t xml:space="preserve"> Carbon sink due to TNHx deposition in forests 2017</w:t>
      </w:r>
      <w:r w:rsidRPr="00E272A1">
        <w:rPr>
          <w:rFonts w:eastAsia="等线 Light" w:cs="Times New Roman" w:hint="eastAsia"/>
          <w:b/>
          <w:sz w:val="24"/>
        </w:rPr>
        <w:t>.</w:t>
      </w:r>
      <w:r>
        <w:rPr>
          <w:rFonts w:eastAsia="等线 Light" w:cs="Times New Roman"/>
          <w:b/>
          <w:sz w:val="24"/>
        </w:rPr>
        <w:br w:type="page"/>
      </w:r>
    </w:p>
    <w:p w14:paraId="627D3790" w14:textId="3EE19E45" w:rsidR="004D7B05" w:rsidRPr="00BA583D" w:rsidRDefault="00100573" w:rsidP="00DB49B7">
      <w:pPr>
        <w:adjustRightInd w:val="0"/>
        <w:snapToGrid w:val="0"/>
        <w:jc w:val="center"/>
        <w:rPr>
          <w:rFonts w:cs="Times New Roman"/>
          <w:sz w:val="24"/>
          <w:szCs w:val="24"/>
        </w:rPr>
      </w:pPr>
      <w:r w:rsidRPr="00BA583D">
        <w:rPr>
          <w:rFonts w:cs="Times New Roman"/>
          <w:noProof/>
          <w:sz w:val="24"/>
          <w:szCs w:val="24"/>
        </w:rPr>
        <w:lastRenderedPageBreak/>
        <w:drawing>
          <wp:inline distT="0" distB="0" distL="0" distR="0" wp14:anchorId="3206D078" wp14:editId="37E99B34">
            <wp:extent cx="5172075" cy="4229871"/>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75407" cy="4232596"/>
                    </a:xfrm>
                    <a:prstGeom prst="rect">
                      <a:avLst/>
                    </a:prstGeom>
                    <a:noFill/>
                    <a:ln>
                      <a:noFill/>
                    </a:ln>
                  </pic:spPr>
                </pic:pic>
              </a:graphicData>
            </a:graphic>
          </wp:inline>
        </w:drawing>
      </w:r>
    </w:p>
    <w:p w14:paraId="163A0944" w14:textId="076F71DF" w:rsidR="00100573" w:rsidRPr="00BA583D" w:rsidRDefault="00100573" w:rsidP="007869E8">
      <w:pPr>
        <w:adjustRightInd w:val="0"/>
        <w:snapToGrid w:val="0"/>
        <w:jc w:val="left"/>
        <w:rPr>
          <w:rFonts w:cs="Times New Roman"/>
          <w:sz w:val="24"/>
          <w:szCs w:val="24"/>
        </w:rPr>
      </w:pPr>
      <w:r w:rsidRPr="00BA583D">
        <w:rPr>
          <w:rFonts w:cs="Times New Roman"/>
          <w:b/>
          <w:sz w:val="24"/>
          <w:szCs w:val="24"/>
        </w:rPr>
        <w:t>Fig. S</w:t>
      </w:r>
      <w:r w:rsidR="00B95B51" w:rsidRPr="00BA583D">
        <w:rPr>
          <w:rFonts w:cs="Times New Roman"/>
          <w:b/>
          <w:sz w:val="24"/>
          <w:szCs w:val="24"/>
        </w:rPr>
        <w:t>1</w:t>
      </w:r>
      <w:r w:rsidR="0066384E">
        <w:rPr>
          <w:rFonts w:cs="Times New Roman"/>
          <w:b/>
          <w:sz w:val="24"/>
          <w:szCs w:val="24"/>
        </w:rPr>
        <w:t>3</w:t>
      </w:r>
      <w:r w:rsidRPr="00BA583D">
        <w:rPr>
          <w:rFonts w:cs="Times New Roman"/>
          <w:b/>
          <w:sz w:val="24"/>
          <w:szCs w:val="24"/>
        </w:rPr>
        <w:t xml:space="preserve"> </w:t>
      </w:r>
      <w:r w:rsidR="003A6B52">
        <w:rPr>
          <w:rFonts w:cs="Times New Roman"/>
          <w:b/>
          <w:sz w:val="24"/>
          <w:szCs w:val="24"/>
        </w:rPr>
        <w:t xml:space="preserve">Total </w:t>
      </w:r>
      <w:r w:rsidR="003A6B52" w:rsidRPr="003A6B52">
        <w:rPr>
          <w:rFonts w:cs="Times New Roman"/>
          <w:b/>
          <w:sz w:val="24"/>
          <w:szCs w:val="24"/>
        </w:rPr>
        <w:t>ammonium deposition from WRF-Chem</w:t>
      </w:r>
      <w:r w:rsidR="003A6B52">
        <w:rPr>
          <w:rFonts w:cs="Times New Roman"/>
          <w:b/>
          <w:sz w:val="24"/>
          <w:szCs w:val="24"/>
        </w:rPr>
        <w:t xml:space="preserve"> </w:t>
      </w:r>
      <w:r w:rsidR="003A6B52" w:rsidRPr="003A6B52">
        <w:rPr>
          <w:rFonts w:cs="Times New Roman"/>
          <w:b/>
          <w:sz w:val="24"/>
          <w:szCs w:val="24"/>
        </w:rPr>
        <w:t>in forest, grassland and cropland ecosystems</w:t>
      </w:r>
      <w:r w:rsidR="00E611F0">
        <w:rPr>
          <w:rFonts w:cs="Times New Roman"/>
          <w:sz w:val="24"/>
          <w:szCs w:val="24"/>
        </w:rPr>
        <w:t>.</w:t>
      </w:r>
      <w:r w:rsidRPr="00BA583D">
        <w:rPr>
          <w:rFonts w:cs="Times New Roman"/>
          <w:sz w:val="24"/>
          <w:szCs w:val="24"/>
        </w:rPr>
        <w:br w:type="page"/>
      </w:r>
    </w:p>
    <w:p w14:paraId="5FAB3DDE" w14:textId="08471419" w:rsidR="006A3116" w:rsidRPr="00BA583D" w:rsidRDefault="006A3116" w:rsidP="006A3116">
      <w:pPr>
        <w:widowControl/>
        <w:adjustRightInd w:val="0"/>
        <w:snapToGrid w:val="0"/>
        <w:spacing w:line="300" w:lineRule="auto"/>
        <w:rPr>
          <w:rFonts w:eastAsia="宋体" w:cs="Times New Roman"/>
          <w:sz w:val="24"/>
          <w:szCs w:val="24"/>
        </w:rPr>
      </w:pPr>
      <w:r w:rsidRPr="00BA583D">
        <w:rPr>
          <w:rFonts w:eastAsia="宋体" w:cs="Times New Roman"/>
          <w:b/>
          <w:sz w:val="24"/>
          <w:szCs w:val="24"/>
        </w:rPr>
        <w:lastRenderedPageBreak/>
        <w:t>Table S</w:t>
      </w:r>
      <w:r w:rsidR="00EC125C" w:rsidRPr="00BA583D">
        <w:rPr>
          <w:rFonts w:eastAsia="宋体" w:cs="Times New Roman"/>
          <w:b/>
          <w:sz w:val="24"/>
          <w:szCs w:val="24"/>
        </w:rPr>
        <w:t>1</w:t>
      </w:r>
      <w:r w:rsidRPr="00BA583D">
        <w:rPr>
          <w:rFonts w:eastAsia="宋体" w:cs="Times New Roman"/>
          <w:b/>
          <w:sz w:val="24"/>
          <w:szCs w:val="24"/>
        </w:rPr>
        <w:t xml:space="preserve"> </w:t>
      </w:r>
      <w:r w:rsidRPr="00BA583D">
        <w:rPr>
          <w:rFonts w:eastAsia="宋体" w:cs="Times New Roman"/>
          <w:sz w:val="24"/>
          <w:szCs w:val="24"/>
        </w:rPr>
        <w:t xml:space="preserve">The abbreviation of agricultural region and 31 provinces, autonomous regions, and municipalities directly under the Central Government. </w:t>
      </w:r>
    </w:p>
    <w:tbl>
      <w:tblPr>
        <w:tblW w:w="5048" w:type="pct"/>
        <w:jc w:val="center"/>
        <w:tblLook w:val="04A0" w:firstRow="1" w:lastRow="0" w:firstColumn="1" w:lastColumn="0" w:noHBand="0" w:noVBand="1"/>
      </w:tblPr>
      <w:tblGrid>
        <w:gridCol w:w="4209"/>
        <w:gridCol w:w="1483"/>
        <w:gridCol w:w="1716"/>
        <w:gridCol w:w="1483"/>
      </w:tblGrid>
      <w:tr w:rsidR="006A3116" w:rsidRPr="00BA583D" w14:paraId="47B3C786" w14:textId="77777777" w:rsidTr="004C2045">
        <w:trPr>
          <w:trHeight w:val="330"/>
          <w:jc w:val="center"/>
        </w:trPr>
        <w:tc>
          <w:tcPr>
            <w:tcW w:w="2336" w:type="pct"/>
            <w:tcBorders>
              <w:top w:val="single" w:sz="4" w:space="0" w:color="auto"/>
              <w:left w:val="nil"/>
              <w:bottom w:val="single" w:sz="4" w:space="0" w:color="auto"/>
              <w:right w:val="nil"/>
            </w:tcBorders>
            <w:shd w:val="clear" w:color="auto" w:fill="auto"/>
            <w:noWrap/>
            <w:vAlign w:val="center"/>
            <w:hideMark/>
          </w:tcPr>
          <w:p w14:paraId="47714731"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Agricultural region</w:t>
            </w:r>
          </w:p>
        </w:tc>
        <w:tc>
          <w:tcPr>
            <w:tcW w:w="877" w:type="pct"/>
            <w:tcBorders>
              <w:top w:val="single" w:sz="4" w:space="0" w:color="auto"/>
              <w:left w:val="nil"/>
              <w:bottom w:val="single" w:sz="4" w:space="0" w:color="auto"/>
              <w:right w:val="nil"/>
            </w:tcBorders>
            <w:shd w:val="clear" w:color="auto" w:fill="auto"/>
            <w:noWrap/>
            <w:vAlign w:val="center"/>
            <w:hideMark/>
          </w:tcPr>
          <w:p w14:paraId="5FC4EF9A"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Abbreviation</w:t>
            </w:r>
          </w:p>
        </w:tc>
        <w:tc>
          <w:tcPr>
            <w:tcW w:w="958" w:type="pct"/>
            <w:tcBorders>
              <w:top w:val="single" w:sz="4" w:space="0" w:color="auto"/>
              <w:left w:val="nil"/>
              <w:bottom w:val="single" w:sz="4" w:space="0" w:color="auto"/>
              <w:right w:val="nil"/>
            </w:tcBorders>
            <w:shd w:val="clear" w:color="auto" w:fill="auto"/>
            <w:noWrap/>
            <w:vAlign w:val="bottom"/>
            <w:hideMark/>
          </w:tcPr>
          <w:p w14:paraId="2128C7C1"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Province</w:t>
            </w:r>
          </w:p>
        </w:tc>
        <w:tc>
          <w:tcPr>
            <w:tcW w:w="829" w:type="pct"/>
            <w:tcBorders>
              <w:top w:val="single" w:sz="4" w:space="0" w:color="auto"/>
              <w:left w:val="nil"/>
              <w:bottom w:val="single" w:sz="4" w:space="0" w:color="auto"/>
              <w:right w:val="nil"/>
            </w:tcBorders>
            <w:shd w:val="clear" w:color="auto" w:fill="auto"/>
            <w:noWrap/>
            <w:vAlign w:val="center"/>
            <w:hideMark/>
          </w:tcPr>
          <w:p w14:paraId="348404AA"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Abbreviation</w:t>
            </w:r>
          </w:p>
        </w:tc>
      </w:tr>
      <w:tr w:rsidR="006A3116" w:rsidRPr="00BA583D" w14:paraId="7FF7D6BD" w14:textId="77777777" w:rsidTr="004C2045">
        <w:trPr>
          <w:trHeight w:val="300"/>
          <w:jc w:val="center"/>
        </w:trPr>
        <w:tc>
          <w:tcPr>
            <w:tcW w:w="2336" w:type="pct"/>
            <w:vMerge w:val="restart"/>
            <w:tcBorders>
              <w:top w:val="nil"/>
              <w:left w:val="nil"/>
              <w:bottom w:val="single" w:sz="4" w:space="0" w:color="000000"/>
              <w:right w:val="nil"/>
            </w:tcBorders>
            <w:shd w:val="clear" w:color="auto" w:fill="auto"/>
            <w:noWrap/>
            <w:vAlign w:val="center"/>
            <w:hideMark/>
          </w:tcPr>
          <w:p w14:paraId="56FA2A62"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Huang-Huai-Hai Region</w:t>
            </w:r>
          </w:p>
        </w:tc>
        <w:tc>
          <w:tcPr>
            <w:tcW w:w="877" w:type="pct"/>
            <w:vMerge w:val="restart"/>
            <w:tcBorders>
              <w:top w:val="nil"/>
              <w:left w:val="nil"/>
              <w:bottom w:val="single" w:sz="4" w:space="0" w:color="000000"/>
              <w:right w:val="nil"/>
            </w:tcBorders>
            <w:shd w:val="clear" w:color="auto" w:fill="auto"/>
            <w:noWrap/>
            <w:vAlign w:val="center"/>
            <w:hideMark/>
          </w:tcPr>
          <w:p w14:paraId="5638CF1C"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HHH</w:t>
            </w:r>
          </w:p>
        </w:tc>
        <w:tc>
          <w:tcPr>
            <w:tcW w:w="958" w:type="pct"/>
            <w:tcBorders>
              <w:top w:val="nil"/>
              <w:left w:val="nil"/>
              <w:bottom w:val="nil"/>
              <w:right w:val="nil"/>
            </w:tcBorders>
            <w:shd w:val="clear" w:color="auto" w:fill="auto"/>
            <w:noWrap/>
            <w:vAlign w:val="bottom"/>
            <w:hideMark/>
          </w:tcPr>
          <w:p w14:paraId="5C6E5962"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Beijing</w:t>
            </w:r>
          </w:p>
        </w:tc>
        <w:tc>
          <w:tcPr>
            <w:tcW w:w="829" w:type="pct"/>
            <w:tcBorders>
              <w:top w:val="nil"/>
              <w:left w:val="nil"/>
              <w:bottom w:val="nil"/>
              <w:right w:val="nil"/>
            </w:tcBorders>
            <w:shd w:val="clear" w:color="auto" w:fill="auto"/>
            <w:noWrap/>
            <w:vAlign w:val="center"/>
            <w:hideMark/>
          </w:tcPr>
          <w:p w14:paraId="1067FA3E"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BEJ</w:t>
            </w:r>
          </w:p>
        </w:tc>
      </w:tr>
      <w:tr w:rsidR="006A3116" w:rsidRPr="00BA583D" w14:paraId="267B0A96" w14:textId="77777777" w:rsidTr="004C2045">
        <w:trPr>
          <w:trHeight w:val="300"/>
          <w:jc w:val="center"/>
        </w:trPr>
        <w:tc>
          <w:tcPr>
            <w:tcW w:w="2336" w:type="pct"/>
            <w:vMerge/>
            <w:tcBorders>
              <w:top w:val="nil"/>
              <w:left w:val="nil"/>
              <w:bottom w:val="single" w:sz="4" w:space="0" w:color="000000"/>
              <w:right w:val="nil"/>
            </w:tcBorders>
            <w:vAlign w:val="center"/>
            <w:hideMark/>
          </w:tcPr>
          <w:p w14:paraId="61F61608"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nil"/>
              <w:left w:val="nil"/>
              <w:bottom w:val="single" w:sz="4" w:space="0" w:color="000000"/>
              <w:right w:val="nil"/>
            </w:tcBorders>
            <w:vAlign w:val="center"/>
            <w:hideMark/>
          </w:tcPr>
          <w:p w14:paraId="38B81709"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nil"/>
              <w:right w:val="nil"/>
            </w:tcBorders>
            <w:shd w:val="clear" w:color="auto" w:fill="auto"/>
            <w:noWrap/>
            <w:vAlign w:val="bottom"/>
            <w:hideMark/>
          </w:tcPr>
          <w:p w14:paraId="09587DDA"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Tianjin</w:t>
            </w:r>
          </w:p>
        </w:tc>
        <w:tc>
          <w:tcPr>
            <w:tcW w:w="829" w:type="pct"/>
            <w:tcBorders>
              <w:top w:val="nil"/>
              <w:left w:val="nil"/>
              <w:bottom w:val="nil"/>
              <w:right w:val="nil"/>
            </w:tcBorders>
            <w:shd w:val="clear" w:color="auto" w:fill="auto"/>
            <w:noWrap/>
            <w:vAlign w:val="center"/>
            <w:hideMark/>
          </w:tcPr>
          <w:p w14:paraId="22E0D5E9"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TAJ</w:t>
            </w:r>
          </w:p>
        </w:tc>
      </w:tr>
      <w:tr w:rsidR="006A3116" w:rsidRPr="00BA583D" w14:paraId="5BC4E563" w14:textId="77777777" w:rsidTr="004C2045">
        <w:trPr>
          <w:trHeight w:val="330"/>
          <w:jc w:val="center"/>
        </w:trPr>
        <w:tc>
          <w:tcPr>
            <w:tcW w:w="2336" w:type="pct"/>
            <w:vMerge/>
            <w:tcBorders>
              <w:top w:val="nil"/>
              <w:left w:val="nil"/>
              <w:bottom w:val="single" w:sz="4" w:space="0" w:color="000000"/>
              <w:right w:val="nil"/>
            </w:tcBorders>
            <w:vAlign w:val="center"/>
            <w:hideMark/>
          </w:tcPr>
          <w:p w14:paraId="5951E625"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nil"/>
              <w:left w:val="nil"/>
              <w:bottom w:val="single" w:sz="4" w:space="0" w:color="000000"/>
              <w:right w:val="nil"/>
            </w:tcBorders>
            <w:vAlign w:val="center"/>
            <w:hideMark/>
          </w:tcPr>
          <w:p w14:paraId="35F7087C"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nil"/>
              <w:right w:val="nil"/>
            </w:tcBorders>
            <w:shd w:val="clear" w:color="auto" w:fill="auto"/>
            <w:noWrap/>
            <w:vAlign w:val="bottom"/>
            <w:hideMark/>
          </w:tcPr>
          <w:p w14:paraId="610D5E3A"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Hebei</w:t>
            </w:r>
          </w:p>
        </w:tc>
        <w:tc>
          <w:tcPr>
            <w:tcW w:w="829" w:type="pct"/>
            <w:tcBorders>
              <w:top w:val="nil"/>
              <w:left w:val="nil"/>
              <w:bottom w:val="nil"/>
              <w:right w:val="nil"/>
            </w:tcBorders>
            <w:shd w:val="clear" w:color="auto" w:fill="auto"/>
            <w:noWrap/>
            <w:vAlign w:val="center"/>
            <w:hideMark/>
          </w:tcPr>
          <w:p w14:paraId="58E4C776"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HEB</w:t>
            </w:r>
          </w:p>
        </w:tc>
      </w:tr>
      <w:tr w:rsidR="006A3116" w:rsidRPr="00BA583D" w14:paraId="76588D90" w14:textId="77777777" w:rsidTr="004C2045">
        <w:trPr>
          <w:trHeight w:val="330"/>
          <w:jc w:val="center"/>
        </w:trPr>
        <w:tc>
          <w:tcPr>
            <w:tcW w:w="2336" w:type="pct"/>
            <w:vMerge/>
            <w:tcBorders>
              <w:top w:val="nil"/>
              <w:left w:val="nil"/>
              <w:bottom w:val="single" w:sz="4" w:space="0" w:color="000000"/>
              <w:right w:val="nil"/>
            </w:tcBorders>
            <w:vAlign w:val="center"/>
            <w:hideMark/>
          </w:tcPr>
          <w:p w14:paraId="2BA0F9E8"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nil"/>
              <w:left w:val="nil"/>
              <w:bottom w:val="single" w:sz="4" w:space="0" w:color="000000"/>
              <w:right w:val="nil"/>
            </w:tcBorders>
            <w:vAlign w:val="center"/>
            <w:hideMark/>
          </w:tcPr>
          <w:p w14:paraId="59A0052F"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nil"/>
              <w:right w:val="nil"/>
            </w:tcBorders>
            <w:shd w:val="clear" w:color="auto" w:fill="auto"/>
            <w:noWrap/>
            <w:vAlign w:val="bottom"/>
            <w:hideMark/>
          </w:tcPr>
          <w:p w14:paraId="6AF3B5FC"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Henan</w:t>
            </w:r>
          </w:p>
        </w:tc>
        <w:tc>
          <w:tcPr>
            <w:tcW w:w="829" w:type="pct"/>
            <w:tcBorders>
              <w:top w:val="nil"/>
              <w:left w:val="nil"/>
              <w:bottom w:val="nil"/>
              <w:right w:val="nil"/>
            </w:tcBorders>
            <w:shd w:val="clear" w:color="auto" w:fill="auto"/>
            <w:noWrap/>
            <w:vAlign w:val="center"/>
            <w:hideMark/>
          </w:tcPr>
          <w:p w14:paraId="2299838D"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HEN</w:t>
            </w:r>
          </w:p>
        </w:tc>
      </w:tr>
      <w:tr w:rsidR="006A3116" w:rsidRPr="00BA583D" w14:paraId="5E1FDFD6" w14:textId="77777777" w:rsidTr="004C2045">
        <w:trPr>
          <w:trHeight w:val="300"/>
          <w:jc w:val="center"/>
        </w:trPr>
        <w:tc>
          <w:tcPr>
            <w:tcW w:w="2336" w:type="pct"/>
            <w:vMerge/>
            <w:tcBorders>
              <w:top w:val="nil"/>
              <w:left w:val="nil"/>
              <w:bottom w:val="single" w:sz="4" w:space="0" w:color="000000"/>
              <w:right w:val="nil"/>
            </w:tcBorders>
            <w:vAlign w:val="center"/>
            <w:hideMark/>
          </w:tcPr>
          <w:p w14:paraId="3E3BC93F"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nil"/>
              <w:left w:val="nil"/>
              <w:bottom w:val="single" w:sz="4" w:space="0" w:color="000000"/>
              <w:right w:val="nil"/>
            </w:tcBorders>
            <w:vAlign w:val="center"/>
            <w:hideMark/>
          </w:tcPr>
          <w:p w14:paraId="16A43A26"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single" w:sz="4" w:space="0" w:color="auto"/>
              <w:right w:val="nil"/>
            </w:tcBorders>
            <w:shd w:val="clear" w:color="auto" w:fill="auto"/>
            <w:noWrap/>
            <w:vAlign w:val="bottom"/>
            <w:hideMark/>
          </w:tcPr>
          <w:p w14:paraId="3557897D"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Shandong</w:t>
            </w:r>
          </w:p>
        </w:tc>
        <w:tc>
          <w:tcPr>
            <w:tcW w:w="829" w:type="pct"/>
            <w:tcBorders>
              <w:top w:val="nil"/>
              <w:left w:val="nil"/>
              <w:bottom w:val="single" w:sz="4" w:space="0" w:color="auto"/>
              <w:right w:val="nil"/>
            </w:tcBorders>
            <w:shd w:val="clear" w:color="auto" w:fill="auto"/>
            <w:noWrap/>
            <w:vAlign w:val="center"/>
            <w:hideMark/>
          </w:tcPr>
          <w:p w14:paraId="7A425766"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SHD</w:t>
            </w:r>
          </w:p>
        </w:tc>
      </w:tr>
      <w:tr w:rsidR="006A3116" w:rsidRPr="00BA583D" w14:paraId="23D03280" w14:textId="77777777" w:rsidTr="004C2045">
        <w:trPr>
          <w:trHeight w:val="300"/>
          <w:jc w:val="center"/>
        </w:trPr>
        <w:tc>
          <w:tcPr>
            <w:tcW w:w="2336" w:type="pct"/>
            <w:vMerge w:val="restart"/>
            <w:tcBorders>
              <w:top w:val="nil"/>
              <w:left w:val="nil"/>
              <w:bottom w:val="single" w:sz="4" w:space="0" w:color="000000"/>
              <w:right w:val="nil"/>
            </w:tcBorders>
            <w:shd w:val="clear" w:color="auto" w:fill="auto"/>
            <w:noWrap/>
            <w:vAlign w:val="center"/>
            <w:hideMark/>
          </w:tcPr>
          <w:p w14:paraId="07DAF148"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Middle and Lower Yangtze River Region</w:t>
            </w:r>
          </w:p>
        </w:tc>
        <w:tc>
          <w:tcPr>
            <w:tcW w:w="877" w:type="pct"/>
            <w:vMerge w:val="restart"/>
            <w:tcBorders>
              <w:top w:val="nil"/>
              <w:left w:val="nil"/>
              <w:bottom w:val="single" w:sz="4" w:space="0" w:color="000000"/>
              <w:right w:val="nil"/>
            </w:tcBorders>
            <w:shd w:val="clear" w:color="auto" w:fill="auto"/>
            <w:noWrap/>
            <w:vAlign w:val="center"/>
            <w:hideMark/>
          </w:tcPr>
          <w:p w14:paraId="75671724"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MLYR</w:t>
            </w:r>
          </w:p>
        </w:tc>
        <w:tc>
          <w:tcPr>
            <w:tcW w:w="958" w:type="pct"/>
            <w:tcBorders>
              <w:top w:val="nil"/>
              <w:left w:val="nil"/>
              <w:bottom w:val="nil"/>
              <w:right w:val="nil"/>
            </w:tcBorders>
            <w:shd w:val="clear" w:color="auto" w:fill="auto"/>
            <w:noWrap/>
            <w:vAlign w:val="bottom"/>
            <w:hideMark/>
          </w:tcPr>
          <w:p w14:paraId="0EEFC4EE"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Shanghai</w:t>
            </w:r>
          </w:p>
        </w:tc>
        <w:tc>
          <w:tcPr>
            <w:tcW w:w="829" w:type="pct"/>
            <w:tcBorders>
              <w:top w:val="nil"/>
              <w:left w:val="nil"/>
              <w:bottom w:val="nil"/>
              <w:right w:val="nil"/>
            </w:tcBorders>
            <w:shd w:val="clear" w:color="auto" w:fill="auto"/>
            <w:noWrap/>
            <w:vAlign w:val="center"/>
            <w:hideMark/>
          </w:tcPr>
          <w:p w14:paraId="1F6293E3"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SHH</w:t>
            </w:r>
          </w:p>
        </w:tc>
      </w:tr>
      <w:tr w:rsidR="006A3116" w:rsidRPr="00BA583D" w14:paraId="64D1CCB2" w14:textId="77777777" w:rsidTr="004C2045">
        <w:trPr>
          <w:trHeight w:val="300"/>
          <w:jc w:val="center"/>
        </w:trPr>
        <w:tc>
          <w:tcPr>
            <w:tcW w:w="2336" w:type="pct"/>
            <w:vMerge/>
            <w:tcBorders>
              <w:top w:val="nil"/>
              <w:left w:val="nil"/>
              <w:bottom w:val="single" w:sz="4" w:space="0" w:color="000000"/>
              <w:right w:val="nil"/>
            </w:tcBorders>
            <w:vAlign w:val="center"/>
            <w:hideMark/>
          </w:tcPr>
          <w:p w14:paraId="052E1379"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nil"/>
              <w:left w:val="nil"/>
              <w:bottom w:val="single" w:sz="4" w:space="0" w:color="000000"/>
              <w:right w:val="nil"/>
            </w:tcBorders>
            <w:vAlign w:val="center"/>
            <w:hideMark/>
          </w:tcPr>
          <w:p w14:paraId="53ADBA8F"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nil"/>
              <w:right w:val="nil"/>
            </w:tcBorders>
            <w:shd w:val="clear" w:color="auto" w:fill="auto"/>
            <w:noWrap/>
            <w:vAlign w:val="bottom"/>
            <w:hideMark/>
          </w:tcPr>
          <w:p w14:paraId="4ADAE33B"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Jiangsu</w:t>
            </w:r>
          </w:p>
        </w:tc>
        <w:tc>
          <w:tcPr>
            <w:tcW w:w="829" w:type="pct"/>
            <w:tcBorders>
              <w:top w:val="nil"/>
              <w:left w:val="nil"/>
              <w:bottom w:val="nil"/>
              <w:right w:val="nil"/>
            </w:tcBorders>
            <w:shd w:val="clear" w:color="auto" w:fill="auto"/>
            <w:noWrap/>
            <w:vAlign w:val="center"/>
            <w:hideMark/>
          </w:tcPr>
          <w:p w14:paraId="4A4C1BC2"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JSU</w:t>
            </w:r>
          </w:p>
        </w:tc>
      </w:tr>
      <w:tr w:rsidR="006A3116" w:rsidRPr="00BA583D" w14:paraId="37D07D4A" w14:textId="77777777" w:rsidTr="004C2045">
        <w:trPr>
          <w:trHeight w:val="300"/>
          <w:jc w:val="center"/>
        </w:trPr>
        <w:tc>
          <w:tcPr>
            <w:tcW w:w="2336" w:type="pct"/>
            <w:vMerge/>
            <w:tcBorders>
              <w:top w:val="nil"/>
              <w:left w:val="nil"/>
              <w:bottom w:val="single" w:sz="4" w:space="0" w:color="000000"/>
              <w:right w:val="nil"/>
            </w:tcBorders>
            <w:vAlign w:val="center"/>
            <w:hideMark/>
          </w:tcPr>
          <w:p w14:paraId="5FA6C618"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nil"/>
              <w:left w:val="nil"/>
              <w:bottom w:val="single" w:sz="4" w:space="0" w:color="000000"/>
              <w:right w:val="nil"/>
            </w:tcBorders>
            <w:vAlign w:val="center"/>
            <w:hideMark/>
          </w:tcPr>
          <w:p w14:paraId="1C0A631C"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nil"/>
              <w:right w:val="nil"/>
            </w:tcBorders>
            <w:shd w:val="clear" w:color="auto" w:fill="auto"/>
            <w:noWrap/>
            <w:vAlign w:val="bottom"/>
            <w:hideMark/>
          </w:tcPr>
          <w:p w14:paraId="5588DB39"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Zhejiang</w:t>
            </w:r>
          </w:p>
        </w:tc>
        <w:tc>
          <w:tcPr>
            <w:tcW w:w="829" w:type="pct"/>
            <w:tcBorders>
              <w:top w:val="nil"/>
              <w:left w:val="nil"/>
              <w:bottom w:val="nil"/>
              <w:right w:val="nil"/>
            </w:tcBorders>
            <w:shd w:val="clear" w:color="auto" w:fill="auto"/>
            <w:noWrap/>
            <w:vAlign w:val="center"/>
            <w:hideMark/>
          </w:tcPr>
          <w:p w14:paraId="7E4F006E"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ZHJ</w:t>
            </w:r>
          </w:p>
        </w:tc>
      </w:tr>
      <w:tr w:rsidR="006A3116" w:rsidRPr="00BA583D" w14:paraId="7E5C3A17" w14:textId="77777777" w:rsidTr="004C2045">
        <w:trPr>
          <w:trHeight w:val="300"/>
          <w:jc w:val="center"/>
        </w:trPr>
        <w:tc>
          <w:tcPr>
            <w:tcW w:w="2336" w:type="pct"/>
            <w:vMerge/>
            <w:tcBorders>
              <w:top w:val="nil"/>
              <w:left w:val="nil"/>
              <w:bottom w:val="single" w:sz="4" w:space="0" w:color="000000"/>
              <w:right w:val="nil"/>
            </w:tcBorders>
            <w:vAlign w:val="center"/>
            <w:hideMark/>
          </w:tcPr>
          <w:p w14:paraId="54634724"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nil"/>
              <w:left w:val="nil"/>
              <w:bottom w:val="single" w:sz="4" w:space="0" w:color="000000"/>
              <w:right w:val="nil"/>
            </w:tcBorders>
            <w:vAlign w:val="center"/>
            <w:hideMark/>
          </w:tcPr>
          <w:p w14:paraId="7FACFFF3"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nil"/>
              <w:right w:val="nil"/>
            </w:tcBorders>
            <w:shd w:val="clear" w:color="auto" w:fill="auto"/>
            <w:noWrap/>
            <w:vAlign w:val="bottom"/>
            <w:hideMark/>
          </w:tcPr>
          <w:p w14:paraId="2AE3FF3F"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Anhui</w:t>
            </w:r>
          </w:p>
        </w:tc>
        <w:tc>
          <w:tcPr>
            <w:tcW w:w="829" w:type="pct"/>
            <w:tcBorders>
              <w:top w:val="nil"/>
              <w:left w:val="nil"/>
              <w:bottom w:val="nil"/>
              <w:right w:val="nil"/>
            </w:tcBorders>
            <w:shd w:val="clear" w:color="auto" w:fill="auto"/>
            <w:noWrap/>
            <w:vAlign w:val="center"/>
            <w:hideMark/>
          </w:tcPr>
          <w:p w14:paraId="07C3D202"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ANH</w:t>
            </w:r>
          </w:p>
        </w:tc>
      </w:tr>
      <w:tr w:rsidR="006A3116" w:rsidRPr="00BA583D" w14:paraId="7812B634" w14:textId="77777777" w:rsidTr="004C2045">
        <w:trPr>
          <w:trHeight w:val="300"/>
          <w:jc w:val="center"/>
        </w:trPr>
        <w:tc>
          <w:tcPr>
            <w:tcW w:w="2336" w:type="pct"/>
            <w:vMerge/>
            <w:tcBorders>
              <w:top w:val="nil"/>
              <w:left w:val="nil"/>
              <w:bottom w:val="single" w:sz="4" w:space="0" w:color="000000"/>
              <w:right w:val="nil"/>
            </w:tcBorders>
            <w:vAlign w:val="center"/>
            <w:hideMark/>
          </w:tcPr>
          <w:p w14:paraId="332D7A5E"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nil"/>
              <w:left w:val="nil"/>
              <w:bottom w:val="single" w:sz="4" w:space="0" w:color="000000"/>
              <w:right w:val="nil"/>
            </w:tcBorders>
            <w:vAlign w:val="center"/>
            <w:hideMark/>
          </w:tcPr>
          <w:p w14:paraId="72BC4548"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nil"/>
              <w:right w:val="nil"/>
            </w:tcBorders>
            <w:shd w:val="clear" w:color="auto" w:fill="auto"/>
            <w:noWrap/>
            <w:vAlign w:val="bottom"/>
            <w:hideMark/>
          </w:tcPr>
          <w:p w14:paraId="3BBAD2E4"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Jiangxi</w:t>
            </w:r>
          </w:p>
        </w:tc>
        <w:tc>
          <w:tcPr>
            <w:tcW w:w="829" w:type="pct"/>
            <w:tcBorders>
              <w:top w:val="nil"/>
              <w:left w:val="nil"/>
              <w:bottom w:val="nil"/>
              <w:right w:val="nil"/>
            </w:tcBorders>
            <w:shd w:val="clear" w:color="auto" w:fill="auto"/>
            <w:noWrap/>
            <w:vAlign w:val="center"/>
            <w:hideMark/>
          </w:tcPr>
          <w:p w14:paraId="093958DC"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JXI</w:t>
            </w:r>
          </w:p>
        </w:tc>
      </w:tr>
      <w:tr w:rsidR="006A3116" w:rsidRPr="00BA583D" w14:paraId="2D37D85E" w14:textId="77777777" w:rsidTr="004C2045">
        <w:trPr>
          <w:trHeight w:val="300"/>
          <w:jc w:val="center"/>
        </w:trPr>
        <w:tc>
          <w:tcPr>
            <w:tcW w:w="2336" w:type="pct"/>
            <w:vMerge/>
            <w:tcBorders>
              <w:top w:val="nil"/>
              <w:left w:val="nil"/>
              <w:bottom w:val="single" w:sz="4" w:space="0" w:color="000000"/>
              <w:right w:val="nil"/>
            </w:tcBorders>
            <w:vAlign w:val="center"/>
            <w:hideMark/>
          </w:tcPr>
          <w:p w14:paraId="00E4D145"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nil"/>
              <w:left w:val="nil"/>
              <w:bottom w:val="single" w:sz="4" w:space="0" w:color="000000"/>
              <w:right w:val="nil"/>
            </w:tcBorders>
            <w:vAlign w:val="center"/>
            <w:hideMark/>
          </w:tcPr>
          <w:p w14:paraId="653CF897"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nil"/>
              <w:right w:val="nil"/>
            </w:tcBorders>
            <w:shd w:val="clear" w:color="auto" w:fill="auto"/>
            <w:noWrap/>
            <w:vAlign w:val="bottom"/>
            <w:hideMark/>
          </w:tcPr>
          <w:p w14:paraId="6F199F5B"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Hubei</w:t>
            </w:r>
          </w:p>
        </w:tc>
        <w:tc>
          <w:tcPr>
            <w:tcW w:w="829" w:type="pct"/>
            <w:tcBorders>
              <w:top w:val="nil"/>
              <w:left w:val="nil"/>
              <w:bottom w:val="nil"/>
              <w:right w:val="nil"/>
            </w:tcBorders>
            <w:shd w:val="clear" w:color="auto" w:fill="auto"/>
            <w:noWrap/>
            <w:vAlign w:val="center"/>
            <w:hideMark/>
          </w:tcPr>
          <w:p w14:paraId="45035DF2"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HUB</w:t>
            </w:r>
          </w:p>
        </w:tc>
      </w:tr>
      <w:tr w:rsidR="006A3116" w:rsidRPr="00BA583D" w14:paraId="530E23A5" w14:textId="77777777" w:rsidTr="004C2045">
        <w:trPr>
          <w:trHeight w:val="300"/>
          <w:jc w:val="center"/>
        </w:trPr>
        <w:tc>
          <w:tcPr>
            <w:tcW w:w="2336" w:type="pct"/>
            <w:vMerge/>
            <w:tcBorders>
              <w:top w:val="nil"/>
              <w:left w:val="nil"/>
              <w:bottom w:val="single" w:sz="4" w:space="0" w:color="000000"/>
              <w:right w:val="nil"/>
            </w:tcBorders>
            <w:vAlign w:val="center"/>
            <w:hideMark/>
          </w:tcPr>
          <w:p w14:paraId="5274649D"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nil"/>
              <w:left w:val="nil"/>
              <w:bottom w:val="single" w:sz="4" w:space="0" w:color="000000"/>
              <w:right w:val="nil"/>
            </w:tcBorders>
            <w:vAlign w:val="center"/>
            <w:hideMark/>
          </w:tcPr>
          <w:p w14:paraId="5644CC67"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single" w:sz="4" w:space="0" w:color="auto"/>
              <w:right w:val="nil"/>
            </w:tcBorders>
            <w:shd w:val="clear" w:color="auto" w:fill="auto"/>
            <w:noWrap/>
            <w:vAlign w:val="bottom"/>
            <w:hideMark/>
          </w:tcPr>
          <w:p w14:paraId="28625E71"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Hunan</w:t>
            </w:r>
          </w:p>
        </w:tc>
        <w:tc>
          <w:tcPr>
            <w:tcW w:w="829" w:type="pct"/>
            <w:tcBorders>
              <w:top w:val="nil"/>
              <w:left w:val="nil"/>
              <w:bottom w:val="single" w:sz="4" w:space="0" w:color="auto"/>
              <w:right w:val="nil"/>
            </w:tcBorders>
            <w:shd w:val="clear" w:color="auto" w:fill="auto"/>
            <w:noWrap/>
            <w:vAlign w:val="center"/>
            <w:hideMark/>
          </w:tcPr>
          <w:p w14:paraId="60CDD26A"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HUN</w:t>
            </w:r>
          </w:p>
        </w:tc>
      </w:tr>
      <w:tr w:rsidR="006A3116" w:rsidRPr="00BA583D" w14:paraId="0BAF61D2" w14:textId="77777777" w:rsidTr="004C2045">
        <w:trPr>
          <w:trHeight w:val="300"/>
          <w:jc w:val="center"/>
        </w:trPr>
        <w:tc>
          <w:tcPr>
            <w:tcW w:w="2336" w:type="pct"/>
            <w:vMerge w:val="restart"/>
            <w:tcBorders>
              <w:top w:val="nil"/>
              <w:left w:val="nil"/>
              <w:bottom w:val="single" w:sz="4" w:space="0" w:color="000000"/>
              <w:right w:val="nil"/>
            </w:tcBorders>
            <w:shd w:val="clear" w:color="auto" w:fill="auto"/>
            <w:noWrap/>
            <w:vAlign w:val="center"/>
            <w:hideMark/>
          </w:tcPr>
          <w:p w14:paraId="607A4370"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Northwest Region</w:t>
            </w:r>
          </w:p>
        </w:tc>
        <w:tc>
          <w:tcPr>
            <w:tcW w:w="877" w:type="pct"/>
            <w:vMerge w:val="restart"/>
            <w:tcBorders>
              <w:top w:val="nil"/>
              <w:left w:val="nil"/>
              <w:bottom w:val="single" w:sz="4" w:space="0" w:color="000000"/>
              <w:right w:val="nil"/>
            </w:tcBorders>
            <w:shd w:val="clear" w:color="auto" w:fill="auto"/>
            <w:noWrap/>
            <w:vAlign w:val="center"/>
            <w:hideMark/>
          </w:tcPr>
          <w:p w14:paraId="4D79F900"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NW</w:t>
            </w:r>
          </w:p>
        </w:tc>
        <w:tc>
          <w:tcPr>
            <w:tcW w:w="958" w:type="pct"/>
            <w:tcBorders>
              <w:top w:val="nil"/>
              <w:left w:val="nil"/>
              <w:bottom w:val="nil"/>
              <w:right w:val="nil"/>
            </w:tcBorders>
            <w:shd w:val="clear" w:color="auto" w:fill="auto"/>
            <w:noWrap/>
            <w:vAlign w:val="bottom"/>
            <w:hideMark/>
          </w:tcPr>
          <w:p w14:paraId="5B52629E"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Shanxi</w:t>
            </w:r>
          </w:p>
        </w:tc>
        <w:tc>
          <w:tcPr>
            <w:tcW w:w="829" w:type="pct"/>
            <w:tcBorders>
              <w:top w:val="nil"/>
              <w:left w:val="nil"/>
              <w:bottom w:val="nil"/>
              <w:right w:val="nil"/>
            </w:tcBorders>
            <w:shd w:val="clear" w:color="auto" w:fill="auto"/>
            <w:noWrap/>
            <w:vAlign w:val="center"/>
            <w:hideMark/>
          </w:tcPr>
          <w:p w14:paraId="029E3DA4"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SHX</w:t>
            </w:r>
          </w:p>
        </w:tc>
      </w:tr>
      <w:tr w:rsidR="006A3116" w:rsidRPr="00BA583D" w14:paraId="7B6F8E41" w14:textId="77777777" w:rsidTr="004C2045">
        <w:trPr>
          <w:trHeight w:val="300"/>
          <w:jc w:val="center"/>
        </w:trPr>
        <w:tc>
          <w:tcPr>
            <w:tcW w:w="2336" w:type="pct"/>
            <w:vMerge/>
            <w:tcBorders>
              <w:top w:val="nil"/>
              <w:left w:val="nil"/>
              <w:bottom w:val="single" w:sz="4" w:space="0" w:color="000000"/>
              <w:right w:val="nil"/>
            </w:tcBorders>
            <w:vAlign w:val="center"/>
            <w:hideMark/>
          </w:tcPr>
          <w:p w14:paraId="62487355"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nil"/>
              <w:left w:val="nil"/>
              <w:bottom w:val="single" w:sz="4" w:space="0" w:color="000000"/>
              <w:right w:val="nil"/>
            </w:tcBorders>
            <w:vAlign w:val="center"/>
            <w:hideMark/>
          </w:tcPr>
          <w:p w14:paraId="107D5DA3"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nil"/>
              <w:right w:val="nil"/>
            </w:tcBorders>
            <w:shd w:val="clear" w:color="auto" w:fill="auto"/>
            <w:noWrap/>
            <w:vAlign w:val="bottom"/>
            <w:hideMark/>
          </w:tcPr>
          <w:p w14:paraId="347DF1A2"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Inner Mongolia</w:t>
            </w:r>
          </w:p>
        </w:tc>
        <w:tc>
          <w:tcPr>
            <w:tcW w:w="829" w:type="pct"/>
            <w:tcBorders>
              <w:top w:val="nil"/>
              <w:left w:val="nil"/>
              <w:bottom w:val="nil"/>
              <w:right w:val="nil"/>
            </w:tcBorders>
            <w:shd w:val="clear" w:color="auto" w:fill="auto"/>
            <w:noWrap/>
            <w:vAlign w:val="center"/>
            <w:hideMark/>
          </w:tcPr>
          <w:p w14:paraId="5EABAF43"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NEG</w:t>
            </w:r>
          </w:p>
        </w:tc>
      </w:tr>
      <w:tr w:rsidR="006A3116" w:rsidRPr="00BA583D" w14:paraId="536A4E80" w14:textId="77777777" w:rsidTr="004C2045">
        <w:trPr>
          <w:trHeight w:val="300"/>
          <w:jc w:val="center"/>
        </w:trPr>
        <w:tc>
          <w:tcPr>
            <w:tcW w:w="2336" w:type="pct"/>
            <w:vMerge/>
            <w:tcBorders>
              <w:top w:val="nil"/>
              <w:left w:val="nil"/>
              <w:bottom w:val="single" w:sz="4" w:space="0" w:color="000000"/>
              <w:right w:val="nil"/>
            </w:tcBorders>
            <w:vAlign w:val="center"/>
            <w:hideMark/>
          </w:tcPr>
          <w:p w14:paraId="01B1498E"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nil"/>
              <w:left w:val="nil"/>
              <w:bottom w:val="single" w:sz="4" w:space="0" w:color="000000"/>
              <w:right w:val="nil"/>
            </w:tcBorders>
            <w:vAlign w:val="center"/>
            <w:hideMark/>
          </w:tcPr>
          <w:p w14:paraId="095F7C78"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nil"/>
              <w:right w:val="nil"/>
            </w:tcBorders>
            <w:shd w:val="clear" w:color="auto" w:fill="auto"/>
            <w:noWrap/>
            <w:vAlign w:val="bottom"/>
            <w:hideMark/>
          </w:tcPr>
          <w:p w14:paraId="2F36BDB2"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Shanxi</w:t>
            </w:r>
          </w:p>
        </w:tc>
        <w:tc>
          <w:tcPr>
            <w:tcW w:w="829" w:type="pct"/>
            <w:tcBorders>
              <w:top w:val="nil"/>
              <w:left w:val="nil"/>
              <w:bottom w:val="nil"/>
              <w:right w:val="nil"/>
            </w:tcBorders>
            <w:shd w:val="clear" w:color="auto" w:fill="auto"/>
            <w:noWrap/>
            <w:vAlign w:val="center"/>
            <w:hideMark/>
          </w:tcPr>
          <w:p w14:paraId="621825AD"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SHA</w:t>
            </w:r>
          </w:p>
        </w:tc>
      </w:tr>
      <w:tr w:rsidR="006A3116" w:rsidRPr="00BA583D" w14:paraId="3B88EC45" w14:textId="77777777" w:rsidTr="004C2045">
        <w:trPr>
          <w:trHeight w:val="300"/>
          <w:jc w:val="center"/>
        </w:trPr>
        <w:tc>
          <w:tcPr>
            <w:tcW w:w="2336" w:type="pct"/>
            <w:vMerge/>
            <w:tcBorders>
              <w:top w:val="nil"/>
              <w:left w:val="nil"/>
              <w:bottom w:val="single" w:sz="4" w:space="0" w:color="000000"/>
              <w:right w:val="nil"/>
            </w:tcBorders>
            <w:vAlign w:val="center"/>
            <w:hideMark/>
          </w:tcPr>
          <w:p w14:paraId="30527532"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nil"/>
              <w:left w:val="nil"/>
              <w:bottom w:val="single" w:sz="4" w:space="0" w:color="000000"/>
              <w:right w:val="nil"/>
            </w:tcBorders>
            <w:vAlign w:val="center"/>
            <w:hideMark/>
          </w:tcPr>
          <w:p w14:paraId="6666B9D5"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nil"/>
              <w:right w:val="nil"/>
            </w:tcBorders>
            <w:shd w:val="clear" w:color="auto" w:fill="auto"/>
            <w:noWrap/>
            <w:vAlign w:val="bottom"/>
            <w:hideMark/>
          </w:tcPr>
          <w:p w14:paraId="0DF402D7"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Gansu</w:t>
            </w:r>
          </w:p>
        </w:tc>
        <w:tc>
          <w:tcPr>
            <w:tcW w:w="829" w:type="pct"/>
            <w:tcBorders>
              <w:top w:val="nil"/>
              <w:left w:val="nil"/>
              <w:bottom w:val="nil"/>
              <w:right w:val="nil"/>
            </w:tcBorders>
            <w:shd w:val="clear" w:color="auto" w:fill="auto"/>
            <w:noWrap/>
            <w:vAlign w:val="center"/>
            <w:hideMark/>
          </w:tcPr>
          <w:p w14:paraId="651D9924"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GAS</w:t>
            </w:r>
          </w:p>
        </w:tc>
      </w:tr>
      <w:tr w:rsidR="006A3116" w:rsidRPr="00BA583D" w14:paraId="1535AA29" w14:textId="77777777" w:rsidTr="004C2045">
        <w:trPr>
          <w:trHeight w:val="300"/>
          <w:jc w:val="center"/>
        </w:trPr>
        <w:tc>
          <w:tcPr>
            <w:tcW w:w="2336" w:type="pct"/>
            <w:vMerge/>
            <w:tcBorders>
              <w:top w:val="nil"/>
              <w:left w:val="nil"/>
              <w:bottom w:val="single" w:sz="4" w:space="0" w:color="000000"/>
              <w:right w:val="nil"/>
            </w:tcBorders>
            <w:vAlign w:val="center"/>
            <w:hideMark/>
          </w:tcPr>
          <w:p w14:paraId="0EDCE604"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nil"/>
              <w:left w:val="nil"/>
              <w:bottom w:val="single" w:sz="4" w:space="0" w:color="000000"/>
              <w:right w:val="nil"/>
            </w:tcBorders>
            <w:vAlign w:val="center"/>
            <w:hideMark/>
          </w:tcPr>
          <w:p w14:paraId="4B70DDDA"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nil"/>
              <w:right w:val="nil"/>
            </w:tcBorders>
            <w:shd w:val="clear" w:color="auto" w:fill="auto"/>
            <w:noWrap/>
            <w:vAlign w:val="bottom"/>
            <w:hideMark/>
          </w:tcPr>
          <w:p w14:paraId="43FBC917"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Qinghai</w:t>
            </w:r>
          </w:p>
        </w:tc>
        <w:tc>
          <w:tcPr>
            <w:tcW w:w="829" w:type="pct"/>
            <w:tcBorders>
              <w:top w:val="nil"/>
              <w:left w:val="nil"/>
              <w:bottom w:val="nil"/>
              <w:right w:val="nil"/>
            </w:tcBorders>
            <w:shd w:val="clear" w:color="auto" w:fill="auto"/>
            <w:noWrap/>
            <w:vAlign w:val="center"/>
            <w:hideMark/>
          </w:tcPr>
          <w:p w14:paraId="2D5E497A"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QIH</w:t>
            </w:r>
          </w:p>
        </w:tc>
      </w:tr>
      <w:tr w:rsidR="006A3116" w:rsidRPr="00BA583D" w14:paraId="3DA24638" w14:textId="77777777" w:rsidTr="004C2045">
        <w:trPr>
          <w:trHeight w:val="300"/>
          <w:jc w:val="center"/>
        </w:trPr>
        <w:tc>
          <w:tcPr>
            <w:tcW w:w="2336" w:type="pct"/>
            <w:vMerge/>
            <w:tcBorders>
              <w:top w:val="nil"/>
              <w:left w:val="nil"/>
              <w:bottom w:val="single" w:sz="4" w:space="0" w:color="000000"/>
              <w:right w:val="nil"/>
            </w:tcBorders>
            <w:vAlign w:val="center"/>
            <w:hideMark/>
          </w:tcPr>
          <w:p w14:paraId="46CD9C65"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nil"/>
              <w:left w:val="nil"/>
              <w:bottom w:val="single" w:sz="4" w:space="0" w:color="000000"/>
              <w:right w:val="nil"/>
            </w:tcBorders>
            <w:vAlign w:val="center"/>
            <w:hideMark/>
          </w:tcPr>
          <w:p w14:paraId="58F59CB1"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nil"/>
              <w:right w:val="nil"/>
            </w:tcBorders>
            <w:shd w:val="clear" w:color="auto" w:fill="auto"/>
            <w:noWrap/>
            <w:vAlign w:val="bottom"/>
            <w:hideMark/>
          </w:tcPr>
          <w:p w14:paraId="61890F83"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Ningxia</w:t>
            </w:r>
          </w:p>
        </w:tc>
        <w:tc>
          <w:tcPr>
            <w:tcW w:w="829" w:type="pct"/>
            <w:tcBorders>
              <w:top w:val="nil"/>
              <w:left w:val="nil"/>
              <w:bottom w:val="nil"/>
              <w:right w:val="nil"/>
            </w:tcBorders>
            <w:shd w:val="clear" w:color="auto" w:fill="auto"/>
            <w:noWrap/>
            <w:vAlign w:val="center"/>
            <w:hideMark/>
          </w:tcPr>
          <w:p w14:paraId="6224ECEE"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NXA</w:t>
            </w:r>
          </w:p>
        </w:tc>
      </w:tr>
      <w:tr w:rsidR="006A3116" w:rsidRPr="00BA583D" w14:paraId="2CAEAE0D" w14:textId="77777777" w:rsidTr="004C2045">
        <w:trPr>
          <w:trHeight w:val="300"/>
          <w:jc w:val="center"/>
        </w:trPr>
        <w:tc>
          <w:tcPr>
            <w:tcW w:w="2336" w:type="pct"/>
            <w:vMerge/>
            <w:tcBorders>
              <w:top w:val="nil"/>
              <w:left w:val="nil"/>
              <w:bottom w:val="single" w:sz="4" w:space="0" w:color="000000"/>
              <w:right w:val="nil"/>
            </w:tcBorders>
            <w:vAlign w:val="center"/>
            <w:hideMark/>
          </w:tcPr>
          <w:p w14:paraId="156CB16E"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nil"/>
              <w:left w:val="nil"/>
              <w:bottom w:val="single" w:sz="4" w:space="0" w:color="000000"/>
              <w:right w:val="nil"/>
            </w:tcBorders>
            <w:vAlign w:val="center"/>
            <w:hideMark/>
          </w:tcPr>
          <w:p w14:paraId="05DF8FB2"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single" w:sz="4" w:space="0" w:color="auto"/>
              <w:right w:val="nil"/>
            </w:tcBorders>
            <w:shd w:val="clear" w:color="auto" w:fill="auto"/>
            <w:noWrap/>
            <w:vAlign w:val="bottom"/>
            <w:hideMark/>
          </w:tcPr>
          <w:p w14:paraId="6C98651F"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Xinjiang</w:t>
            </w:r>
          </w:p>
        </w:tc>
        <w:tc>
          <w:tcPr>
            <w:tcW w:w="829" w:type="pct"/>
            <w:tcBorders>
              <w:top w:val="nil"/>
              <w:left w:val="nil"/>
              <w:bottom w:val="single" w:sz="4" w:space="0" w:color="auto"/>
              <w:right w:val="nil"/>
            </w:tcBorders>
            <w:shd w:val="clear" w:color="auto" w:fill="auto"/>
            <w:noWrap/>
            <w:vAlign w:val="center"/>
            <w:hideMark/>
          </w:tcPr>
          <w:p w14:paraId="2D6C3EB7"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XIN</w:t>
            </w:r>
          </w:p>
        </w:tc>
      </w:tr>
      <w:tr w:rsidR="006A3116" w:rsidRPr="00BA583D" w14:paraId="0995BEB8" w14:textId="77777777" w:rsidTr="004C2045">
        <w:trPr>
          <w:trHeight w:val="300"/>
          <w:jc w:val="center"/>
        </w:trPr>
        <w:tc>
          <w:tcPr>
            <w:tcW w:w="2336" w:type="pct"/>
            <w:vMerge w:val="restart"/>
            <w:tcBorders>
              <w:top w:val="nil"/>
              <w:left w:val="nil"/>
              <w:bottom w:val="nil"/>
              <w:right w:val="nil"/>
            </w:tcBorders>
            <w:shd w:val="clear" w:color="auto" w:fill="auto"/>
            <w:noWrap/>
            <w:vAlign w:val="center"/>
            <w:hideMark/>
          </w:tcPr>
          <w:p w14:paraId="4457EBB5"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Northeast Region</w:t>
            </w:r>
          </w:p>
        </w:tc>
        <w:tc>
          <w:tcPr>
            <w:tcW w:w="877" w:type="pct"/>
            <w:vMerge w:val="restart"/>
            <w:tcBorders>
              <w:top w:val="nil"/>
              <w:left w:val="nil"/>
              <w:bottom w:val="nil"/>
              <w:right w:val="nil"/>
            </w:tcBorders>
            <w:shd w:val="clear" w:color="auto" w:fill="auto"/>
            <w:noWrap/>
            <w:vAlign w:val="center"/>
            <w:hideMark/>
          </w:tcPr>
          <w:p w14:paraId="7BFA676D"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NE</w:t>
            </w:r>
          </w:p>
        </w:tc>
        <w:tc>
          <w:tcPr>
            <w:tcW w:w="958" w:type="pct"/>
            <w:tcBorders>
              <w:top w:val="nil"/>
              <w:left w:val="nil"/>
              <w:bottom w:val="nil"/>
              <w:right w:val="nil"/>
            </w:tcBorders>
            <w:shd w:val="clear" w:color="auto" w:fill="auto"/>
            <w:noWrap/>
            <w:vAlign w:val="bottom"/>
            <w:hideMark/>
          </w:tcPr>
          <w:p w14:paraId="505EB749"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Liaoning</w:t>
            </w:r>
          </w:p>
        </w:tc>
        <w:tc>
          <w:tcPr>
            <w:tcW w:w="829" w:type="pct"/>
            <w:tcBorders>
              <w:top w:val="nil"/>
              <w:left w:val="nil"/>
              <w:bottom w:val="nil"/>
              <w:right w:val="nil"/>
            </w:tcBorders>
            <w:shd w:val="clear" w:color="auto" w:fill="auto"/>
            <w:noWrap/>
            <w:vAlign w:val="center"/>
            <w:hideMark/>
          </w:tcPr>
          <w:p w14:paraId="5CAA3A91"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LIA</w:t>
            </w:r>
          </w:p>
        </w:tc>
      </w:tr>
      <w:tr w:rsidR="006A3116" w:rsidRPr="00BA583D" w14:paraId="2DEE77FD" w14:textId="77777777" w:rsidTr="004C2045">
        <w:trPr>
          <w:trHeight w:val="300"/>
          <w:jc w:val="center"/>
        </w:trPr>
        <w:tc>
          <w:tcPr>
            <w:tcW w:w="2336" w:type="pct"/>
            <w:vMerge/>
            <w:tcBorders>
              <w:top w:val="nil"/>
              <w:left w:val="nil"/>
              <w:bottom w:val="nil"/>
              <w:right w:val="nil"/>
            </w:tcBorders>
            <w:vAlign w:val="center"/>
            <w:hideMark/>
          </w:tcPr>
          <w:p w14:paraId="50C25DDA"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nil"/>
              <w:left w:val="nil"/>
              <w:bottom w:val="nil"/>
              <w:right w:val="nil"/>
            </w:tcBorders>
            <w:vAlign w:val="center"/>
            <w:hideMark/>
          </w:tcPr>
          <w:p w14:paraId="4B975933"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nil"/>
              <w:right w:val="nil"/>
            </w:tcBorders>
            <w:shd w:val="clear" w:color="auto" w:fill="auto"/>
            <w:noWrap/>
            <w:vAlign w:val="bottom"/>
            <w:hideMark/>
          </w:tcPr>
          <w:p w14:paraId="0845CDAD"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Jilin</w:t>
            </w:r>
          </w:p>
        </w:tc>
        <w:tc>
          <w:tcPr>
            <w:tcW w:w="829" w:type="pct"/>
            <w:tcBorders>
              <w:top w:val="nil"/>
              <w:left w:val="nil"/>
              <w:bottom w:val="nil"/>
              <w:right w:val="nil"/>
            </w:tcBorders>
            <w:shd w:val="clear" w:color="auto" w:fill="auto"/>
            <w:noWrap/>
            <w:vAlign w:val="center"/>
            <w:hideMark/>
          </w:tcPr>
          <w:p w14:paraId="78F018A5"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JIL</w:t>
            </w:r>
          </w:p>
        </w:tc>
      </w:tr>
      <w:tr w:rsidR="006A3116" w:rsidRPr="00BA583D" w14:paraId="0EE0E734" w14:textId="77777777" w:rsidTr="004C2045">
        <w:trPr>
          <w:trHeight w:val="300"/>
          <w:jc w:val="center"/>
        </w:trPr>
        <w:tc>
          <w:tcPr>
            <w:tcW w:w="2336" w:type="pct"/>
            <w:vMerge/>
            <w:tcBorders>
              <w:top w:val="nil"/>
              <w:left w:val="nil"/>
              <w:bottom w:val="nil"/>
              <w:right w:val="nil"/>
            </w:tcBorders>
            <w:vAlign w:val="center"/>
            <w:hideMark/>
          </w:tcPr>
          <w:p w14:paraId="307DFD1A"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nil"/>
              <w:left w:val="nil"/>
              <w:bottom w:val="nil"/>
              <w:right w:val="nil"/>
            </w:tcBorders>
            <w:vAlign w:val="center"/>
            <w:hideMark/>
          </w:tcPr>
          <w:p w14:paraId="6C63A044"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nil"/>
              <w:right w:val="nil"/>
            </w:tcBorders>
            <w:shd w:val="clear" w:color="auto" w:fill="auto"/>
            <w:noWrap/>
            <w:vAlign w:val="bottom"/>
            <w:hideMark/>
          </w:tcPr>
          <w:p w14:paraId="45083807"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Heilongjiang</w:t>
            </w:r>
          </w:p>
        </w:tc>
        <w:tc>
          <w:tcPr>
            <w:tcW w:w="829" w:type="pct"/>
            <w:tcBorders>
              <w:top w:val="nil"/>
              <w:left w:val="nil"/>
              <w:bottom w:val="nil"/>
              <w:right w:val="nil"/>
            </w:tcBorders>
            <w:shd w:val="clear" w:color="auto" w:fill="auto"/>
            <w:noWrap/>
            <w:vAlign w:val="center"/>
            <w:hideMark/>
          </w:tcPr>
          <w:p w14:paraId="675A50F6"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HLJ</w:t>
            </w:r>
          </w:p>
        </w:tc>
      </w:tr>
      <w:tr w:rsidR="006A3116" w:rsidRPr="00BA583D" w14:paraId="5356E61F" w14:textId="77777777" w:rsidTr="004C2045">
        <w:trPr>
          <w:trHeight w:val="300"/>
          <w:jc w:val="center"/>
        </w:trPr>
        <w:tc>
          <w:tcPr>
            <w:tcW w:w="2336" w:type="pct"/>
            <w:vMerge w:val="restart"/>
            <w:tcBorders>
              <w:top w:val="single" w:sz="4" w:space="0" w:color="auto"/>
              <w:left w:val="nil"/>
              <w:bottom w:val="single" w:sz="4" w:space="0" w:color="000000"/>
              <w:right w:val="nil"/>
            </w:tcBorders>
            <w:shd w:val="clear" w:color="auto" w:fill="auto"/>
            <w:noWrap/>
            <w:vAlign w:val="center"/>
            <w:hideMark/>
          </w:tcPr>
          <w:p w14:paraId="651276B4"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Southwest Region</w:t>
            </w:r>
          </w:p>
        </w:tc>
        <w:tc>
          <w:tcPr>
            <w:tcW w:w="877" w:type="pct"/>
            <w:vMerge w:val="restart"/>
            <w:tcBorders>
              <w:top w:val="single" w:sz="4" w:space="0" w:color="auto"/>
              <w:left w:val="nil"/>
              <w:bottom w:val="single" w:sz="4" w:space="0" w:color="000000"/>
              <w:right w:val="nil"/>
            </w:tcBorders>
            <w:shd w:val="clear" w:color="auto" w:fill="auto"/>
            <w:noWrap/>
            <w:vAlign w:val="center"/>
            <w:hideMark/>
          </w:tcPr>
          <w:p w14:paraId="1060B5CE"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SW</w:t>
            </w:r>
          </w:p>
        </w:tc>
        <w:tc>
          <w:tcPr>
            <w:tcW w:w="958" w:type="pct"/>
            <w:tcBorders>
              <w:top w:val="single" w:sz="4" w:space="0" w:color="auto"/>
              <w:left w:val="nil"/>
              <w:bottom w:val="nil"/>
              <w:right w:val="nil"/>
            </w:tcBorders>
            <w:shd w:val="clear" w:color="auto" w:fill="auto"/>
            <w:noWrap/>
            <w:vAlign w:val="bottom"/>
            <w:hideMark/>
          </w:tcPr>
          <w:p w14:paraId="692B4E37"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Chongqing</w:t>
            </w:r>
          </w:p>
        </w:tc>
        <w:tc>
          <w:tcPr>
            <w:tcW w:w="829" w:type="pct"/>
            <w:tcBorders>
              <w:top w:val="single" w:sz="4" w:space="0" w:color="auto"/>
              <w:left w:val="nil"/>
              <w:bottom w:val="nil"/>
              <w:right w:val="nil"/>
            </w:tcBorders>
            <w:shd w:val="clear" w:color="auto" w:fill="auto"/>
            <w:noWrap/>
            <w:vAlign w:val="center"/>
            <w:hideMark/>
          </w:tcPr>
          <w:p w14:paraId="3D647E87"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CHO</w:t>
            </w:r>
          </w:p>
        </w:tc>
      </w:tr>
      <w:tr w:rsidR="006A3116" w:rsidRPr="00BA583D" w14:paraId="6109C432" w14:textId="77777777" w:rsidTr="004C2045">
        <w:trPr>
          <w:trHeight w:val="300"/>
          <w:jc w:val="center"/>
        </w:trPr>
        <w:tc>
          <w:tcPr>
            <w:tcW w:w="2336" w:type="pct"/>
            <w:vMerge/>
            <w:tcBorders>
              <w:top w:val="single" w:sz="4" w:space="0" w:color="auto"/>
              <w:left w:val="nil"/>
              <w:bottom w:val="single" w:sz="4" w:space="0" w:color="000000"/>
              <w:right w:val="nil"/>
            </w:tcBorders>
            <w:vAlign w:val="center"/>
            <w:hideMark/>
          </w:tcPr>
          <w:p w14:paraId="47C70E60"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single" w:sz="4" w:space="0" w:color="auto"/>
              <w:left w:val="nil"/>
              <w:bottom w:val="single" w:sz="4" w:space="0" w:color="000000"/>
              <w:right w:val="nil"/>
            </w:tcBorders>
            <w:vAlign w:val="center"/>
            <w:hideMark/>
          </w:tcPr>
          <w:p w14:paraId="3A7F4DEB"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nil"/>
              <w:right w:val="nil"/>
            </w:tcBorders>
            <w:shd w:val="clear" w:color="auto" w:fill="auto"/>
            <w:noWrap/>
            <w:vAlign w:val="bottom"/>
            <w:hideMark/>
          </w:tcPr>
          <w:p w14:paraId="40DD106E"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Sichuan</w:t>
            </w:r>
          </w:p>
        </w:tc>
        <w:tc>
          <w:tcPr>
            <w:tcW w:w="829" w:type="pct"/>
            <w:tcBorders>
              <w:top w:val="nil"/>
              <w:left w:val="nil"/>
              <w:bottom w:val="nil"/>
              <w:right w:val="nil"/>
            </w:tcBorders>
            <w:shd w:val="clear" w:color="auto" w:fill="auto"/>
            <w:noWrap/>
            <w:vAlign w:val="center"/>
            <w:hideMark/>
          </w:tcPr>
          <w:p w14:paraId="7BCC208D"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SCH</w:t>
            </w:r>
          </w:p>
        </w:tc>
      </w:tr>
      <w:tr w:rsidR="006A3116" w:rsidRPr="00BA583D" w14:paraId="794DBE73" w14:textId="77777777" w:rsidTr="004C2045">
        <w:trPr>
          <w:trHeight w:val="300"/>
          <w:jc w:val="center"/>
        </w:trPr>
        <w:tc>
          <w:tcPr>
            <w:tcW w:w="2336" w:type="pct"/>
            <w:vMerge/>
            <w:tcBorders>
              <w:top w:val="single" w:sz="4" w:space="0" w:color="auto"/>
              <w:left w:val="nil"/>
              <w:bottom w:val="single" w:sz="4" w:space="0" w:color="000000"/>
              <w:right w:val="nil"/>
            </w:tcBorders>
            <w:vAlign w:val="center"/>
            <w:hideMark/>
          </w:tcPr>
          <w:p w14:paraId="4EB89F7C"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single" w:sz="4" w:space="0" w:color="auto"/>
              <w:left w:val="nil"/>
              <w:bottom w:val="single" w:sz="4" w:space="0" w:color="000000"/>
              <w:right w:val="nil"/>
            </w:tcBorders>
            <w:vAlign w:val="center"/>
            <w:hideMark/>
          </w:tcPr>
          <w:p w14:paraId="1BCB326A"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nil"/>
              <w:right w:val="nil"/>
            </w:tcBorders>
            <w:shd w:val="clear" w:color="auto" w:fill="auto"/>
            <w:noWrap/>
            <w:vAlign w:val="bottom"/>
            <w:hideMark/>
          </w:tcPr>
          <w:p w14:paraId="5D59C23B"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Guizhou</w:t>
            </w:r>
          </w:p>
        </w:tc>
        <w:tc>
          <w:tcPr>
            <w:tcW w:w="829" w:type="pct"/>
            <w:tcBorders>
              <w:top w:val="nil"/>
              <w:left w:val="nil"/>
              <w:bottom w:val="nil"/>
              <w:right w:val="nil"/>
            </w:tcBorders>
            <w:shd w:val="clear" w:color="auto" w:fill="auto"/>
            <w:noWrap/>
            <w:vAlign w:val="center"/>
            <w:hideMark/>
          </w:tcPr>
          <w:p w14:paraId="577D3456"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GUI</w:t>
            </w:r>
          </w:p>
        </w:tc>
      </w:tr>
      <w:tr w:rsidR="006A3116" w:rsidRPr="00BA583D" w14:paraId="60FA952D" w14:textId="77777777" w:rsidTr="004C2045">
        <w:trPr>
          <w:trHeight w:val="300"/>
          <w:jc w:val="center"/>
        </w:trPr>
        <w:tc>
          <w:tcPr>
            <w:tcW w:w="2336" w:type="pct"/>
            <w:vMerge/>
            <w:tcBorders>
              <w:top w:val="single" w:sz="4" w:space="0" w:color="auto"/>
              <w:left w:val="nil"/>
              <w:bottom w:val="single" w:sz="4" w:space="0" w:color="000000"/>
              <w:right w:val="nil"/>
            </w:tcBorders>
            <w:vAlign w:val="center"/>
            <w:hideMark/>
          </w:tcPr>
          <w:p w14:paraId="3690419B"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single" w:sz="4" w:space="0" w:color="auto"/>
              <w:left w:val="nil"/>
              <w:bottom w:val="single" w:sz="4" w:space="0" w:color="000000"/>
              <w:right w:val="nil"/>
            </w:tcBorders>
            <w:vAlign w:val="center"/>
            <w:hideMark/>
          </w:tcPr>
          <w:p w14:paraId="5731ACA7"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nil"/>
              <w:right w:val="nil"/>
            </w:tcBorders>
            <w:shd w:val="clear" w:color="auto" w:fill="auto"/>
            <w:noWrap/>
            <w:vAlign w:val="bottom"/>
            <w:hideMark/>
          </w:tcPr>
          <w:p w14:paraId="27B9583D"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Yunnan</w:t>
            </w:r>
          </w:p>
        </w:tc>
        <w:tc>
          <w:tcPr>
            <w:tcW w:w="829" w:type="pct"/>
            <w:tcBorders>
              <w:top w:val="nil"/>
              <w:left w:val="nil"/>
              <w:bottom w:val="nil"/>
              <w:right w:val="nil"/>
            </w:tcBorders>
            <w:shd w:val="clear" w:color="auto" w:fill="auto"/>
            <w:noWrap/>
            <w:vAlign w:val="center"/>
            <w:hideMark/>
          </w:tcPr>
          <w:p w14:paraId="0C7AE046"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YUN</w:t>
            </w:r>
          </w:p>
        </w:tc>
      </w:tr>
      <w:tr w:rsidR="006A3116" w:rsidRPr="00BA583D" w14:paraId="2C336174" w14:textId="77777777" w:rsidTr="004C2045">
        <w:trPr>
          <w:trHeight w:val="300"/>
          <w:jc w:val="center"/>
        </w:trPr>
        <w:tc>
          <w:tcPr>
            <w:tcW w:w="2336" w:type="pct"/>
            <w:vMerge/>
            <w:tcBorders>
              <w:top w:val="single" w:sz="4" w:space="0" w:color="auto"/>
              <w:left w:val="nil"/>
              <w:bottom w:val="single" w:sz="4" w:space="0" w:color="000000"/>
              <w:right w:val="nil"/>
            </w:tcBorders>
            <w:vAlign w:val="center"/>
            <w:hideMark/>
          </w:tcPr>
          <w:p w14:paraId="0839BE96"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single" w:sz="4" w:space="0" w:color="auto"/>
              <w:left w:val="nil"/>
              <w:bottom w:val="single" w:sz="4" w:space="0" w:color="000000"/>
              <w:right w:val="nil"/>
            </w:tcBorders>
            <w:vAlign w:val="center"/>
            <w:hideMark/>
          </w:tcPr>
          <w:p w14:paraId="2A512ECD"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single" w:sz="4" w:space="0" w:color="auto"/>
              <w:right w:val="nil"/>
            </w:tcBorders>
            <w:shd w:val="clear" w:color="auto" w:fill="auto"/>
            <w:noWrap/>
            <w:vAlign w:val="bottom"/>
            <w:hideMark/>
          </w:tcPr>
          <w:p w14:paraId="077D2BB1"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Xizang</w:t>
            </w:r>
          </w:p>
        </w:tc>
        <w:tc>
          <w:tcPr>
            <w:tcW w:w="829" w:type="pct"/>
            <w:tcBorders>
              <w:top w:val="nil"/>
              <w:left w:val="nil"/>
              <w:bottom w:val="single" w:sz="4" w:space="0" w:color="auto"/>
              <w:right w:val="nil"/>
            </w:tcBorders>
            <w:shd w:val="clear" w:color="auto" w:fill="auto"/>
            <w:noWrap/>
            <w:vAlign w:val="center"/>
            <w:hideMark/>
          </w:tcPr>
          <w:p w14:paraId="6801E822"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TIB</w:t>
            </w:r>
          </w:p>
        </w:tc>
      </w:tr>
      <w:tr w:rsidR="006A3116" w:rsidRPr="00BA583D" w14:paraId="1723C358" w14:textId="77777777" w:rsidTr="004C2045">
        <w:trPr>
          <w:trHeight w:val="300"/>
          <w:jc w:val="center"/>
        </w:trPr>
        <w:tc>
          <w:tcPr>
            <w:tcW w:w="2336" w:type="pct"/>
            <w:vMerge w:val="restart"/>
            <w:tcBorders>
              <w:top w:val="nil"/>
              <w:left w:val="nil"/>
              <w:bottom w:val="single" w:sz="4" w:space="0" w:color="000000"/>
              <w:right w:val="nil"/>
            </w:tcBorders>
            <w:shd w:val="clear" w:color="auto" w:fill="auto"/>
            <w:noWrap/>
            <w:vAlign w:val="center"/>
            <w:hideMark/>
          </w:tcPr>
          <w:p w14:paraId="4A2E77B5"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Southern China Region</w:t>
            </w:r>
          </w:p>
        </w:tc>
        <w:tc>
          <w:tcPr>
            <w:tcW w:w="877" w:type="pct"/>
            <w:vMerge w:val="restart"/>
            <w:tcBorders>
              <w:top w:val="nil"/>
              <w:left w:val="nil"/>
              <w:bottom w:val="single" w:sz="4" w:space="0" w:color="000000"/>
              <w:right w:val="nil"/>
            </w:tcBorders>
            <w:shd w:val="clear" w:color="auto" w:fill="auto"/>
            <w:noWrap/>
            <w:vAlign w:val="center"/>
            <w:hideMark/>
          </w:tcPr>
          <w:p w14:paraId="73B3290D"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SC</w:t>
            </w:r>
          </w:p>
        </w:tc>
        <w:tc>
          <w:tcPr>
            <w:tcW w:w="958" w:type="pct"/>
            <w:tcBorders>
              <w:top w:val="nil"/>
              <w:left w:val="nil"/>
              <w:bottom w:val="nil"/>
              <w:right w:val="nil"/>
            </w:tcBorders>
            <w:shd w:val="clear" w:color="auto" w:fill="auto"/>
            <w:noWrap/>
            <w:vAlign w:val="bottom"/>
            <w:hideMark/>
          </w:tcPr>
          <w:p w14:paraId="3B3AD0CF"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Fujian</w:t>
            </w:r>
          </w:p>
        </w:tc>
        <w:tc>
          <w:tcPr>
            <w:tcW w:w="829" w:type="pct"/>
            <w:tcBorders>
              <w:top w:val="nil"/>
              <w:left w:val="nil"/>
              <w:bottom w:val="nil"/>
              <w:right w:val="nil"/>
            </w:tcBorders>
            <w:shd w:val="clear" w:color="auto" w:fill="auto"/>
            <w:noWrap/>
            <w:vAlign w:val="center"/>
            <w:hideMark/>
          </w:tcPr>
          <w:p w14:paraId="5A695D0E"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FUJ</w:t>
            </w:r>
          </w:p>
        </w:tc>
      </w:tr>
      <w:tr w:rsidR="006A3116" w:rsidRPr="00BA583D" w14:paraId="6F14DB4D" w14:textId="77777777" w:rsidTr="004C2045">
        <w:trPr>
          <w:trHeight w:val="300"/>
          <w:jc w:val="center"/>
        </w:trPr>
        <w:tc>
          <w:tcPr>
            <w:tcW w:w="2336" w:type="pct"/>
            <w:vMerge/>
            <w:tcBorders>
              <w:top w:val="nil"/>
              <w:left w:val="nil"/>
              <w:bottom w:val="single" w:sz="4" w:space="0" w:color="000000"/>
              <w:right w:val="nil"/>
            </w:tcBorders>
            <w:vAlign w:val="center"/>
            <w:hideMark/>
          </w:tcPr>
          <w:p w14:paraId="5209D7F7"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nil"/>
              <w:left w:val="nil"/>
              <w:bottom w:val="single" w:sz="4" w:space="0" w:color="000000"/>
              <w:right w:val="nil"/>
            </w:tcBorders>
            <w:vAlign w:val="center"/>
            <w:hideMark/>
          </w:tcPr>
          <w:p w14:paraId="5EAF0621"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nil"/>
              <w:right w:val="nil"/>
            </w:tcBorders>
            <w:shd w:val="clear" w:color="auto" w:fill="auto"/>
            <w:noWrap/>
            <w:vAlign w:val="bottom"/>
            <w:hideMark/>
          </w:tcPr>
          <w:p w14:paraId="7B8B134D"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Guangdong</w:t>
            </w:r>
          </w:p>
        </w:tc>
        <w:tc>
          <w:tcPr>
            <w:tcW w:w="829" w:type="pct"/>
            <w:tcBorders>
              <w:top w:val="nil"/>
              <w:left w:val="nil"/>
              <w:bottom w:val="nil"/>
              <w:right w:val="nil"/>
            </w:tcBorders>
            <w:shd w:val="clear" w:color="auto" w:fill="auto"/>
            <w:noWrap/>
            <w:vAlign w:val="center"/>
            <w:hideMark/>
          </w:tcPr>
          <w:p w14:paraId="21705FB8"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GUD</w:t>
            </w:r>
          </w:p>
        </w:tc>
      </w:tr>
      <w:tr w:rsidR="006A3116" w:rsidRPr="00BA583D" w14:paraId="05A5E7E0" w14:textId="77777777" w:rsidTr="004C2045">
        <w:trPr>
          <w:trHeight w:val="300"/>
          <w:jc w:val="center"/>
        </w:trPr>
        <w:tc>
          <w:tcPr>
            <w:tcW w:w="2336" w:type="pct"/>
            <w:vMerge/>
            <w:tcBorders>
              <w:top w:val="nil"/>
              <w:left w:val="nil"/>
              <w:bottom w:val="single" w:sz="4" w:space="0" w:color="000000"/>
              <w:right w:val="nil"/>
            </w:tcBorders>
            <w:vAlign w:val="center"/>
            <w:hideMark/>
          </w:tcPr>
          <w:p w14:paraId="0E2E016D"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nil"/>
              <w:left w:val="nil"/>
              <w:bottom w:val="single" w:sz="4" w:space="0" w:color="000000"/>
              <w:right w:val="nil"/>
            </w:tcBorders>
            <w:vAlign w:val="center"/>
            <w:hideMark/>
          </w:tcPr>
          <w:p w14:paraId="15F96E2B"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nil"/>
              <w:right w:val="nil"/>
            </w:tcBorders>
            <w:shd w:val="clear" w:color="auto" w:fill="auto"/>
            <w:noWrap/>
            <w:vAlign w:val="bottom"/>
            <w:hideMark/>
          </w:tcPr>
          <w:p w14:paraId="1D042A9C"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Guangxi</w:t>
            </w:r>
          </w:p>
        </w:tc>
        <w:tc>
          <w:tcPr>
            <w:tcW w:w="829" w:type="pct"/>
            <w:tcBorders>
              <w:top w:val="nil"/>
              <w:left w:val="nil"/>
              <w:bottom w:val="nil"/>
              <w:right w:val="nil"/>
            </w:tcBorders>
            <w:shd w:val="clear" w:color="auto" w:fill="auto"/>
            <w:noWrap/>
            <w:vAlign w:val="center"/>
            <w:hideMark/>
          </w:tcPr>
          <w:p w14:paraId="43E364FC"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GXI</w:t>
            </w:r>
          </w:p>
        </w:tc>
      </w:tr>
      <w:tr w:rsidR="006A3116" w:rsidRPr="00BA583D" w14:paraId="3ECFF08A" w14:textId="77777777" w:rsidTr="004C2045">
        <w:trPr>
          <w:trHeight w:val="300"/>
          <w:jc w:val="center"/>
        </w:trPr>
        <w:tc>
          <w:tcPr>
            <w:tcW w:w="2336" w:type="pct"/>
            <w:vMerge/>
            <w:tcBorders>
              <w:top w:val="nil"/>
              <w:left w:val="nil"/>
              <w:bottom w:val="single" w:sz="4" w:space="0" w:color="000000"/>
              <w:right w:val="nil"/>
            </w:tcBorders>
            <w:vAlign w:val="center"/>
            <w:hideMark/>
          </w:tcPr>
          <w:p w14:paraId="48BD2510" w14:textId="77777777" w:rsidR="006A3116" w:rsidRPr="00BA583D" w:rsidRDefault="006A3116" w:rsidP="004C2045">
            <w:pPr>
              <w:widowControl/>
              <w:jc w:val="left"/>
              <w:rPr>
                <w:rFonts w:eastAsia="等线" w:cs="Times New Roman"/>
                <w:color w:val="000000"/>
                <w:kern w:val="0"/>
                <w:sz w:val="24"/>
                <w:szCs w:val="24"/>
              </w:rPr>
            </w:pPr>
          </w:p>
        </w:tc>
        <w:tc>
          <w:tcPr>
            <w:tcW w:w="877" w:type="pct"/>
            <w:vMerge/>
            <w:tcBorders>
              <w:top w:val="nil"/>
              <w:left w:val="nil"/>
              <w:bottom w:val="single" w:sz="4" w:space="0" w:color="000000"/>
              <w:right w:val="nil"/>
            </w:tcBorders>
            <w:vAlign w:val="center"/>
            <w:hideMark/>
          </w:tcPr>
          <w:p w14:paraId="1B43A27E" w14:textId="77777777" w:rsidR="006A3116" w:rsidRPr="00BA583D" w:rsidRDefault="006A3116" w:rsidP="004C2045">
            <w:pPr>
              <w:widowControl/>
              <w:jc w:val="left"/>
              <w:rPr>
                <w:rFonts w:eastAsia="等线" w:cs="Times New Roman"/>
                <w:color w:val="000000"/>
                <w:kern w:val="0"/>
                <w:sz w:val="24"/>
                <w:szCs w:val="24"/>
              </w:rPr>
            </w:pPr>
          </w:p>
        </w:tc>
        <w:tc>
          <w:tcPr>
            <w:tcW w:w="958" w:type="pct"/>
            <w:tcBorders>
              <w:top w:val="nil"/>
              <w:left w:val="nil"/>
              <w:bottom w:val="single" w:sz="4" w:space="0" w:color="auto"/>
              <w:right w:val="nil"/>
            </w:tcBorders>
            <w:shd w:val="clear" w:color="auto" w:fill="auto"/>
            <w:noWrap/>
            <w:vAlign w:val="bottom"/>
            <w:hideMark/>
          </w:tcPr>
          <w:p w14:paraId="0CBD80C9" w14:textId="77777777" w:rsidR="006A3116" w:rsidRPr="00BA583D" w:rsidRDefault="006A3116" w:rsidP="004C2045">
            <w:pPr>
              <w:widowControl/>
              <w:jc w:val="left"/>
              <w:rPr>
                <w:rFonts w:eastAsia="等线" w:cs="Times New Roman"/>
                <w:color w:val="000000"/>
                <w:kern w:val="0"/>
                <w:sz w:val="24"/>
                <w:szCs w:val="24"/>
              </w:rPr>
            </w:pPr>
            <w:r w:rsidRPr="00BA583D">
              <w:rPr>
                <w:rFonts w:eastAsia="等线" w:cs="Times New Roman"/>
                <w:color w:val="000000"/>
                <w:kern w:val="0"/>
                <w:sz w:val="24"/>
                <w:szCs w:val="24"/>
              </w:rPr>
              <w:t>Hainan</w:t>
            </w:r>
          </w:p>
        </w:tc>
        <w:tc>
          <w:tcPr>
            <w:tcW w:w="829" w:type="pct"/>
            <w:tcBorders>
              <w:top w:val="nil"/>
              <w:left w:val="nil"/>
              <w:bottom w:val="single" w:sz="4" w:space="0" w:color="auto"/>
              <w:right w:val="nil"/>
            </w:tcBorders>
            <w:shd w:val="clear" w:color="auto" w:fill="auto"/>
            <w:noWrap/>
            <w:vAlign w:val="center"/>
            <w:hideMark/>
          </w:tcPr>
          <w:p w14:paraId="5D025DA8" w14:textId="77777777" w:rsidR="006A3116" w:rsidRPr="00BA583D" w:rsidRDefault="006A3116" w:rsidP="004C2045">
            <w:pPr>
              <w:widowControl/>
              <w:jc w:val="center"/>
              <w:rPr>
                <w:rFonts w:eastAsia="等线" w:cs="Times New Roman"/>
                <w:color w:val="000000"/>
                <w:kern w:val="0"/>
                <w:sz w:val="24"/>
                <w:szCs w:val="24"/>
              </w:rPr>
            </w:pPr>
            <w:r w:rsidRPr="00BA583D">
              <w:rPr>
                <w:rFonts w:eastAsia="等线" w:cs="Times New Roman"/>
                <w:color w:val="000000"/>
                <w:kern w:val="0"/>
                <w:sz w:val="24"/>
                <w:szCs w:val="24"/>
              </w:rPr>
              <w:t>HAN</w:t>
            </w:r>
          </w:p>
        </w:tc>
      </w:tr>
    </w:tbl>
    <w:p w14:paraId="4A4BB74C" w14:textId="77777777" w:rsidR="006A3116" w:rsidRPr="00BA583D" w:rsidRDefault="006A3116" w:rsidP="006A3116">
      <w:pPr>
        <w:rPr>
          <w:rFonts w:cs="Times New Roman"/>
          <w:sz w:val="24"/>
          <w:szCs w:val="24"/>
        </w:rPr>
      </w:pPr>
    </w:p>
    <w:p w14:paraId="40D724D8" w14:textId="77777777" w:rsidR="00AA4E7B" w:rsidRPr="00BA583D" w:rsidRDefault="00AA4E7B">
      <w:pPr>
        <w:rPr>
          <w:rFonts w:cs="Times New Roman"/>
          <w:sz w:val="24"/>
          <w:szCs w:val="24"/>
        </w:rPr>
        <w:sectPr w:rsidR="00AA4E7B" w:rsidRPr="00BA583D">
          <w:pgSz w:w="11906" w:h="16838"/>
          <w:pgMar w:top="1440" w:right="1800" w:bottom="1440" w:left="1800" w:header="851" w:footer="992" w:gutter="0"/>
          <w:cols w:space="425"/>
          <w:docGrid w:type="lines" w:linePitch="312"/>
        </w:sectPr>
      </w:pPr>
    </w:p>
    <w:p w14:paraId="0D120F26" w14:textId="39A8FF35" w:rsidR="006B2FBC" w:rsidRPr="00BA583D" w:rsidRDefault="0028695C" w:rsidP="0028695C">
      <w:pPr>
        <w:spacing w:line="360" w:lineRule="auto"/>
        <w:ind w:firstLineChars="200" w:firstLine="480"/>
        <w:jc w:val="center"/>
        <w:rPr>
          <w:rFonts w:cs="Times New Roman"/>
          <w:b/>
          <w:bCs/>
          <w:sz w:val="24"/>
          <w:szCs w:val="24"/>
        </w:rPr>
      </w:pPr>
      <w:bookmarkStart w:id="16" w:name="OLE_LINK3"/>
      <w:r w:rsidRPr="00BA583D">
        <w:rPr>
          <w:rFonts w:cs="Times New Roman"/>
          <w:b/>
          <w:bCs/>
          <w:sz w:val="24"/>
          <w:szCs w:val="24"/>
        </w:rPr>
        <w:lastRenderedPageBreak/>
        <w:t>Table S</w:t>
      </w:r>
      <w:r w:rsidR="008E59FB" w:rsidRPr="00BA583D">
        <w:rPr>
          <w:rFonts w:cs="Times New Roman"/>
          <w:b/>
          <w:bCs/>
          <w:sz w:val="24"/>
          <w:szCs w:val="24"/>
        </w:rPr>
        <w:t>2</w:t>
      </w:r>
      <w:r w:rsidRPr="00BA583D">
        <w:rPr>
          <w:rFonts w:cs="Times New Roman"/>
          <w:b/>
          <w:bCs/>
          <w:sz w:val="24"/>
          <w:szCs w:val="24"/>
        </w:rPr>
        <w:t xml:space="preserve"> NH</w:t>
      </w:r>
      <w:r w:rsidRPr="00BA583D">
        <w:rPr>
          <w:rFonts w:cs="Times New Roman"/>
          <w:b/>
          <w:bCs/>
          <w:sz w:val="24"/>
          <w:szCs w:val="24"/>
          <w:vertAlign w:val="subscript"/>
        </w:rPr>
        <w:t>3</w:t>
      </w:r>
      <w:r w:rsidRPr="00BA583D">
        <w:rPr>
          <w:rFonts w:cs="Times New Roman"/>
          <w:b/>
          <w:bCs/>
          <w:sz w:val="24"/>
          <w:szCs w:val="24"/>
        </w:rPr>
        <w:t xml:space="preserve"> emissions (Gg) from various sources in the different provinces in China in 2017.</w:t>
      </w:r>
    </w:p>
    <w:bookmarkEnd w:id="16"/>
    <w:tbl>
      <w:tblPr>
        <w:tblW w:w="13508" w:type="dxa"/>
        <w:tblInd w:w="-30" w:type="dxa"/>
        <w:tblLayout w:type="fixed"/>
        <w:tblLook w:val="0000" w:firstRow="0" w:lastRow="0" w:firstColumn="0" w:lastColumn="0" w:noHBand="0" w:noVBand="0"/>
      </w:tblPr>
      <w:tblGrid>
        <w:gridCol w:w="850"/>
        <w:gridCol w:w="1165"/>
        <w:gridCol w:w="992"/>
        <w:gridCol w:w="851"/>
        <w:gridCol w:w="980"/>
        <w:gridCol w:w="862"/>
        <w:gridCol w:w="1134"/>
        <w:gridCol w:w="1276"/>
        <w:gridCol w:w="992"/>
        <w:gridCol w:w="141"/>
        <w:gridCol w:w="1123"/>
        <w:gridCol w:w="142"/>
        <w:gridCol w:w="644"/>
        <w:gridCol w:w="418"/>
        <w:gridCol w:w="651"/>
        <w:gridCol w:w="140"/>
        <w:gridCol w:w="887"/>
        <w:gridCol w:w="260"/>
      </w:tblGrid>
      <w:tr w:rsidR="004F6885" w:rsidRPr="000C21BB" w14:paraId="216F253B" w14:textId="77777777" w:rsidTr="00DB49B7">
        <w:trPr>
          <w:trHeight w:val="485"/>
        </w:trPr>
        <w:tc>
          <w:tcPr>
            <w:tcW w:w="850" w:type="dxa"/>
            <w:tcBorders>
              <w:top w:val="single" w:sz="12" w:space="0" w:color="auto"/>
              <w:left w:val="nil"/>
              <w:bottom w:val="single" w:sz="12" w:space="0" w:color="auto"/>
              <w:right w:val="nil"/>
            </w:tcBorders>
          </w:tcPr>
          <w:p w14:paraId="1E0BDC0E" w14:textId="77777777" w:rsidR="004F6885" w:rsidRPr="000C21BB" w:rsidRDefault="004F6885" w:rsidP="004F6885">
            <w:pPr>
              <w:autoSpaceDE w:val="0"/>
              <w:autoSpaceDN w:val="0"/>
              <w:adjustRightInd w:val="0"/>
              <w:spacing w:line="480" w:lineRule="auto"/>
              <w:jc w:val="center"/>
              <w:rPr>
                <w:rFonts w:eastAsia="等线" w:cs="Times New Roman"/>
                <w:color w:val="000000"/>
                <w:kern w:val="0"/>
                <w:szCs w:val="21"/>
              </w:rPr>
            </w:pPr>
          </w:p>
        </w:tc>
        <w:tc>
          <w:tcPr>
            <w:tcW w:w="1165" w:type="dxa"/>
            <w:tcBorders>
              <w:top w:val="single" w:sz="12" w:space="0" w:color="auto"/>
              <w:left w:val="nil"/>
              <w:bottom w:val="single" w:sz="12" w:space="0" w:color="auto"/>
              <w:right w:val="nil"/>
            </w:tcBorders>
            <w:vAlign w:val="center"/>
          </w:tcPr>
          <w:p w14:paraId="4805B74A" w14:textId="5162736F" w:rsidR="004F6885" w:rsidRPr="000C21BB" w:rsidRDefault="004F6885" w:rsidP="004F6885">
            <w:pPr>
              <w:autoSpaceDE w:val="0"/>
              <w:autoSpaceDN w:val="0"/>
              <w:adjustRightInd w:val="0"/>
              <w:spacing w:line="480" w:lineRule="auto"/>
              <w:jc w:val="center"/>
              <w:rPr>
                <w:rFonts w:eastAsia="等线" w:cs="Times New Roman"/>
                <w:color w:val="000000"/>
                <w:kern w:val="0"/>
                <w:szCs w:val="21"/>
              </w:rPr>
            </w:pPr>
            <w:r>
              <w:rPr>
                <w:rFonts w:eastAsia="等线" w:cs="Times New Roman"/>
                <w:color w:val="000000"/>
                <w:szCs w:val="21"/>
              </w:rPr>
              <w:t>Livestock</w:t>
            </w:r>
          </w:p>
        </w:tc>
        <w:tc>
          <w:tcPr>
            <w:tcW w:w="992" w:type="dxa"/>
            <w:tcBorders>
              <w:top w:val="single" w:sz="12" w:space="0" w:color="auto"/>
              <w:left w:val="nil"/>
              <w:bottom w:val="single" w:sz="12" w:space="0" w:color="auto"/>
              <w:right w:val="nil"/>
            </w:tcBorders>
            <w:vAlign w:val="center"/>
          </w:tcPr>
          <w:p w14:paraId="1E55602F" w14:textId="35CF262A" w:rsidR="004F6885" w:rsidRPr="000C21BB" w:rsidRDefault="004F6885" w:rsidP="004F6885">
            <w:pPr>
              <w:autoSpaceDE w:val="0"/>
              <w:autoSpaceDN w:val="0"/>
              <w:adjustRightInd w:val="0"/>
              <w:spacing w:line="480" w:lineRule="auto"/>
              <w:jc w:val="center"/>
              <w:rPr>
                <w:rFonts w:eastAsia="等线" w:cs="Times New Roman"/>
                <w:color w:val="000000"/>
                <w:kern w:val="0"/>
                <w:szCs w:val="21"/>
              </w:rPr>
            </w:pPr>
            <w:r>
              <w:rPr>
                <w:rFonts w:eastAsia="等线" w:cs="Times New Roman"/>
                <w:color w:val="000000"/>
                <w:szCs w:val="21"/>
              </w:rPr>
              <w:t>Fertilizer</w:t>
            </w:r>
          </w:p>
        </w:tc>
        <w:tc>
          <w:tcPr>
            <w:tcW w:w="851" w:type="dxa"/>
            <w:tcBorders>
              <w:top w:val="single" w:sz="12" w:space="0" w:color="auto"/>
              <w:left w:val="nil"/>
              <w:bottom w:val="single" w:sz="12" w:space="0" w:color="auto"/>
              <w:right w:val="nil"/>
            </w:tcBorders>
            <w:vAlign w:val="center"/>
          </w:tcPr>
          <w:p w14:paraId="4C57BDCB" w14:textId="51FC2ED4" w:rsidR="004F6885" w:rsidRPr="000C21BB" w:rsidRDefault="004F6885" w:rsidP="004F6885">
            <w:pPr>
              <w:autoSpaceDE w:val="0"/>
              <w:autoSpaceDN w:val="0"/>
              <w:adjustRightInd w:val="0"/>
              <w:spacing w:line="480" w:lineRule="auto"/>
              <w:jc w:val="center"/>
              <w:rPr>
                <w:rFonts w:eastAsia="等线" w:cs="Times New Roman"/>
                <w:color w:val="000000"/>
                <w:kern w:val="0"/>
                <w:szCs w:val="21"/>
              </w:rPr>
            </w:pPr>
            <w:r>
              <w:rPr>
                <w:rFonts w:eastAsia="等线" w:cs="Times New Roman"/>
                <w:color w:val="000000"/>
                <w:szCs w:val="21"/>
              </w:rPr>
              <w:t>Human</w:t>
            </w:r>
          </w:p>
        </w:tc>
        <w:tc>
          <w:tcPr>
            <w:tcW w:w="980" w:type="dxa"/>
            <w:tcBorders>
              <w:top w:val="single" w:sz="12" w:space="0" w:color="auto"/>
              <w:left w:val="nil"/>
              <w:bottom w:val="single" w:sz="12" w:space="0" w:color="auto"/>
              <w:right w:val="nil"/>
            </w:tcBorders>
            <w:vAlign w:val="center"/>
          </w:tcPr>
          <w:p w14:paraId="5D1902F7" w14:textId="7C1D2113" w:rsidR="004F6885" w:rsidRPr="000C21BB" w:rsidRDefault="004F6885" w:rsidP="004F6885">
            <w:pPr>
              <w:autoSpaceDE w:val="0"/>
              <w:autoSpaceDN w:val="0"/>
              <w:adjustRightInd w:val="0"/>
              <w:jc w:val="center"/>
              <w:rPr>
                <w:rFonts w:eastAsia="等线" w:cs="Times New Roman"/>
                <w:color w:val="000000"/>
                <w:kern w:val="0"/>
                <w:szCs w:val="21"/>
              </w:rPr>
            </w:pPr>
            <w:r>
              <w:rPr>
                <w:rFonts w:eastAsia="等线" w:cs="Times New Roman"/>
                <w:color w:val="000000"/>
                <w:szCs w:val="21"/>
              </w:rPr>
              <w:t>Biomass burning</w:t>
            </w:r>
          </w:p>
        </w:tc>
        <w:tc>
          <w:tcPr>
            <w:tcW w:w="862" w:type="dxa"/>
            <w:tcBorders>
              <w:top w:val="single" w:sz="12" w:space="0" w:color="auto"/>
              <w:left w:val="nil"/>
              <w:bottom w:val="single" w:sz="12" w:space="0" w:color="auto"/>
              <w:right w:val="nil"/>
            </w:tcBorders>
            <w:vAlign w:val="center"/>
          </w:tcPr>
          <w:p w14:paraId="23939EFD" w14:textId="5EFC67B1" w:rsidR="004F6885" w:rsidRPr="000C21BB" w:rsidRDefault="004F6885" w:rsidP="004F6885">
            <w:pPr>
              <w:autoSpaceDE w:val="0"/>
              <w:autoSpaceDN w:val="0"/>
              <w:adjustRightInd w:val="0"/>
              <w:jc w:val="center"/>
              <w:rPr>
                <w:rFonts w:eastAsia="等线" w:cs="Times New Roman"/>
                <w:color w:val="000000"/>
                <w:kern w:val="0"/>
                <w:szCs w:val="21"/>
              </w:rPr>
            </w:pPr>
            <w:r>
              <w:rPr>
                <w:rFonts w:eastAsia="等线" w:cs="Times New Roman"/>
                <w:color w:val="000000"/>
                <w:szCs w:val="21"/>
              </w:rPr>
              <w:t>Vehicle</w:t>
            </w:r>
          </w:p>
        </w:tc>
        <w:tc>
          <w:tcPr>
            <w:tcW w:w="1134" w:type="dxa"/>
            <w:tcBorders>
              <w:top w:val="single" w:sz="12" w:space="0" w:color="auto"/>
              <w:left w:val="nil"/>
              <w:bottom w:val="single" w:sz="12" w:space="0" w:color="auto"/>
              <w:right w:val="nil"/>
            </w:tcBorders>
            <w:vAlign w:val="center"/>
          </w:tcPr>
          <w:p w14:paraId="714720E8" w14:textId="468DAD6C" w:rsidR="004F6885" w:rsidRPr="000C21BB" w:rsidRDefault="004F6885" w:rsidP="004F6885">
            <w:pPr>
              <w:autoSpaceDE w:val="0"/>
              <w:autoSpaceDN w:val="0"/>
              <w:adjustRightInd w:val="0"/>
              <w:jc w:val="center"/>
              <w:rPr>
                <w:rFonts w:eastAsia="等线" w:cs="Times New Roman"/>
                <w:color w:val="000000"/>
                <w:kern w:val="0"/>
                <w:szCs w:val="21"/>
              </w:rPr>
            </w:pPr>
            <w:r>
              <w:rPr>
                <w:rFonts w:eastAsia="等线" w:cs="Times New Roman"/>
                <w:color w:val="000000"/>
                <w:szCs w:val="21"/>
              </w:rPr>
              <w:t>Chemical industry</w:t>
            </w:r>
          </w:p>
        </w:tc>
        <w:tc>
          <w:tcPr>
            <w:tcW w:w="1276" w:type="dxa"/>
            <w:tcBorders>
              <w:top w:val="single" w:sz="12" w:space="0" w:color="auto"/>
              <w:left w:val="nil"/>
              <w:bottom w:val="single" w:sz="12" w:space="0" w:color="auto"/>
              <w:right w:val="nil"/>
            </w:tcBorders>
            <w:vAlign w:val="center"/>
          </w:tcPr>
          <w:p w14:paraId="50C64BAE" w14:textId="2D97FCB0" w:rsidR="004F6885" w:rsidRPr="000C21BB" w:rsidRDefault="004F6885" w:rsidP="004F6885">
            <w:pPr>
              <w:autoSpaceDE w:val="0"/>
              <w:autoSpaceDN w:val="0"/>
              <w:adjustRightInd w:val="0"/>
              <w:jc w:val="center"/>
              <w:rPr>
                <w:rFonts w:eastAsia="等线" w:cs="Times New Roman"/>
                <w:color w:val="000000"/>
                <w:kern w:val="0"/>
                <w:szCs w:val="21"/>
              </w:rPr>
            </w:pPr>
            <w:r>
              <w:rPr>
                <w:rFonts w:eastAsia="等线" w:cs="Times New Roman"/>
                <w:color w:val="000000"/>
                <w:szCs w:val="21"/>
              </w:rPr>
              <w:t>Fossil combustion</w:t>
            </w:r>
          </w:p>
        </w:tc>
        <w:tc>
          <w:tcPr>
            <w:tcW w:w="1133" w:type="dxa"/>
            <w:gridSpan w:val="2"/>
            <w:tcBorders>
              <w:top w:val="single" w:sz="12" w:space="0" w:color="auto"/>
              <w:left w:val="nil"/>
              <w:bottom w:val="single" w:sz="12" w:space="0" w:color="auto"/>
              <w:right w:val="nil"/>
            </w:tcBorders>
            <w:vAlign w:val="center"/>
          </w:tcPr>
          <w:p w14:paraId="62524586" w14:textId="4E44775B" w:rsidR="004F6885" w:rsidRPr="000C21BB" w:rsidRDefault="004F6885" w:rsidP="004F6885">
            <w:pPr>
              <w:autoSpaceDE w:val="0"/>
              <w:autoSpaceDN w:val="0"/>
              <w:adjustRightInd w:val="0"/>
              <w:jc w:val="center"/>
              <w:rPr>
                <w:rFonts w:eastAsia="等线" w:cs="Times New Roman"/>
                <w:color w:val="000000"/>
                <w:kern w:val="0"/>
                <w:szCs w:val="21"/>
              </w:rPr>
            </w:pPr>
            <w:r>
              <w:rPr>
                <w:rFonts w:eastAsia="等线" w:cs="Times New Roman"/>
                <w:color w:val="000000"/>
                <w:szCs w:val="21"/>
              </w:rPr>
              <w:t>Waste treatment</w:t>
            </w:r>
          </w:p>
        </w:tc>
        <w:tc>
          <w:tcPr>
            <w:tcW w:w="1265" w:type="dxa"/>
            <w:gridSpan w:val="2"/>
            <w:tcBorders>
              <w:top w:val="single" w:sz="12" w:space="0" w:color="auto"/>
              <w:left w:val="nil"/>
              <w:bottom w:val="single" w:sz="12" w:space="0" w:color="auto"/>
              <w:right w:val="nil"/>
            </w:tcBorders>
            <w:vAlign w:val="center"/>
          </w:tcPr>
          <w:p w14:paraId="0942146D" w14:textId="2D090AC0" w:rsidR="004F6885" w:rsidRPr="000C21BB" w:rsidRDefault="004F6885" w:rsidP="004F6885">
            <w:pPr>
              <w:autoSpaceDE w:val="0"/>
              <w:autoSpaceDN w:val="0"/>
              <w:adjustRightInd w:val="0"/>
              <w:jc w:val="center"/>
              <w:rPr>
                <w:rFonts w:eastAsia="等线" w:cs="Times New Roman"/>
                <w:color w:val="000000"/>
                <w:kern w:val="0"/>
                <w:szCs w:val="21"/>
              </w:rPr>
            </w:pPr>
            <w:r>
              <w:rPr>
                <w:rFonts w:eastAsia="等线" w:cs="Times New Roman"/>
                <w:color w:val="000000"/>
                <w:szCs w:val="21"/>
              </w:rPr>
              <w:t>Aquaculture</w:t>
            </w:r>
          </w:p>
        </w:tc>
        <w:tc>
          <w:tcPr>
            <w:tcW w:w="1062" w:type="dxa"/>
            <w:gridSpan w:val="2"/>
            <w:tcBorders>
              <w:top w:val="single" w:sz="12" w:space="0" w:color="auto"/>
              <w:left w:val="nil"/>
              <w:bottom w:val="single" w:sz="12" w:space="0" w:color="auto"/>
              <w:right w:val="nil"/>
            </w:tcBorders>
            <w:vAlign w:val="center"/>
          </w:tcPr>
          <w:p w14:paraId="47165EE8" w14:textId="24573B0A" w:rsidR="004F6885" w:rsidRPr="000C21BB" w:rsidRDefault="004F6885" w:rsidP="004F6885">
            <w:pPr>
              <w:autoSpaceDE w:val="0"/>
              <w:autoSpaceDN w:val="0"/>
              <w:adjustRightInd w:val="0"/>
              <w:spacing w:line="480" w:lineRule="auto"/>
              <w:jc w:val="center"/>
              <w:rPr>
                <w:rFonts w:eastAsia="等线" w:cs="Times New Roman"/>
                <w:color w:val="000000"/>
                <w:kern w:val="0"/>
                <w:szCs w:val="21"/>
              </w:rPr>
            </w:pPr>
            <w:r>
              <w:rPr>
                <w:rFonts w:eastAsia="等线" w:cs="Times New Roman"/>
                <w:color w:val="000000"/>
                <w:szCs w:val="21"/>
              </w:rPr>
              <w:t>Grassland</w:t>
            </w:r>
          </w:p>
        </w:tc>
        <w:tc>
          <w:tcPr>
            <w:tcW w:w="791" w:type="dxa"/>
            <w:gridSpan w:val="2"/>
            <w:tcBorders>
              <w:top w:val="single" w:sz="12" w:space="0" w:color="auto"/>
              <w:left w:val="nil"/>
              <w:bottom w:val="single" w:sz="12" w:space="0" w:color="auto"/>
              <w:right w:val="nil"/>
            </w:tcBorders>
            <w:vAlign w:val="center"/>
          </w:tcPr>
          <w:p w14:paraId="4043C4CC" w14:textId="01FF9982" w:rsidR="004F6885" w:rsidRPr="000C21BB" w:rsidRDefault="004F6885" w:rsidP="004F6885">
            <w:pPr>
              <w:autoSpaceDE w:val="0"/>
              <w:autoSpaceDN w:val="0"/>
              <w:adjustRightInd w:val="0"/>
              <w:spacing w:line="480" w:lineRule="auto"/>
              <w:jc w:val="center"/>
              <w:rPr>
                <w:rFonts w:eastAsia="等线" w:cs="Times New Roman"/>
                <w:color w:val="000000"/>
                <w:kern w:val="0"/>
                <w:szCs w:val="21"/>
              </w:rPr>
            </w:pPr>
            <w:r>
              <w:rPr>
                <w:rFonts w:eastAsia="等线" w:cs="Times New Roman"/>
                <w:color w:val="000000"/>
                <w:szCs w:val="21"/>
              </w:rPr>
              <w:t>Others</w:t>
            </w:r>
          </w:p>
        </w:tc>
        <w:tc>
          <w:tcPr>
            <w:tcW w:w="1147" w:type="dxa"/>
            <w:gridSpan w:val="2"/>
            <w:tcBorders>
              <w:top w:val="single" w:sz="12" w:space="0" w:color="auto"/>
              <w:left w:val="nil"/>
              <w:bottom w:val="single" w:sz="12" w:space="0" w:color="auto"/>
              <w:right w:val="nil"/>
            </w:tcBorders>
            <w:vAlign w:val="center"/>
          </w:tcPr>
          <w:p w14:paraId="02E189C6" w14:textId="282E4F21" w:rsidR="004F6885" w:rsidRPr="000C21BB" w:rsidRDefault="004F6885" w:rsidP="004F6885">
            <w:pPr>
              <w:autoSpaceDE w:val="0"/>
              <w:autoSpaceDN w:val="0"/>
              <w:adjustRightInd w:val="0"/>
              <w:spacing w:line="480" w:lineRule="auto"/>
              <w:jc w:val="center"/>
              <w:rPr>
                <w:rFonts w:eastAsia="等线" w:cs="Times New Roman"/>
                <w:color w:val="000000"/>
                <w:kern w:val="0"/>
                <w:szCs w:val="21"/>
              </w:rPr>
            </w:pPr>
            <w:r>
              <w:rPr>
                <w:rFonts w:eastAsia="等线" w:cs="Times New Roman"/>
                <w:color w:val="000000"/>
                <w:szCs w:val="21"/>
              </w:rPr>
              <w:t>Total</w:t>
            </w:r>
          </w:p>
        </w:tc>
      </w:tr>
      <w:tr w:rsidR="002346AC" w:rsidRPr="000C21BB" w14:paraId="7CE9D2C2" w14:textId="77777777" w:rsidTr="00DB49B7">
        <w:trPr>
          <w:gridAfter w:val="1"/>
          <w:wAfter w:w="260" w:type="dxa"/>
          <w:trHeight w:val="250"/>
        </w:trPr>
        <w:tc>
          <w:tcPr>
            <w:tcW w:w="850" w:type="dxa"/>
            <w:tcBorders>
              <w:top w:val="nil"/>
              <w:left w:val="nil"/>
              <w:bottom w:val="nil"/>
              <w:right w:val="nil"/>
            </w:tcBorders>
          </w:tcPr>
          <w:p w14:paraId="3FF41A0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BEJ</w:t>
            </w:r>
          </w:p>
        </w:tc>
        <w:tc>
          <w:tcPr>
            <w:tcW w:w="1165" w:type="dxa"/>
            <w:tcBorders>
              <w:top w:val="nil"/>
              <w:left w:val="nil"/>
              <w:bottom w:val="nil"/>
              <w:right w:val="nil"/>
            </w:tcBorders>
          </w:tcPr>
          <w:p w14:paraId="12978E5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11.2</w:t>
            </w:r>
          </w:p>
        </w:tc>
        <w:tc>
          <w:tcPr>
            <w:tcW w:w="992" w:type="dxa"/>
            <w:tcBorders>
              <w:top w:val="nil"/>
              <w:left w:val="nil"/>
              <w:bottom w:val="nil"/>
              <w:right w:val="nil"/>
            </w:tcBorders>
          </w:tcPr>
          <w:p w14:paraId="5B3C1C2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2.6</w:t>
            </w:r>
          </w:p>
        </w:tc>
        <w:tc>
          <w:tcPr>
            <w:tcW w:w="851" w:type="dxa"/>
            <w:tcBorders>
              <w:top w:val="nil"/>
              <w:left w:val="nil"/>
              <w:bottom w:val="nil"/>
              <w:right w:val="nil"/>
            </w:tcBorders>
          </w:tcPr>
          <w:p w14:paraId="2C111D19"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0.5</w:t>
            </w:r>
          </w:p>
        </w:tc>
        <w:tc>
          <w:tcPr>
            <w:tcW w:w="980" w:type="dxa"/>
            <w:tcBorders>
              <w:top w:val="nil"/>
              <w:left w:val="nil"/>
              <w:bottom w:val="nil"/>
              <w:right w:val="nil"/>
            </w:tcBorders>
          </w:tcPr>
          <w:p w14:paraId="2796178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0.2</w:t>
            </w:r>
          </w:p>
        </w:tc>
        <w:tc>
          <w:tcPr>
            <w:tcW w:w="862" w:type="dxa"/>
            <w:tcBorders>
              <w:top w:val="nil"/>
              <w:left w:val="nil"/>
              <w:bottom w:val="nil"/>
              <w:right w:val="nil"/>
            </w:tcBorders>
          </w:tcPr>
          <w:p w14:paraId="44109E6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12.2</w:t>
            </w:r>
          </w:p>
        </w:tc>
        <w:tc>
          <w:tcPr>
            <w:tcW w:w="1134" w:type="dxa"/>
            <w:tcBorders>
              <w:top w:val="nil"/>
              <w:left w:val="nil"/>
              <w:bottom w:val="nil"/>
              <w:right w:val="nil"/>
            </w:tcBorders>
          </w:tcPr>
          <w:p w14:paraId="4C98EC5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0.0</w:t>
            </w:r>
          </w:p>
        </w:tc>
        <w:tc>
          <w:tcPr>
            <w:tcW w:w="1276" w:type="dxa"/>
            <w:tcBorders>
              <w:top w:val="nil"/>
              <w:left w:val="nil"/>
              <w:bottom w:val="nil"/>
              <w:right w:val="nil"/>
            </w:tcBorders>
          </w:tcPr>
          <w:p w14:paraId="21B0B90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12.0</w:t>
            </w:r>
          </w:p>
        </w:tc>
        <w:tc>
          <w:tcPr>
            <w:tcW w:w="992" w:type="dxa"/>
            <w:tcBorders>
              <w:top w:val="nil"/>
              <w:left w:val="nil"/>
              <w:bottom w:val="nil"/>
              <w:right w:val="nil"/>
            </w:tcBorders>
          </w:tcPr>
          <w:p w14:paraId="13B7041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3.8</w:t>
            </w:r>
          </w:p>
        </w:tc>
        <w:tc>
          <w:tcPr>
            <w:tcW w:w="1264" w:type="dxa"/>
            <w:gridSpan w:val="2"/>
            <w:tcBorders>
              <w:top w:val="nil"/>
              <w:left w:val="nil"/>
              <w:bottom w:val="nil"/>
              <w:right w:val="nil"/>
            </w:tcBorders>
          </w:tcPr>
          <w:p w14:paraId="6F24587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0.4</w:t>
            </w:r>
          </w:p>
        </w:tc>
        <w:tc>
          <w:tcPr>
            <w:tcW w:w="786" w:type="dxa"/>
            <w:gridSpan w:val="2"/>
            <w:tcBorders>
              <w:top w:val="nil"/>
              <w:left w:val="nil"/>
              <w:bottom w:val="nil"/>
              <w:right w:val="nil"/>
            </w:tcBorders>
          </w:tcPr>
          <w:p w14:paraId="6063C2D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0.0</w:t>
            </w:r>
          </w:p>
        </w:tc>
        <w:tc>
          <w:tcPr>
            <w:tcW w:w="1069" w:type="dxa"/>
            <w:gridSpan w:val="2"/>
            <w:tcBorders>
              <w:top w:val="nil"/>
              <w:left w:val="nil"/>
              <w:bottom w:val="nil"/>
              <w:right w:val="nil"/>
            </w:tcBorders>
          </w:tcPr>
          <w:p w14:paraId="6E35E59A"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0.2</w:t>
            </w:r>
          </w:p>
        </w:tc>
        <w:tc>
          <w:tcPr>
            <w:tcW w:w="1027" w:type="dxa"/>
            <w:gridSpan w:val="2"/>
            <w:tcBorders>
              <w:top w:val="nil"/>
              <w:left w:val="nil"/>
              <w:bottom w:val="nil"/>
              <w:right w:val="nil"/>
            </w:tcBorders>
          </w:tcPr>
          <w:p w14:paraId="24B633B1"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43.1</w:t>
            </w:r>
          </w:p>
        </w:tc>
      </w:tr>
      <w:tr w:rsidR="002346AC" w:rsidRPr="000C21BB" w14:paraId="38414D2B" w14:textId="77777777" w:rsidTr="00DB49B7">
        <w:trPr>
          <w:gridAfter w:val="1"/>
          <w:wAfter w:w="260" w:type="dxa"/>
          <w:trHeight w:val="250"/>
        </w:trPr>
        <w:tc>
          <w:tcPr>
            <w:tcW w:w="850" w:type="dxa"/>
            <w:tcBorders>
              <w:top w:val="nil"/>
              <w:left w:val="nil"/>
              <w:bottom w:val="nil"/>
              <w:right w:val="nil"/>
            </w:tcBorders>
          </w:tcPr>
          <w:p w14:paraId="314744E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TAJ</w:t>
            </w:r>
          </w:p>
        </w:tc>
        <w:tc>
          <w:tcPr>
            <w:tcW w:w="1165" w:type="dxa"/>
            <w:tcBorders>
              <w:top w:val="nil"/>
              <w:left w:val="nil"/>
              <w:bottom w:val="nil"/>
              <w:right w:val="nil"/>
            </w:tcBorders>
          </w:tcPr>
          <w:p w14:paraId="162C1A0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22.9</w:t>
            </w:r>
          </w:p>
        </w:tc>
        <w:tc>
          <w:tcPr>
            <w:tcW w:w="992" w:type="dxa"/>
            <w:tcBorders>
              <w:top w:val="nil"/>
              <w:left w:val="nil"/>
              <w:bottom w:val="nil"/>
              <w:right w:val="nil"/>
            </w:tcBorders>
          </w:tcPr>
          <w:p w14:paraId="34EF67E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9.8</w:t>
            </w:r>
          </w:p>
        </w:tc>
        <w:tc>
          <w:tcPr>
            <w:tcW w:w="851" w:type="dxa"/>
            <w:tcBorders>
              <w:top w:val="nil"/>
              <w:left w:val="nil"/>
              <w:bottom w:val="nil"/>
              <w:right w:val="nil"/>
            </w:tcBorders>
          </w:tcPr>
          <w:p w14:paraId="5F717E8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0.6</w:t>
            </w:r>
          </w:p>
        </w:tc>
        <w:tc>
          <w:tcPr>
            <w:tcW w:w="980" w:type="dxa"/>
            <w:tcBorders>
              <w:top w:val="nil"/>
              <w:left w:val="nil"/>
              <w:bottom w:val="nil"/>
              <w:right w:val="nil"/>
            </w:tcBorders>
          </w:tcPr>
          <w:p w14:paraId="200EEB3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0.8</w:t>
            </w:r>
          </w:p>
        </w:tc>
        <w:tc>
          <w:tcPr>
            <w:tcW w:w="862" w:type="dxa"/>
            <w:tcBorders>
              <w:top w:val="nil"/>
              <w:left w:val="nil"/>
              <w:bottom w:val="nil"/>
              <w:right w:val="nil"/>
            </w:tcBorders>
          </w:tcPr>
          <w:p w14:paraId="77615F7C"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6.2</w:t>
            </w:r>
          </w:p>
        </w:tc>
        <w:tc>
          <w:tcPr>
            <w:tcW w:w="1134" w:type="dxa"/>
            <w:tcBorders>
              <w:top w:val="nil"/>
              <w:left w:val="nil"/>
              <w:bottom w:val="nil"/>
              <w:right w:val="nil"/>
            </w:tcBorders>
          </w:tcPr>
          <w:p w14:paraId="6D990A1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0.8</w:t>
            </w:r>
          </w:p>
        </w:tc>
        <w:tc>
          <w:tcPr>
            <w:tcW w:w="1276" w:type="dxa"/>
            <w:tcBorders>
              <w:top w:val="nil"/>
              <w:left w:val="nil"/>
              <w:bottom w:val="nil"/>
              <w:right w:val="nil"/>
            </w:tcBorders>
          </w:tcPr>
          <w:p w14:paraId="2324D98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10.8</w:t>
            </w:r>
          </w:p>
        </w:tc>
        <w:tc>
          <w:tcPr>
            <w:tcW w:w="992" w:type="dxa"/>
            <w:tcBorders>
              <w:top w:val="nil"/>
              <w:left w:val="nil"/>
              <w:bottom w:val="nil"/>
              <w:right w:val="nil"/>
            </w:tcBorders>
          </w:tcPr>
          <w:p w14:paraId="57B9699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1.6</w:t>
            </w:r>
          </w:p>
        </w:tc>
        <w:tc>
          <w:tcPr>
            <w:tcW w:w="1264" w:type="dxa"/>
            <w:gridSpan w:val="2"/>
            <w:tcBorders>
              <w:top w:val="nil"/>
              <w:left w:val="nil"/>
              <w:bottom w:val="nil"/>
              <w:right w:val="nil"/>
            </w:tcBorders>
          </w:tcPr>
          <w:p w14:paraId="7F15322D"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2.8</w:t>
            </w:r>
          </w:p>
        </w:tc>
        <w:tc>
          <w:tcPr>
            <w:tcW w:w="786" w:type="dxa"/>
            <w:gridSpan w:val="2"/>
            <w:tcBorders>
              <w:top w:val="nil"/>
              <w:left w:val="nil"/>
              <w:bottom w:val="nil"/>
              <w:right w:val="nil"/>
            </w:tcBorders>
          </w:tcPr>
          <w:p w14:paraId="6B32E48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0.2</w:t>
            </w:r>
          </w:p>
        </w:tc>
        <w:tc>
          <w:tcPr>
            <w:tcW w:w="1069" w:type="dxa"/>
            <w:gridSpan w:val="2"/>
            <w:tcBorders>
              <w:top w:val="nil"/>
              <w:left w:val="nil"/>
              <w:bottom w:val="nil"/>
              <w:right w:val="nil"/>
            </w:tcBorders>
          </w:tcPr>
          <w:p w14:paraId="1A7501F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0.9</w:t>
            </w:r>
          </w:p>
        </w:tc>
        <w:tc>
          <w:tcPr>
            <w:tcW w:w="1027" w:type="dxa"/>
            <w:gridSpan w:val="2"/>
            <w:tcBorders>
              <w:top w:val="nil"/>
              <w:left w:val="nil"/>
              <w:bottom w:val="nil"/>
              <w:right w:val="nil"/>
            </w:tcBorders>
          </w:tcPr>
          <w:p w14:paraId="15D8C66F"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57.4</w:t>
            </w:r>
          </w:p>
        </w:tc>
      </w:tr>
      <w:tr w:rsidR="002346AC" w:rsidRPr="000C21BB" w14:paraId="082619A4" w14:textId="77777777" w:rsidTr="00DB49B7">
        <w:trPr>
          <w:gridAfter w:val="1"/>
          <w:wAfter w:w="260" w:type="dxa"/>
          <w:trHeight w:val="250"/>
        </w:trPr>
        <w:tc>
          <w:tcPr>
            <w:tcW w:w="850" w:type="dxa"/>
            <w:tcBorders>
              <w:top w:val="nil"/>
              <w:left w:val="nil"/>
              <w:bottom w:val="nil"/>
              <w:right w:val="nil"/>
            </w:tcBorders>
          </w:tcPr>
          <w:p w14:paraId="3C3A30F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HEB</w:t>
            </w:r>
          </w:p>
        </w:tc>
        <w:tc>
          <w:tcPr>
            <w:tcW w:w="1165" w:type="dxa"/>
            <w:tcBorders>
              <w:top w:val="nil"/>
              <w:left w:val="nil"/>
              <w:bottom w:val="nil"/>
              <w:right w:val="nil"/>
            </w:tcBorders>
          </w:tcPr>
          <w:p w14:paraId="1F75D62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264.7</w:t>
            </w:r>
          </w:p>
        </w:tc>
        <w:tc>
          <w:tcPr>
            <w:tcW w:w="992" w:type="dxa"/>
            <w:tcBorders>
              <w:top w:val="nil"/>
              <w:left w:val="nil"/>
              <w:bottom w:val="nil"/>
              <w:right w:val="nil"/>
            </w:tcBorders>
          </w:tcPr>
          <w:p w14:paraId="06A5DFF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168.0</w:t>
            </w:r>
          </w:p>
        </w:tc>
        <w:tc>
          <w:tcPr>
            <w:tcW w:w="851" w:type="dxa"/>
            <w:tcBorders>
              <w:top w:val="nil"/>
              <w:left w:val="nil"/>
              <w:bottom w:val="nil"/>
              <w:right w:val="nil"/>
            </w:tcBorders>
          </w:tcPr>
          <w:p w14:paraId="248D4D3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13.3</w:t>
            </w:r>
          </w:p>
        </w:tc>
        <w:tc>
          <w:tcPr>
            <w:tcW w:w="980" w:type="dxa"/>
            <w:tcBorders>
              <w:top w:val="nil"/>
              <w:left w:val="nil"/>
              <w:bottom w:val="nil"/>
              <w:right w:val="nil"/>
            </w:tcBorders>
          </w:tcPr>
          <w:p w14:paraId="5BD6F11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13.8</w:t>
            </w:r>
          </w:p>
        </w:tc>
        <w:tc>
          <w:tcPr>
            <w:tcW w:w="862" w:type="dxa"/>
            <w:tcBorders>
              <w:top w:val="nil"/>
              <w:left w:val="nil"/>
              <w:bottom w:val="nil"/>
              <w:right w:val="nil"/>
            </w:tcBorders>
          </w:tcPr>
          <w:p w14:paraId="5FEC0A9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30.1</w:t>
            </w:r>
          </w:p>
        </w:tc>
        <w:tc>
          <w:tcPr>
            <w:tcW w:w="1134" w:type="dxa"/>
            <w:tcBorders>
              <w:top w:val="nil"/>
              <w:left w:val="nil"/>
              <w:bottom w:val="nil"/>
              <w:right w:val="nil"/>
            </w:tcBorders>
          </w:tcPr>
          <w:p w14:paraId="7D5E6F9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9.1</w:t>
            </w:r>
          </w:p>
        </w:tc>
        <w:tc>
          <w:tcPr>
            <w:tcW w:w="1276" w:type="dxa"/>
            <w:tcBorders>
              <w:top w:val="nil"/>
              <w:left w:val="nil"/>
              <w:bottom w:val="nil"/>
              <w:right w:val="nil"/>
            </w:tcBorders>
          </w:tcPr>
          <w:p w14:paraId="2AEC951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49.7</w:t>
            </w:r>
          </w:p>
        </w:tc>
        <w:tc>
          <w:tcPr>
            <w:tcW w:w="992" w:type="dxa"/>
            <w:tcBorders>
              <w:top w:val="nil"/>
              <w:left w:val="nil"/>
              <w:bottom w:val="nil"/>
              <w:right w:val="nil"/>
            </w:tcBorders>
          </w:tcPr>
          <w:p w14:paraId="511FFF3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4.0</w:t>
            </w:r>
          </w:p>
        </w:tc>
        <w:tc>
          <w:tcPr>
            <w:tcW w:w="1264" w:type="dxa"/>
            <w:gridSpan w:val="2"/>
            <w:tcBorders>
              <w:top w:val="nil"/>
              <w:left w:val="nil"/>
              <w:bottom w:val="nil"/>
              <w:right w:val="nil"/>
            </w:tcBorders>
          </w:tcPr>
          <w:p w14:paraId="538E26AF"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7.4</w:t>
            </w:r>
          </w:p>
        </w:tc>
        <w:tc>
          <w:tcPr>
            <w:tcW w:w="786" w:type="dxa"/>
            <w:gridSpan w:val="2"/>
            <w:tcBorders>
              <w:top w:val="nil"/>
              <w:left w:val="nil"/>
              <w:bottom w:val="nil"/>
              <w:right w:val="nil"/>
            </w:tcBorders>
          </w:tcPr>
          <w:p w14:paraId="0F6EFBA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9.2</w:t>
            </w:r>
          </w:p>
        </w:tc>
        <w:tc>
          <w:tcPr>
            <w:tcW w:w="1069" w:type="dxa"/>
            <w:gridSpan w:val="2"/>
            <w:tcBorders>
              <w:top w:val="nil"/>
              <w:left w:val="nil"/>
              <w:bottom w:val="nil"/>
              <w:right w:val="nil"/>
            </w:tcBorders>
          </w:tcPr>
          <w:p w14:paraId="2FB883E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17.9</w:t>
            </w:r>
          </w:p>
        </w:tc>
        <w:tc>
          <w:tcPr>
            <w:tcW w:w="1027" w:type="dxa"/>
            <w:gridSpan w:val="2"/>
            <w:tcBorders>
              <w:top w:val="nil"/>
              <w:left w:val="nil"/>
              <w:bottom w:val="nil"/>
              <w:right w:val="nil"/>
            </w:tcBorders>
          </w:tcPr>
          <w:p w14:paraId="54A990D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587.1</w:t>
            </w:r>
          </w:p>
        </w:tc>
      </w:tr>
      <w:tr w:rsidR="002346AC" w:rsidRPr="000C21BB" w14:paraId="28E528A9" w14:textId="77777777" w:rsidTr="00DB49B7">
        <w:trPr>
          <w:gridAfter w:val="1"/>
          <w:wAfter w:w="260" w:type="dxa"/>
          <w:trHeight w:val="250"/>
        </w:trPr>
        <w:tc>
          <w:tcPr>
            <w:tcW w:w="850" w:type="dxa"/>
            <w:tcBorders>
              <w:top w:val="nil"/>
              <w:left w:val="nil"/>
              <w:bottom w:val="nil"/>
              <w:right w:val="nil"/>
            </w:tcBorders>
          </w:tcPr>
          <w:p w14:paraId="38B26F6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SHX</w:t>
            </w:r>
          </w:p>
        </w:tc>
        <w:tc>
          <w:tcPr>
            <w:tcW w:w="1165" w:type="dxa"/>
            <w:tcBorders>
              <w:top w:val="nil"/>
              <w:left w:val="nil"/>
              <w:bottom w:val="nil"/>
              <w:right w:val="nil"/>
            </w:tcBorders>
          </w:tcPr>
          <w:p w14:paraId="3067F56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127.7</w:t>
            </w:r>
          </w:p>
        </w:tc>
        <w:tc>
          <w:tcPr>
            <w:tcW w:w="992" w:type="dxa"/>
            <w:tcBorders>
              <w:top w:val="nil"/>
              <w:left w:val="nil"/>
              <w:bottom w:val="nil"/>
              <w:right w:val="nil"/>
            </w:tcBorders>
          </w:tcPr>
          <w:p w14:paraId="1F3DE1A9"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44.4</w:t>
            </w:r>
          </w:p>
        </w:tc>
        <w:tc>
          <w:tcPr>
            <w:tcW w:w="851" w:type="dxa"/>
            <w:tcBorders>
              <w:top w:val="nil"/>
              <w:left w:val="nil"/>
              <w:bottom w:val="nil"/>
              <w:right w:val="nil"/>
            </w:tcBorders>
          </w:tcPr>
          <w:p w14:paraId="2406CC3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8.8</w:t>
            </w:r>
          </w:p>
        </w:tc>
        <w:tc>
          <w:tcPr>
            <w:tcW w:w="980" w:type="dxa"/>
            <w:tcBorders>
              <w:top w:val="nil"/>
              <w:left w:val="nil"/>
              <w:bottom w:val="nil"/>
              <w:right w:val="nil"/>
            </w:tcBorders>
          </w:tcPr>
          <w:p w14:paraId="33D4255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4.9</w:t>
            </w:r>
          </w:p>
        </w:tc>
        <w:tc>
          <w:tcPr>
            <w:tcW w:w="862" w:type="dxa"/>
            <w:tcBorders>
              <w:top w:val="nil"/>
              <w:left w:val="nil"/>
              <w:bottom w:val="nil"/>
              <w:right w:val="nil"/>
            </w:tcBorders>
          </w:tcPr>
          <w:p w14:paraId="6CA8E3D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13.0</w:t>
            </w:r>
          </w:p>
        </w:tc>
        <w:tc>
          <w:tcPr>
            <w:tcW w:w="1134" w:type="dxa"/>
            <w:tcBorders>
              <w:top w:val="nil"/>
              <w:left w:val="nil"/>
              <w:bottom w:val="nil"/>
              <w:right w:val="nil"/>
            </w:tcBorders>
          </w:tcPr>
          <w:p w14:paraId="26390D7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19.5</w:t>
            </w:r>
          </w:p>
        </w:tc>
        <w:tc>
          <w:tcPr>
            <w:tcW w:w="1276" w:type="dxa"/>
            <w:tcBorders>
              <w:top w:val="nil"/>
              <w:left w:val="nil"/>
              <w:bottom w:val="nil"/>
              <w:right w:val="nil"/>
            </w:tcBorders>
          </w:tcPr>
          <w:p w14:paraId="75C652C9"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46.0</w:t>
            </w:r>
          </w:p>
        </w:tc>
        <w:tc>
          <w:tcPr>
            <w:tcW w:w="992" w:type="dxa"/>
            <w:tcBorders>
              <w:top w:val="nil"/>
              <w:left w:val="nil"/>
              <w:bottom w:val="nil"/>
              <w:right w:val="nil"/>
            </w:tcBorders>
          </w:tcPr>
          <w:p w14:paraId="5462F0F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2.7</w:t>
            </w:r>
          </w:p>
        </w:tc>
        <w:tc>
          <w:tcPr>
            <w:tcW w:w="1264" w:type="dxa"/>
            <w:gridSpan w:val="2"/>
            <w:tcBorders>
              <w:top w:val="nil"/>
              <w:left w:val="nil"/>
              <w:bottom w:val="nil"/>
              <w:right w:val="nil"/>
            </w:tcBorders>
          </w:tcPr>
          <w:p w14:paraId="72C2143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0.5</w:t>
            </w:r>
          </w:p>
        </w:tc>
        <w:tc>
          <w:tcPr>
            <w:tcW w:w="786" w:type="dxa"/>
            <w:gridSpan w:val="2"/>
            <w:tcBorders>
              <w:top w:val="nil"/>
              <w:left w:val="nil"/>
              <w:bottom w:val="nil"/>
              <w:right w:val="nil"/>
            </w:tcBorders>
          </w:tcPr>
          <w:p w14:paraId="1A8E1A1C"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16.7</w:t>
            </w:r>
          </w:p>
        </w:tc>
        <w:tc>
          <w:tcPr>
            <w:tcW w:w="1069" w:type="dxa"/>
            <w:gridSpan w:val="2"/>
            <w:tcBorders>
              <w:top w:val="nil"/>
              <w:left w:val="nil"/>
              <w:bottom w:val="nil"/>
              <w:right w:val="nil"/>
            </w:tcBorders>
          </w:tcPr>
          <w:p w14:paraId="588C6A8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7.5</w:t>
            </w:r>
          </w:p>
        </w:tc>
        <w:tc>
          <w:tcPr>
            <w:tcW w:w="1027" w:type="dxa"/>
            <w:gridSpan w:val="2"/>
            <w:tcBorders>
              <w:top w:val="nil"/>
              <w:left w:val="nil"/>
              <w:bottom w:val="nil"/>
              <w:right w:val="nil"/>
            </w:tcBorders>
          </w:tcPr>
          <w:p w14:paraId="1DDFAC6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291.6</w:t>
            </w:r>
          </w:p>
        </w:tc>
      </w:tr>
      <w:tr w:rsidR="002346AC" w:rsidRPr="000C21BB" w14:paraId="1CFBC859" w14:textId="77777777" w:rsidTr="00DB49B7">
        <w:trPr>
          <w:gridAfter w:val="1"/>
          <w:wAfter w:w="260" w:type="dxa"/>
          <w:trHeight w:val="250"/>
        </w:trPr>
        <w:tc>
          <w:tcPr>
            <w:tcW w:w="850" w:type="dxa"/>
            <w:tcBorders>
              <w:top w:val="nil"/>
              <w:left w:val="nil"/>
              <w:bottom w:val="nil"/>
              <w:right w:val="nil"/>
            </w:tcBorders>
          </w:tcPr>
          <w:p w14:paraId="7A5594F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NEG</w:t>
            </w:r>
          </w:p>
        </w:tc>
        <w:tc>
          <w:tcPr>
            <w:tcW w:w="1165" w:type="dxa"/>
            <w:tcBorders>
              <w:top w:val="nil"/>
              <w:left w:val="nil"/>
              <w:bottom w:val="nil"/>
              <w:right w:val="nil"/>
            </w:tcBorders>
          </w:tcPr>
          <w:p w14:paraId="403FA83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329.6</w:t>
            </w:r>
          </w:p>
        </w:tc>
        <w:tc>
          <w:tcPr>
            <w:tcW w:w="992" w:type="dxa"/>
            <w:tcBorders>
              <w:top w:val="nil"/>
              <w:left w:val="nil"/>
              <w:bottom w:val="nil"/>
              <w:right w:val="nil"/>
            </w:tcBorders>
          </w:tcPr>
          <w:p w14:paraId="6524DE2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98.1</w:t>
            </w:r>
          </w:p>
        </w:tc>
        <w:tc>
          <w:tcPr>
            <w:tcW w:w="851" w:type="dxa"/>
            <w:tcBorders>
              <w:top w:val="nil"/>
              <w:left w:val="nil"/>
              <w:bottom w:val="nil"/>
              <w:right w:val="nil"/>
            </w:tcBorders>
          </w:tcPr>
          <w:p w14:paraId="526C7E4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3.3</w:t>
            </w:r>
          </w:p>
        </w:tc>
        <w:tc>
          <w:tcPr>
            <w:tcW w:w="980" w:type="dxa"/>
            <w:tcBorders>
              <w:top w:val="nil"/>
              <w:left w:val="nil"/>
              <w:bottom w:val="nil"/>
              <w:right w:val="nil"/>
            </w:tcBorders>
          </w:tcPr>
          <w:p w14:paraId="27343A8A"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19.9</w:t>
            </w:r>
          </w:p>
        </w:tc>
        <w:tc>
          <w:tcPr>
            <w:tcW w:w="862" w:type="dxa"/>
            <w:tcBorders>
              <w:top w:val="nil"/>
              <w:left w:val="nil"/>
              <w:bottom w:val="nil"/>
              <w:right w:val="nil"/>
            </w:tcBorders>
          </w:tcPr>
          <w:p w14:paraId="19B6791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10.4</w:t>
            </w:r>
          </w:p>
        </w:tc>
        <w:tc>
          <w:tcPr>
            <w:tcW w:w="1134" w:type="dxa"/>
            <w:tcBorders>
              <w:top w:val="nil"/>
              <w:left w:val="nil"/>
              <w:bottom w:val="nil"/>
              <w:right w:val="nil"/>
            </w:tcBorders>
          </w:tcPr>
          <w:p w14:paraId="084FCFE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21.8</w:t>
            </w:r>
          </w:p>
        </w:tc>
        <w:tc>
          <w:tcPr>
            <w:tcW w:w="1276" w:type="dxa"/>
            <w:tcBorders>
              <w:top w:val="nil"/>
              <w:left w:val="nil"/>
              <w:bottom w:val="nil"/>
              <w:right w:val="nil"/>
            </w:tcBorders>
          </w:tcPr>
          <w:p w14:paraId="78E7B06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39.9</w:t>
            </w:r>
          </w:p>
        </w:tc>
        <w:tc>
          <w:tcPr>
            <w:tcW w:w="992" w:type="dxa"/>
            <w:tcBorders>
              <w:top w:val="nil"/>
              <w:left w:val="nil"/>
              <w:bottom w:val="nil"/>
              <w:right w:val="nil"/>
            </w:tcBorders>
          </w:tcPr>
          <w:p w14:paraId="6B663C7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2.3</w:t>
            </w:r>
          </w:p>
        </w:tc>
        <w:tc>
          <w:tcPr>
            <w:tcW w:w="1264" w:type="dxa"/>
            <w:gridSpan w:val="2"/>
            <w:tcBorders>
              <w:top w:val="nil"/>
              <w:left w:val="nil"/>
              <w:bottom w:val="nil"/>
              <w:right w:val="nil"/>
            </w:tcBorders>
          </w:tcPr>
          <w:p w14:paraId="4C29DF1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1.4</w:t>
            </w:r>
          </w:p>
        </w:tc>
        <w:tc>
          <w:tcPr>
            <w:tcW w:w="786" w:type="dxa"/>
            <w:gridSpan w:val="2"/>
            <w:tcBorders>
              <w:top w:val="nil"/>
              <w:left w:val="nil"/>
              <w:bottom w:val="nil"/>
              <w:right w:val="nil"/>
            </w:tcBorders>
          </w:tcPr>
          <w:p w14:paraId="7D5F808A"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156.7</w:t>
            </w:r>
          </w:p>
        </w:tc>
        <w:tc>
          <w:tcPr>
            <w:tcW w:w="1069" w:type="dxa"/>
            <w:gridSpan w:val="2"/>
            <w:tcBorders>
              <w:top w:val="nil"/>
              <w:left w:val="nil"/>
              <w:bottom w:val="nil"/>
              <w:right w:val="nil"/>
            </w:tcBorders>
          </w:tcPr>
          <w:p w14:paraId="53D3278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19.3</w:t>
            </w:r>
          </w:p>
        </w:tc>
        <w:tc>
          <w:tcPr>
            <w:tcW w:w="1027" w:type="dxa"/>
            <w:gridSpan w:val="2"/>
            <w:tcBorders>
              <w:top w:val="nil"/>
              <w:left w:val="nil"/>
              <w:bottom w:val="nil"/>
              <w:right w:val="nil"/>
            </w:tcBorders>
          </w:tcPr>
          <w:p w14:paraId="669FD6A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702.6</w:t>
            </w:r>
          </w:p>
        </w:tc>
      </w:tr>
      <w:tr w:rsidR="002346AC" w:rsidRPr="000C21BB" w14:paraId="254F8875" w14:textId="77777777" w:rsidTr="00DB49B7">
        <w:trPr>
          <w:gridAfter w:val="1"/>
          <w:wAfter w:w="260" w:type="dxa"/>
          <w:trHeight w:val="250"/>
        </w:trPr>
        <w:tc>
          <w:tcPr>
            <w:tcW w:w="850" w:type="dxa"/>
            <w:tcBorders>
              <w:top w:val="nil"/>
              <w:left w:val="nil"/>
              <w:bottom w:val="nil"/>
              <w:right w:val="nil"/>
            </w:tcBorders>
          </w:tcPr>
          <w:p w14:paraId="0241D0D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LIA</w:t>
            </w:r>
          </w:p>
        </w:tc>
        <w:tc>
          <w:tcPr>
            <w:tcW w:w="1165" w:type="dxa"/>
            <w:tcBorders>
              <w:top w:val="nil"/>
              <w:left w:val="nil"/>
              <w:bottom w:val="nil"/>
              <w:right w:val="nil"/>
            </w:tcBorders>
          </w:tcPr>
          <w:p w14:paraId="31F52E5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208.7</w:t>
            </w:r>
          </w:p>
        </w:tc>
        <w:tc>
          <w:tcPr>
            <w:tcW w:w="992" w:type="dxa"/>
            <w:tcBorders>
              <w:top w:val="nil"/>
              <w:left w:val="nil"/>
              <w:bottom w:val="nil"/>
              <w:right w:val="nil"/>
            </w:tcBorders>
          </w:tcPr>
          <w:p w14:paraId="25FF3A2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82.5</w:t>
            </w:r>
          </w:p>
        </w:tc>
        <w:tc>
          <w:tcPr>
            <w:tcW w:w="851" w:type="dxa"/>
            <w:tcBorders>
              <w:top w:val="nil"/>
              <w:left w:val="nil"/>
              <w:bottom w:val="nil"/>
              <w:right w:val="nil"/>
            </w:tcBorders>
          </w:tcPr>
          <w:p w14:paraId="4B66379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4.7</w:t>
            </w:r>
          </w:p>
        </w:tc>
        <w:tc>
          <w:tcPr>
            <w:tcW w:w="980" w:type="dxa"/>
            <w:tcBorders>
              <w:top w:val="nil"/>
              <w:left w:val="nil"/>
              <w:bottom w:val="nil"/>
              <w:right w:val="nil"/>
            </w:tcBorders>
          </w:tcPr>
          <w:p w14:paraId="2B6F84C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8.7</w:t>
            </w:r>
          </w:p>
        </w:tc>
        <w:tc>
          <w:tcPr>
            <w:tcW w:w="862" w:type="dxa"/>
            <w:tcBorders>
              <w:top w:val="nil"/>
              <w:left w:val="nil"/>
              <w:bottom w:val="nil"/>
              <w:right w:val="nil"/>
            </w:tcBorders>
          </w:tcPr>
          <w:p w14:paraId="7044C55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15.8</w:t>
            </w:r>
          </w:p>
        </w:tc>
        <w:tc>
          <w:tcPr>
            <w:tcW w:w="1134" w:type="dxa"/>
            <w:tcBorders>
              <w:top w:val="nil"/>
              <w:left w:val="nil"/>
              <w:bottom w:val="nil"/>
              <w:right w:val="nil"/>
            </w:tcBorders>
          </w:tcPr>
          <w:p w14:paraId="195383A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2.5</w:t>
            </w:r>
          </w:p>
        </w:tc>
        <w:tc>
          <w:tcPr>
            <w:tcW w:w="1276" w:type="dxa"/>
            <w:tcBorders>
              <w:top w:val="nil"/>
              <w:left w:val="nil"/>
              <w:bottom w:val="nil"/>
              <w:right w:val="nil"/>
            </w:tcBorders>
          </w:tcPr>
          <w:p w14:paraId="33EE90FC"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35.8</w:t>
            </w:r>
          </w:p>
        </w:tc>
        <w:tc>
          <w:tcPr>
            <w:tcW w:w="992" w:type="dxa"/>
            <w:tcBorders>
              <w:top w:val="nil"/>
              <w:left w:val="nil"/>
              <w:bottom w:val="nil"/>
              <w:right w:val="nil"/>
            </w:tcBorders>
          </w:tcPr>
          <w:p w14:paraId="623CDBED"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5.3</w:t>
            </w:r>
          </w:p>
        </w:tc>
        <w:tc>
          <w:tcPr>
            <w:tcW w:w="1264" w:type="dxa"/>
            <w:gridSpan w:val="2"/>
            <w:tcBorders>
              <w:top w:val="nil"/>
              <w:left w:val="nil"/>
              <w:bottom w:val="nil"/>
              <w:right w:val="nil"/>
            </w:tcBorders>
          </w:tcPr>
          <w:p w14:paraId="53CDFEC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28.8</w:t>
            </w:r>
          </w:p>
        </w:tc>
        <w:tc>
          <w:tcPr>
            <w:tcW w:w="786" w:type="dxa"/>
            <w:gridSpan w:val="2"/>
            <w:tcBorders>
              <w:top w:val="nil"/>
              <w:left w:val="nil"/>
              <w:bottom w:val="nil"/>
              <w:right w:val="nil"/>
            </w:tcBorders>
          </w:tcPr>
          <w:p w14:paraId="20B3A61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21.5</w:t>
            </w:r>
          </w:p>
        </w:tc>
        <w:tc>
          <w:tcPr>
            <w:tcW w:w="1069" w:type="dxa"/>
            <w:gridSpan w:val="2"/>
            <w:tcBorders>
              <w:top w:val="nil"/>
              <w:left w:val="nil"/>
              <w:bottom w:val="nil"/>
              <w:right w:val="nil"/>
            </w:tcBorders>
          </w:tcPr>
          <w:p w14:paraId="26F7374A"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9.2</w:t>
            </w:r>
          </w:p>
        </w:tc>
        <w:tc>
          <w:tcPr>
            <w:tcW w:w="1027" w:type="dxa"/>
            <w:gridSpan w:val="2"/>
            <w:tcBorders>
              <w:top w:val="nil"/>
              <w:left w:val="nil"/>
              <w:bottom w:val="nil"/>
              <w:right w:val="nil"/>
            </w:tcBorders>
          </w:tcPr>
          <w:p w14:paraId="7510EC8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423.5</w:t>
            </w:r>
          </w:p>
        </w:tc>
      </w:tr>
      <w:tr w:rsidR="002346AC" w:rsidRPr="000C21BB" w14:paraId="674C4819" w14:textId="77777777" w:rsidTr="00DB49B7">
        <w:trPr>
          <w:gridAfter w:val="1"/>
          <w:wAfter w:w="260" w:type="dxa"/>
          <w:trHeight w:val="250"/>
        </w:trPr>
        <w:tc>
          <w:tcPr>
            <w:tcW w:w="850" w:type="dxa"/>
            <w:tcBorders>
              <w:top w:val="nil"/>
              <w:left w:val="nil"/>
              <w:bottom w:val="nil"/>
              <w:right w:val="nil"/>
            </w:tcBorders>
          </w:tcPr>
          <w:p w14:paraId="7732C2FF"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JIL</w:t>
            </w:r>
          </w:p>
        </w:tc>
        <w:tc>
          <w:tcPr>
            <w:tcW w:w="1165" w:type="dxa"/>
            <w:tcBorders>
              <w:top w:val="nil"/>
              <w:left w:val="nil"/>
              <w:bottom w:val="nil"/>
              <w:right w:val="nil"/>
            </w:tcBorders>
          </w:tcPr>
          <w:p w14:paraId="716FB05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96.7</w:t>
            </w:r>
          </w:p>
        </w:tc>
        <w:tc>
          <w:tcPr>
            <w:tcW w:w="992" w:type="dxa"/>
            <w:tcBorders>
              <w:top w:val="nil"/>
              <w:left w:val="nil"/>
              <w:bottom w:val="nil"/>
              <w:right w:val="nil"/>
            </w:tcBorders>
          </w:tcPr>
          <w:p w14:paraId="64CBDAA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136.0</w:t>
            </w:r>
          </w:p>
        </w:tc>
        <w:tc>
          <w:tcPr>
            <w:tcW w:w="851" w:type="dxa"/>
            <w:tcBorders>
              <w:top w:val="nil"/>
              <w:left w:val="nil"/>
              <w:bottom w:val="nil"/>
              <w:right w:val="nil"/>
            </w:tcBorders>
          </w:tcPr>
          <w:p w14:paraId="7B913B8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3.4</w:t>
            </w:r>
          </w:p>
        </w:tc>
        <w:tc>
          <w:tcPr>
            <w:tcW w:w="980" w:type="dxa"/>
            <w:tcBorders>
              <w:top w:val="nil"/>
              <w:left w:val="nil"/>
              <w:bottom w:val="nil"/>
              <w:right w:val="nil"/>
            </w:tcBorders>
          </w:tcPr>
          <w:p w14:paraId="0DA55641"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15.4</w:t>
            </w:r>
          </w:p>
        </w:tc>
        <w:tc>
          <w:tcPr>
            <w:tcW w:w="862" w:type="dxa"/>
            <w:tcBorders>
              <w:top w:val="nil"/>
              <w:left w:val="nil"/>
              <w:bottom w:val="nil"/>
              <w:right w:val="nil"/>
            </w:tcBorders>
          </w:tcPr>
          <w:p w14:paraId="1AEAB5AF"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8.4</w:t>
            </w:r>
          </w:p>
        </w:tc>
        <w:tc>
          <w:tcPr>
            <w:tcW w:w="1134" w:type="dxa"/>
            <w:tcBorders>
              <w:top w:val="nil"/>
              <w:left w:val="nil"/>
              <w:bottom w:val="nil"/>
              <w:right w:val="nil"/>
            </w:tcBorders>
          </w:tcPr>
          <w:p w14:paraId="3948CBA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0.9</w:t>
            </w:r>
          </w:p>
        </w:tc>
        <w:tc>
          <w:tcPr>
            <w:tcW w:w="1276" w:type="dxa"/>
            <w:tcBorders>
              <w:top w:val="nil"/>
              <w:left w:val="nil"/>
              <w:bottom w:val="nil"/>
              <w:right w:val="nil"/>
            </w:tcBorders>
          </w:tcPr>
          <w:p w14:paraId="38B9675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16.4</w:t>
            </w:r>
          </w:p>
        </w:tc>
        <w:tc>
          <w:tcPr>
            <w:tcW w:w="992" w:type="dxa"/>
            <w:tcBorders>
              <w:top w:val="nil"/>
              <w:left w:val="nil"/>
              <w:bottom w:val="nil"/>
              <w:right w:val="nil"/>
            </w:tcBorders>
          </w:tcPr>
          <w:p w14:paraId="3BBD30E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1.9</w:t>
            </w:r>
          </w:p>
        </w:tc>
        <w:tc>
          <w:tcPr>
            <w:tcW w:w="1264" w:type="dxa"/>
            <w:gridSpan w:val="2"/>
            <w:tcBorders>
              <w:top w:val="nil"/>
              <w:left w:val="nil"/>
              <w:bottom w:val="nil"/>
              <w:right w:val="nil"/>
            </w:tcBorders>
          </w:tcPr>
          <w:p w14:paraId="640989F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2.0</w:t>
            </w:r>
          </w:p>
        </w:tc>
        <w:tc>
          <w:tcPr>
            <w:tcW w:w="786" w:type="dxa"/>
            <w:gridSpan w:val="2"/>
            <w:tcBorders>
              <w:top w:val="nil"/>
              <w:left w:val="nil"/>
              <w:bottom w:val="nil"/>
              <w:right w:val="nil"/>
            </w:tcBorders>
          </w:tcPr>
          <w:p w14:paraId="5CFDF11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14.0</w:t>
            </w:r>
          </w:p>
        </w:tc>
        <w:tc>
          <w:tcPr>
            <w:tcW w:w="1069" w:type="dxa"/>
            <w:gridSpan w:val="2"/>
            <w:tcBorders>
              <w:top w:val="nil"/>
              <w:left w:val="nil"/>
              <w:bottom w:val="nil"/>
              <w:right w:val="nil"/>
            </w:tcBorders>
          </w:tcPr>
          <w:p w14:paraId="1515DF1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14.0</w:t>
            </w:r>
          </w:p>
        </w:tc>
        <w:tc>
          <w:tcPr>
            <w:tcW w:w="1027" w:type="dxa"/>
            <w:gridSpan w:val="2"/>
            <w:tcBorders>
              <w:top w:val="nil"/>
              <w:left w:val="nil"/>
              <w:bottom w:val="nil"/>
              <w:right w:val="nil"/>
            </w:tcBorders>
          </w:tcPr>
          <w:p w14:paraId="031C148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309.1</w:t>
            </w:r>
          </w:p>
        </w:tc>
      </w:tr>
      <w:tr w:rsidR="002346AC" w:rsidRPr="000C21BB" w14:paraId="7A782A31" w14:textId="77777777" w:rsidTr="00DB49B7">
        <w:trPr>
          <w:gridAfter w:val="1"/>
          <w:wAfter w:w="260" w:type="dxa"/>
          <w:trHeight w:val="250"/>
        </w:trPr>
        <w:tc>
          <w:tcPr>
            <w:tcW w:w="850" w:type="dxa"/>
            <w:tcBorders>
              <w:top w:val="nil"/>
              <w:left w:val="nil"/>
              <w:bottom w:val="nil"/>
              <w:right w:val="nil"/>
            </w:tcBorders>
          </w:tcPr>
          <w:p w14:paraId="7476C4B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HLJ</w:t>
            </w:r>
          </w:p>
        </w:tc>
        <w:tc>
          <w:tcPr>
            <w:tcW w:w="1165" w:type="dxa"/>
            <w:tcBorders>
              <w:top w:val="nil"/>
              <w:left w:val="nil"/>
              <w:bottom w:val="nil"/>
              <w:right w:val="nil"/>
            </w:tcBorders>
          </w:tcPr>
          <w:p w14:paraId="0B669FD1"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145.5</w:t>
            </w:r>
          </w:p>
        </w:tc>
        <w:tc>
          <w:tcPr>
            <w:tcW w:w="992" w:type="dxa"/>
            <w:tcBorders>
              <w:top w:val="nil"/>
              <w:left w:val="nil"/>
              <w:bottom w:val="nil"/>
              <w:right w:val="nil"/>
            </w:tcBorders>
          </w:tcPr>
          <w:p w14:paraId="7B0DD2E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154.4</w:t>
            </w:r>
          </w:p>
        </w:tc>
        <w:tc>
          <w:tcPr>
            <w:tcW w:w="851" w:type="dxa"/>
            <w:tcBorders>
              <w:top w:val="nil"/>
              <w:left w:val="nil"/>
              <w:bottom w:val="nil"/>
              <w:right w:val="nil"/>
            </w:tcBorders>
          </w:tcPr>
          <w:p w14:paraId="5C6056FC"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6.3</w:t>
            </w:r>
          </w:p>
        </w:tc>
        <w:tc>
          <w:tcPr>
            <w:tcW w:w="980" w:type="dxa"/>
            <w:tcBorders>
              <w:top w:val="nil"/>
              <w:left w:val="nil"/>
              <w:bottom w:val="nil"/>
              <w:right w:val="nil"/>
            </w:tcBorders>
          </w:tcPr>
          <w:p w14:paraId="76F5D99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35.2</w:t>
            </w:r>
          </w:p>
        </w:tc>
        <w:tc>
          <w:tcPr>
            <w:tcW w:w="862" w:type="dxa"/>
            <w:tcBorders>
              <w:top w:val="nil"/>
              <w:left w:val="nil"/>
              <w:bottom w:val="nil"/>
              <w:right w:val="nil"/>
            </w:tcBorders>
          </w:tcPr>
          <w:p w14:paraId="50A939BD"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9.5</w:t>
            </w:r>
          </w:p>
        </w:tc>
        <w:tc>
          <w:tcPr>
            <w:tcW w:w="1134" w:type="dxa"/>
            <w:tcBorders>
              <w:top w:val="nil"/>
              <w:left w:val="nil"/>
              <w:bottom w:val="nil"/>
              <w:right w:val="nil"/>
            </w:tcBorders>
          </w:tcPr>
          <w:p w14:paraId="0718F76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2.0</w:t>
            </w:r>
          </w:p>
        </w:tc>
        <w:tc>
          <w:tcPr>
            <w:tcW w:w="1276" w:type="dxa"/>
            <w:tcBorders>
              <w:top w:val="nil"/>
              <w:left w:val="nil"/>
              <w:bottom w:val="nil"/>
              <w:right w:val="nil"/>
            </w:tcBorders>
          </w:tcPr>
          <w:p w14:paraId="63D7176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23.8</w:t>
            </w:r>
          </w:p>
        </w:tc>
        <w:tc>
          <w:tcPr>
            <w:tcW w:w="992" w:type="dxa"/>
            <w:tcBorders>
              <w:top w:val="nil"/>
              <w:left w:val="nil"/>
              <w:bottom w:val="nil"/>
              <w:right w:val="nil"/>
            </w:tcBorders>
          </w:tcPr>
          <w:p w14:paraId="4DA9E27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2.8</w:t>
            </w:r>
          </w:p>
        </w:tc>
        <w:tc>
          <w:tcPr>
            <w:tcW w:w="1264" w:type="dxa"/>
            <w:gridSpan w:val="2"/>
            <w:tcBorders>
              <w:top w:val="nil"/>
              <w:left w:val="nil"/>
              <w:bottom w:val="nil"/>
              <w:right w:val="nil"/>
            </w:tcBorders>
          </w:tcPr>
          <w:p w14:paraId="09611E5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5.3</w:t>
            </w:r>
          </w:p>
        </w:tc>
        <w:tc>
          <w:tcPr>
            <w:tcW w:w="786" w:type="dxa"/>
            <w:gridSpan w:val="2"/>
            <w:tcBorders>
              <w:top w:val="nil"/>
              <w:left w:val="nil"/>
              <w:bottom w:val="nil"/>
              <w:right w:val="nil"/>
            </w:tcBorders>
          </w:tcPr>
          <w:p w14:paraId="6DD48FF1"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17.4</w:t>
            </w:r>
          </w:p>
        </w:tc>
        <w:tc>
          <w:tcPr>
            <w:tcW w:w="1069" w:type="dxa"/>
            <w:gridSpan w:val="2"/>
            <w:tcBorders>
              <w:top w:val="nil"/>
              <w:left w:val="nil"/>
              <w:bottom w:val="nil"/>
              <w:right w:val="nil"/>
            </w:tcBorders>
          </w:tcPr>
          <w:p w14:paraId="0EA3093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35.0</w:t>
            </w:r>
          </w:p>
        </w:tc>
        <w:tc>
          <w:tcPr>
            <w:tcW w:w="1027" w:type="dxa"/>
            <w:gridSpan w:val="2"/>
            <w:tcBorders>
              <w:top w:val="nil"/>
              <w:left w:val="nil"/>
              <w:bottom w:val="nil"/>
              <w:right w:val="nil"/>
            </w:tcBorders>
          </w:tcPr>
          <w:p w14:paraId="1FA43B0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437.1</w:t>
            </w:r>
          </w:p>
        </w:tc>
      </w:tr>
      <w:tr w:rsidR="002346AC" w:rsidRPr="000C21BB" w14:paraId="4C1186E0" w14:textId="77777777" w:rsidTr="00DB49B7">
        <w:trPr>
          <w:gridAfter w:val="1"/>
          <w:wAfter w:w="260" w:type="dxa"/>
          <w:trHeight w:val="250"/>
        </w:trPr>
        <w:tc>
          <w:tcPr>
            <w:tcW w:w="850" w:type="dxa"/>
            <w:tcBorders>
              <w:top w:val="nil"/>
              <w:left w:val="nil"/>
              <w:bottom w:val="nil"/>
              <w:right w:val="nil"/>
            </w:tcBorders>
          </w:tcPr>
          <w:p w14:paraId="6EF786A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SHH</w:t>
            </w:r>
          </w:p>
        </w:tc>
        <w:tc>
          <w:tcPr>
            <w:tcW w:w="1165" w:type="dxa"/>
            <w:tcBorders>
              <w:top w:val="nil"/>
              <w:left w:val="nil"/>
              <w:bottom w:val="nil"/>
              <w:right w:val="nil"/>
            </w:tcBorders>
          </w:tcPr>
          <w:p w14:paraId="28F64B7A"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6.7</w:t>
            </w:r>
          </w:p>
        </w:tc>
        <w:tc>
          <w:tcPr>
            <w:tcW w:w="992" w:type="dxa"/>
            <w:tcBorders>
              <w:top w:val="nil"/>
              <w:left w:val="nil"/>
              <w:bottom w:val="nil"/>
              <w:right w:val="nil"/>
            </w:tcBorders>
          </w:tcPr>
          <w:p w14:paraId="0BBA5CD1"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12.5</w:t>
            </w:r>
          </w:p>
        </w:tc>
        <w:tc>
          <w:tcPr>
            <w:tcW w:w="851" w:type="dxa"/>
            <w:tcBorders>
              <w:top w:val="nil"/>
              <w:left w:val="nil"/>
              <w:bottom w:val="nil"/>
              <w:right w:val="nil"/>
            </w:tcBorders>
          </w:tcPr>
          <w:p w14:paraId="07877B1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0.5</w:t>
            </w:r>
          </w:p>
        </w:tc>
        <w:tc>
          <w:tcPr>
            <w:tcW w:w="980" w:type="dxa"/>
            <w:tcBorders>
              <w:top w:val="nil"/>
              <w:left w:val="nil"/>
              <w:bottom w:val="nil"/>
              <w:right w:val="nil"/>
            </w:tcBorders>
          </w:tcPr>
          <w:p w14:paraId="73891D6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0.3</w:t>
            </w:r>
          </w:p>
        </w:tc>
        <w:tc>
          <w:tcPr>
            <w:tcW w:w="862" w:type="dxa"/>
            <w:tcBorders>
              <w:top w:val="nil"/>
              <w:left w:val="nil"/>
              <w:bottom w:val="nil"/>
              <w:right w:val="nil"/>
            </w:tcBorders>
          </w:tcPr>
          <w:p w14:paraId="6E39FDA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8.2</w:t>
            </w:r>
          </w:p>
        </w:tc>
        <w:tc>
          <w:tcPr>
            <w:tcW w:w="1134" w:type="dxa"/>
            <w:tcBorders>
              <w:top w:val="nil"/>
              <w:left w:val="nil"/>
              <w:bottom w:val="nil"/>
              <w:right w:val="nil"/>
            </w:tcBorders>
          </w:tcPr>
          <w:p w14:paraId="41C454E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0.1</w:t>
            </w:r>
          </w:p>
        </w:tc>
        <w:tc>
          <w:tcPr>
            <w:tcW w:w="1276" w:type="dxa"/>
            <w:tcBorders>
              <w:top w:val="nil"/>
              <w:left w:val="nil"/>
              <w:bottom w:val="nil"/>
              <w:right w:val="nil"/>
            </w:tcBorders>
          </w:tcPr>
          <w:p w14:paraId="23FA9B3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21.8</w:t>
            </w:r>
          </w:p>
        </w:tc>
        <w:tc>
          <w:tcPr>
            <w:tcW w:w="992" w:type="dxa"/>
            <w:tcBorders>
              <w:top w:val="nil"/>
              <w:left w:val="nil"/>
              <w:bottom w:val="nil"/>
              <w:right w:val="nil"/>
            </w:tcBorders>
          </w:tcPr>
          <w:p w14:paraId="6020FFF1"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3.8</w:t>
            </w:r>
          </w:p>
        </w:tc>
        <w:tc>
          <w:tcPr>
            <w:tcW w:w="1264" w:type="dxa"/>
            <w:gridSpan w:val="2"/>
            <w:tcBorders>
              <w:top w:val="nil"/>
              <w:left w:val="nil"/>
              <w:bottom w:val="nil"/>
              <w:right w:val="nil"/>
            </w:tcBorders>
          </w:tcPr>
          <w:p w14:paraId="6D07A98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2.2</w:t>
            </w:r>
          </w:p>
        </w:tc>
        <w:tc>
          <w:tcPr>
            <w:tcW w:w="786" w:type="dxa"/>
            <w:gridSpan w:val="2"/>
            <w:tcBorders>
              <w:top w:val="nil"/>
              <w:left w:val="nil"/>
              <w:bottom w:val="nil"/>
              <w:right w:val="nil"/>
            </w:tcBorders>
          </w:tcPr>
          <w:p w14:paraId="59FF65E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0.0</w:t>
            </w:r>
          </w:p>
        </w:tc>
        <w:tc>
          <w:tcPr>
            <w:tcW w:w="1069" w:type="dxa"/>
            <w:gridSpan w:val="2"/>
            <w:tcBorders>
              <w:top w:val="nil"/>
              <w:left w:val="nil"/>
              <w:bottom w:val="nil"/>
              <w:right w:val="nil"/>
            </w:tcBorders>
          </w:tcPr>
          <w:p w14:paraId="35F4274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0.6</w:t>
            </w:r>
          </w:p>
        </w:tc>
        <w:tc>
          <w:tcPr>
            <w:tcW w:w="1027" w:type="dxa"/>
            <w:gridSpan w:val="2"/>
            <w:tcBorders>
              <w:top w:val="nil"/>
              <w:left w:val="nil"/>
              <w:bottom w:val="nil"/>
              <w:right w:val="nil"/>
            </w:tcBorders>
          </w:tcPr>
          <w:p w14:paraId="7294A88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56.6</w:t>
            </w:r>
          </w:p>
        </w:tc>
      </w:tr>
      <w:tr w:rsidR="002346AC" w:rsidRPr="000C21BB" w14:paraId="21967478" w14:textId="77777777" w:rsidTr="00DB49B7">
        <w:trPr>
          <w:gridAfter w:val="1"/>
          <w:wAfter w:w="260" w:type="dxa"/>
          <w:trHeight w:val="250"/>
        </w:trPr>
        <w:tc>
          <w:tcPr>
            <w:tcW w:w="850" w:type="dxa"/>
            <w:tcBorders>
              <w:top w:val="nil"/>
              <w:left w:val="nil"/>
              <w:bottom w:val="nil"/>
              <w:right w:val="nil"/>
            </w:tcBorders>
          </w:tcPr>
          <w:p w14:paraId="57701EC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JSU</w:t>
            </w:r>
          </w:p>
        </w:tc>
        <w:tc>
          <w:tcPr>
            <w:tcW w:w="1165" w:type="dxa"/>
            <w:tcBorders>
              <w:top w:val="nil"/>
              <w:left w:val="nil"/>
              <w:bottom w:val="nil"/>
              <w:right w:val="nil"/>
            </w:tcBorders>
          </w:tcPr>
          <w:p w14:paraId="0358DB1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172.6</w:t>
            </w:r>
          </w:p>
        </w:tc>
        <w:tc>
          <w:tcPr>
            <w:tcW w:w="992" w:type="dxa"/>
            <w:tcBorders>
              <w:top w:val="nil"/>
              <w:left w:val="nil"/>
              <w:bottom w:val="nil"/>
              <w:right w:val="nil"/>
            </w:tcBorders>
          </w:tcPr>
          <w:p w14:paraId="02D98FF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196.4</w:t>
            </w:r>
          </w:p>
        </w:tc>
        <w:tc>
          <w:tcPr>
            <w:tcW w:w="851" w:type="dxa"/>
            <w:tcBorders>
              <w:top w:val="nil"/>
              <w:left w:val="nil"/>
              <w:bottom w:val="nil"/>
              <w:right w:val="nil"/>
            </w:tcBorders>
          </w:tcPr>
          <w:p w14:paraId="6F74E0AD"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2.3</w:t>
            </w:r>
          </w:p>
        </w:tc>
        <w:tc>
          <w:tcPr>
            <w:tcW w:w="980" w:type="dxa"/>
            <w:tcBorders>
              <w:top w:val="nil"/>
              <w:left w:val="nil"/>
              <w:bottom w:val="nil"/>
              <w:right w:val="nil"/>
            </w:tcBorders>
          </w:tcPr>
          <w:p w14:paraId="71DC46E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13.0</w:t>
            </w:r>
          </w:p>
        </w:tc>
        <w:tc>
          <w:tcPr>
            <w:tcW w:w="862" w:type="dxa"/>
            <w:tcBorders>
              <w:top w:val="nil"/>
              <w:left w:val="nil"/>
              <w:bottom w:val="nil"/>
              <w:right w:val="nil"/>
            </w:tcBorders>
          </w:tcPr>
          <w:p w14:paraId="2A991F01"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35.5</w:t>
            </w:r>
          </w:p>
        </w:tc>
        <w:tc>
          <w:tcPr>
            <w:tcW w:w="1134" w:type="dxa"/>
            <w:tcBorders>
              <w:top w:val="nil"/>
              <w:left w:val="nil"/>
              <w:bottom w:val="nil"/>
              <w:right w:val="nil"/>
            </w:tcBorders>
          </w:tcPr>
          <w:p w14:paraId="4F47326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9.1</w:t>
            </w:r>
          </w:p>
        </w:tc>
        <w:tc>
          <w:tcPr>
            <w:tcW w:w="1276" w:type="dxa"/>
            <w:tcBorders>
              <w:top w:val="nil"/>
              <w:left w:val="nil"/>
              <w:bottom w:val="nil"/>
              <w:right w:val="nil"/>
            </w:tcBorders>
          </w:tcPr>
          <w:p w14:paraId="7966108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52.4</w:t>
            </w:r>
          </w:p>
        </w:tc>
        <w:tc>
          <w:tcPr>
            <w:tcW w:w="992" w:type="dxa"/>
            <w:tcBorders>
              <w:top w:val="nil"/>
              <w:left w:val="nil"/>
              <w:bottom w:val="nil"/>
              <w:right w:val="nil"/>
            </w:tcBorders>
          </w:tcPr>
          <w:p w14:paraId="5B950D31"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7.4</w:t>
            </w:r>
          </w:p>
        </w:tc>
        <w:tc>
          <w:tcPr>
            <w:tcW w:w="1264" w:type="dxa"/>
            <w:gridSpan w:val="2"/>
            <w:tcBorders>
              <w:top w:val="nil"/>
              <w:left w:val="nil"/>
              <w:bottom w:val="nil"/>
              <w:right w:val="nil"/>
            </w:tcBorders>
          </w:tcPr>
          <w:p w14:paraId="0027FE4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40.6</w:t>
            </w:r>
          </w:p>
        </w:tc>
        <w:tc>
          <w:tcPr>
            <w:tcW w:w="786" w:type="dxa"/>
            <w:gridSpan w:val="2"/>
            <w:tcBorders>
              <w:top w:val="nil"/>
              <w:left w:val="nil"/>
              <w:bottom w:val="nil"/>
              <w:right w:val="nil"/>
            </w:tcBorders>
          </w:tcPr>
          <w:p w14:paraId="1952855F"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0.8</w:t>
            </w:r>
          </w:p>
        </w:tc>
        <w:tc>
          <w:tcPr>
            <w:tcW w:w="1069" w:type="dxa"/>
            <w:gridSpan w:val="2"/>
            <w:tcBorders>
              <w:top w:val="nil"/>
              <w:left w:val="nil"/>
              <w:bottom w:val="nil"/>
              <w:right w:val="nil"/>
            </w:tcBorders>
          </w:tcPr>
          <w:p w14:paraId="0DD33B0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16.3</w:t>
            </w:r>
          </w:p>
        </w:tc>
        <w:tc>
          <w:tcPr>
            <w:tcW w:w="1027" w:type="dxa"/>
            <w:gridSpan w:val="2"/>
            <w:tcBorders>
              <w:top w:val="nil"/>
              <w:left w:val="nil"/>
              <w:bottom w:val="nil"/>
              <w:right w:val="nil"/>
            </w:tcBorders>
          </w:tcPr>
          <w:p w14:paraId="7B8B144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546.6</w:t>
            </w:r>
          </w:p>
        </w:tc>
      </w:tr>
      <w:tr w:rsidR="002346AC" w:rsidRPr="000C21BB" w14:paraId="02DF32BD" w14:textId="77777777" w:rsidTr="00DB49B7">
        <w:trPr>
          <w:gridAfter w:val="1"/>
          <w:wAfter w:w="260" w:type="dxa"/>
          <w:trHeight w:val="250"/>
        </w:trPr>
        <w:tc>
          <w:tcPr>
            <w:tcW w:w="850" w:type="dxa"/>
            <w:tcBorders>
              <w:top w:val="nil"/>
              <w:left w:val="nil"/>
              <w:bottom w:val="nil"/>
              <w:right w:val="nil"/>
            </w:tcBorders>
          </w:tcPr>
          <w:p w14:paraId="23FEE8F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ZHJ</w:t>
            </w:r>
          </w:p>
        </w:tc>
        <w:tc>
          <w:tcPr>
            <w:tcW w:w="1165" w:type="dxa"/>
            <w:tcBorders>
              <w:top w:val="nil"/>
              <w:left w:val="nil"/>
              <w:bottom w:val="nil"/>
              <w:right w:val="nil"/>
            </w:tcBorders>
          </w:tcPr>
          <w:p w14:paraId="053B857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57.8</w:t>
            </w:r>
          </w:p>
        </w:tc>
        <w:tc>
          <w:tcPr>
            <w:tcW w:w="992" w:type="dxa"/>
            <w:tcBorders>
              <w:top w:val="nil"/>
              <w:left w:val="nil"/>
              <w:bottom w:val="nil"/>
              <w:right w:val="nil"/>
            </w:tcBorders>
          </w:tcPr>
          <w:p w14:paraId="577B581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82.6</w:t>
            </w:r>
          </w:p>
        </w:tc>
        <w:tc>
          <w:tcPr>
            <w:tcW w:w="851" w:type="dxa"/>
            <w:tcBorders>
              <w:top w:val="nil"/>
              <w:left w:val="nil"/>
              <w:bottom w:val="nil"/>
              <w:right w:val="nil"/>
            </w:tcBorders>
          </w:tcPr>
          <w:p w14:paraId="31EEE629"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1.5</w:t>
            </w:r>
          </w:p>
        </w:tc>
        <w:tc>
          <w:tcPr>
            <w:tcW w:w="980" w:type="dxa"/>
            <w:tcBorders>
              <w:top w:val="nil"/>
              <w:left w:val="nil"/>
              <w:bottom w:val="nil"/>
              <w:right w:val="nil"/>
            </w:tcBorders>
          </w:tcPr>
          <w:p w14:paraId="3500862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2.7</w:t>
            </w:r>
          </w:p>
        </w:tc>
        <w:tc>
          <w:tcPr>
            <w:tcW w:w="862" w:type="dxa"/>
            <w:tcBorders>
              <w:top w:val="nil"/>
              <w:left w:val="nil"/>
              <w:bottom w:val="nil"/>
              <w:right w:val="nil"/>
            </w:tcBorders>
          </w:tcPr>
          <w:p w14:paraId="7026E559"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29.9</w:t>
            </w:r>
          </w:p>
        </w:tc>
        <w:tc>
          <w:tcPr>
            <w:tcW w:w="1134" w:type="dxa"/>
            <w:tcBorders>
              <w:top w:val="nil"/>
              <w:left w:val="nil"/>
              <w:bottom w:val="nil"/>
              <w:right w:val="nil"/>
            </w:tcBorders>
          </w:tcPr>
          <w:p w14:paraId="1F39721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2.2</w:t>
            </w:r>
          </w:p>
        </w:tc>
        <w:tc>
          <w:tcPr>
            <w:tcW w:w="1276" w:type="dxa"/>
            <w:tcBorders>
              <w:top w:val="nil"/>
              <w:left w:val="nil"/>
              <w:bottom w:val="nil"/>
              <w:right w:val="nil"/>
            </w:tcBorders>
          </w:tcPr>
          <w:p w14:paraId="79DB498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34.6</w:t>
            </w:r>
          </w:p>
        </w:tc>
        <w:tc>
          <w:tcPr>
            <w:tcW w:w="992" w:type="dxa"/>
            <w:tcBorders>
              <w:top w:val="nil"/>
              <w:left w:val="nil"/>
              <w:bottom w:val="nil"/>
              <w:right w:val="nil"/>
            </w:tcBorders>
          </w:tcPr>
          <w:p w14:paraId="6C9FAF9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7.1</w:t>
            </w:r>
          </w:p>
        </w:tc>
        <w:tc>
          <w:tcPr>
            <w:tcW w:w="1264" w:type="dxa"/>
            <w:gridSpan w:val="2"/>
            <w:tcBorders>
              <w:top w:val="nil"/>
              <w:left w:val="nil"/>
              <w:bottom w:val="nil"/>
              <w:right w:val="nil"/>
            </w:tcBorders>
          </w:tcPr>
          <w:p w14:paraId="451FB92D"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42.5</w:t>
            </w:r>
          </w:p>
        </w:tc>
        <w:tc>
          <w:tcPr>
            <w:tcW w:w="786" w:type="dxa"/>
            <w:gridSpan w:val="2"/>
            <w:tcBorders>
              <w:top w:val="nil"/>
              <w:left w:val="nil"/>
              <w:bottom w:val="nil"/>
              <w:right w:val="nil"/>
            </w:tcBorders>
          </w:tcPr>
          <w:p w14:paraId="6D0FC94A"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0.0</w:t>
            </w:r>
          </w:p>
        </w:tc>
        <w:tc>
          <w:tcPr>
            <w:tcW w:w="1069" w:type="dxa"/>
            <w:gridSpan w:val="2"/>
            <w:tcBorders>
              <w:top w:val="nil"/>
              <w:left w:val="nil"/>
              <w:bottom w:val="nil"/>
              <w:right w:val="nil"/>
            </w:tcBorders>
          </w:tcPr>
          <w:p w14:paraId="11AA02D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4.1</w:t>
            </w:r>
          </w:p>
        </w:tc>
        <w:tc>
          <w:tcPr>
            <w:tcW w:w="1027" w:type="dxa"/>
            <w:gridSpan w:val="2"/>
            <w:tcBorders>
              <w:top w:val="nil"/>
              <w:left w:val="nil"/>
              <w:bottom w:val="nil"/>
              <w:right w:val="nil"/>
            </w:tcBorders>
          </w:tcPr>
          <w:p w14:paraId="423B956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265.0</w:t>
            </w:r>
          </w:p>
        </w:tc>
      </w:tr>
      <w:tr w:rsidR="002346AC" w:rsidRPr="000C21BB" w14:paraId="35BB8E4A" w14:textId="77777777" w:rsidTr="00DB49B7">
        <w:trPr>
          <w:gridAfter w:val="1"/>
          <w:wAfter w:w="260" w:type="dxa"/>
          <w:trHeight w:val="250"/>
        </w:trPr>
        <w:tc>
          <w:tcPr>
            <w:tcW w:w="850" w:type="dxa"/>
            <w:tcBorders>
              <w:top w:val="nil"/>
              <w:left w:val="nil"/>
              <w:bottom w:val="nil"/>
              <w:right w:val="nil"/>
            </w:tcBorders>
          </w:tcPr>
          <w:p w14:paraId="47AA377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ANH</w:t>
            </w:r>
          </w:p>
        </w:tc>
        <w:tc>
          <w:tcPr>
            <w:tcW w:w="1165" w:type="dxa"/>
            <w:tcBorders>
              <w:top w:val="nil"/>
              <w:left w:val="nil"/>
              <w:bottom w:val="nil"/>
              <w:right w:val="nil"/>
            </w:tcBorders>
          </w:tcPr>
          <w:p w14:paraId="681F33B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153.6</w:t>
            </w:r>
          </w:p>
        </w:tc>
        <w:tc>
          <w:tcPr>
            <w:tcW w:w="992" w:type="dxa"/>
            <w:tcBorders>
              <w:top w:val="nil"/>
              <w:left w:val="nil"/>
              <w:bottom w:val="nil"/>
              <w:right w:val="nil"/>
            </w:tcBorders>
          </w:tcPr>
          <w:p w14:paraId="100FCFA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234.8</w:t>
            </w:r>
          </w:p>
        </w:tc>
        <w:tc>
          <w:tcPr>
            <w:tcW w:w="851" w:type="dxa"/>
            <w:tcBorders>
              <w:top w:val="nil"/>
              <w:left w:val="nil"/>
              <w:bottom w:val="nil"/>
              <w:right w:val="nil"/>
            </w:tcBorders>
          </w:tcPr>
          <w:p w14:paraId="499DB07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11.2</w:t>
            </w:r>
          </w:p>
        </w:tc>
        <w:tc>
          <w:tcPr>
            <w:tcW w:w="980" w:type="dxa"/>
            <w:tcBorders>
              <w:top w:val="nil"/>
              <w:left w:val="nil"/>
              <w:bottom w:val="nil"/>
              <w:right w:val="nil"/>
            </w:tcBorders>
          </w:tcPr>
          <w:p w14:paraId="41871ED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15.5</w:t>
            </w:r>
          </w:p>
        </w:tc>
        <w:tc>
          <w:tcPr>
            <w:tcW w:w="862" w:type="dxa"/>
            <w:tcBorders>
              <w:top w:val="nil"/>
              <w:left w:val="nil"/>
              <w:bottom w:val="nil"/>
              <w:right w:val="nil"/>
            </w:tcBorders>
          </w:tcPr>
          <w:p w14:paraId="77B8047C"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15.4</w:t>
            </w:r>
          </w:p>
        </w:tc>
        <w:tc>
          <w:tcPr>
            <w:tcW w:w="1134" w:type="dxa"/>
            <w:tcBorders>
              <w:top w:val="nil"/>
              <w:left w:val="nil"/>
              <w:bottom w:val="nil"/>
              <w:right w:val="nil"/>
            </w:tcBorders>
          </w:tcPr>
          <w:p w14:paraId="6991011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7.3</w:t>
            </w:r>
          </w:p>
        </w:tc>
        <w:tc>
          <w:tcPr>
            <w:tcW w:w="1276" w:type="dxa"/>
            <w:tcBorders>
              <w:top w:val="nil"/>
              <w:left w:val="nil"/>
              <w:bottom w:val="nil"/>
              <w:right w:val="nil"/>
            </w:tcBorders>
          </w:tcPr>
          <w:p w14:paraId="7AE35C2A"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32.9</w:t>
            </w:r>
          </w:p>
        </w:tc>
        <w:tc>
          <w:tcPr>
            <w:tcW w:w="992" w:type="dxa"/>
            <w:tcBorders>
              <w:top w:val="nil"/>
              <w:left w:val="nil"/>
              <w:bottom w:val="nil"/>
              <w:right w:val="nil"/>
            </w:tcBorders>
          </w:tcPr>
          <w:p w14:paraId="7F53B9C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3.3</w:t>
            </w:r>
          </w:p>
        </w:tc>
        <w:tc>
          <w:tcPr>
            <w:tcW w:w="1264" w:type="dxa"/>
            <w:gridSpan w:val="2"/>
            <w:tcBorders>
              <w:top w:val="nil"/>
              <w:left w:val="nil"/>
              <w:bottom w:val="nil"/>
              <w:right w:val="nil"/>
            </w:tcBorders>
          </w:tcPr>
          <w:p w14:paraId="4A0B17A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19.8</w:t>
            </w:r>
          </w:p>
        </w:tc>
        <w:tc>
          <w:tcPr>
            <w:tcW w:w="786" w:type="dxa"/>
            <w:gridSpan w:val="2"/>
            <w:tcBorders>
              <w:top w:val="nil"/>
              <w:left w:val="nil"/>
              <w:bottom w:val="nil"/>
              <w:right w:val="nil"/>
            </w:tcBorders>
          </w:tcPr>
          <w:p w14:paraId="269848F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3.3</w:t>
            </w:r>
          </w:p>
        </w:tc>
        <w:tc>
          <w:tcPr>
            <w:tcW w:w="1069" w:type="dxa"/>
            <w:gridSpan w:val="2"/>
            <w:tcBorders>
              <w:top w:val="nil"/>
              <w:left w:val="nil"/>
              <w:bottom w:val="nil"/>
              <w:right w:val="nil"/>
            </w:tcBorders>
          </w:tcPr>
          <w:p w14:paraId="3B336AD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19.3</w:t>
            </w:r>
          </w:p>
        </w:tc>
        <w:tc>
          <w:tcPr>
            <w:tcW w:w="1027" w:type="dxa"/>
            <w:gridSpan w:val="2"/>
            <w:tcBorders>
              <w:top w:val="nil"/>
              <w:left w:val="nil"/>
              <w:bottom w:val="nil"/>
              <w:right w:val="nil"/>
            </w:tcBorders>
          </w:tcPr>
          <w:p w14:paraId="3E96AEC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516.3</w:t>
            </w:r>
          </w:p>
        </w:tc>
      </w:tr>
      <w:tr w:rsidR="002346AC" w:rsidRPr="000C21BB" w14:paraId="164C975C" w14:textId="77777777" w:rsidTr="00DB49B7">
        <w:trPr>
          <w:gridAfter w:val="1"/>
          <w:wAfter w:w="260" w:type="dxa"/>
          <w:trHeight w:val="250"/>
        </w:trPr>
        <w:tc>
          <w:tcPr>
            <w:tcW w:w="850" w:type="dxa"/>
            <w:tcBorders>
              <w:top w:val="nil"/>
              <w:left w:val="nil"/>
              <w:bottom w:val="nil"/>
              <w:right w:val="nil"/>
            </w:tcBorders>
          </w:tcPr>
          <w:p w14:paraId="774E74BC"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FUJ</w:t>
            </w:r>
          </w:p>
        </w:tc>
        <w:tc>
          <w:tcPr>
            <w:tcW w:w="1165" w:type="dxa"/>
            <w:tcBorders>
              <w:top w:val="nil"/>
              <w:left w:val="nil"/>
              <w:bottom w:val="nil"/>
              <w:right w:val="nil"/>
            </w:tcBorders>
          </w:tcPr>
          <w:p w14:paraId="17E157E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113.1</w:t>
            </w:r>
          </w:p>
        </w:tc>
        <w:tc>
          <w:tcPr>
            <w:tcW w:w="992" w:type="dxa"/>
            <w:tcBorders>
              <w:top w:val="nil"/>
              <w:left w:val="nil"/>
              <w:bottom w:val="nil"/>
              <w:right w:val="nil"/>
            </w:tcBorders>
          </w:tcPr>
          <w:p w14:paraId="3AF6A38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59.0</w:t>
            </w:r>
          </w:p>
        </w:tc>
        <w:tc>
          <w:tcPr>
            <w:tcW w:w="851" w:type="dxa"/>
            <w:tcBorders>
              <w:top w:val="nil"/>
              <w:left w:val="nil"/>
              <w:bottom w:val="nil"/>
              <w:right w:val="nil"/>
            </w:tcBorders>
          </w:tcPr>
          <w:p w14:paraId="22EBF44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1.7</w:t>
            </w:r>
          </w:p>
        </w:tc>
        <w:tc>
          <w:tcPr>
            <w:tcW w:w="980" w:type="dxa"/>
            <w:tcBorders>
              <w:top w:val="nil"/>
              <w:left w:val="nil"/>
              <w:bottom w:val="nil"/>
              <w:right w:val="nil"/>
            </w:tcBorders>
          </w:tcPr>
          <w:p w14:paraId="5107A5F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2.2</w:t>
            </w:r>
          </w:p>
        </w:tc>
        <w:tc>
          <w:tcPr>
            <w:tcW w:w="862" w:type="dxa"/>
            <w:tcBorders>
              <w:top w:val="nil"/>
              <w:left w:val="nil"/>
              <w:bottom w:val="nil"/>
              <w:right w:val="nil"/>
            </w:tcBorders>
          </w:tcPr>
          <w:p w14:paraId="2D76712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11.9</w:t>
            </w:r>
          </w:p>
        </w:tc>
        <w:tc>
          <w:tcPr>
            <w:tcW w:w="1134" w:type="dxa"/>
            <w:tcBorders>
              <w:top w:val="nil"/>
              <w:left w:val="nil"/>
              <w:bottom w:val="nil"/>
              <w:right w:val="nil"/>
            </w:tcBorders>
          </w:tcPr>
          <w:p w14:paraId="33DF09F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2.8</w:t>
            </w:r>
          </w:p>
        </w:tc>
        <w:tc>
          <w:tcPr>
            <w:tcW w:w="1276" w:type="dxa"/>
            <w:tcBorders>
              <w:top w:val="nil"/>
              <w:left w:val="nil"/>
              <w:bottom w:val="nil"/>
              <w:right w:val="nil"/>
            </w:tcBorders>
          </w:tcPr>
          <w:p w14:paraId="0E8EB9DA"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21.1</w:t>
            </w:r>
          </w:p>
        </w:tc>
        <w:tc>
          <w:tcPr>
            <w:tcW w:w="992" w:type="dxa"/>
            <w:tcBorders>
              <w:top w:val="nil"/>
              <w:left w:val="nil"/>
              <w:bottom w:val="nil"/>
              <w:right w:val="nil"/>
            </w:tcBorders>
          </w:tcPr>
          <w:p w14:paraId="147CA79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3.5</w:t>
            </w:r>
          </w:p>
        </w:tc>
        <w:tc>
          <w:tcPr>
            <w:tcW w:w="1264" w:type="dxa"/>
            <w:gridSpan w:val="2"/>
            <w:tcBorders>
              <w:top w:val="nil"/>
              <w:left w:val="nil"/>
              <w:bottom w:val="nil"/>
              <w:right w:val="nil"/>
            </w:tcBorders>
          </w:tcPr>
          <w:p w14:paraId="0D369CC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47.9</w:t>
            </w:r>
          </w:p>
        </w:tc>
        <w:tc>
          <w:tcPr>
            <w:tcW w:w="786" w:type="dxa"/>
            <w:gridSpan w:val="2"/>
            <w:tcBorders>
              <w:top w:val="nil"/>
              <w:left w:val="nil"/>
              <w:bottom w:val="nil"/>
              <w:right w:val="nil"/>
            </w:tcBorders>
          </w:tcPr>
          <w:p w14:paraId="032881D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1.4</w:t>
            </w:r>
          </w:p>
        </w:tc>
        <w:tc>
          <w:tcPr>
            <w:tcW w:w="1069" w:type="dxa"/>
            <w:gridSpan w:val="2"/>
            <w:tcBorders>
              <w:top w:val="nil"/>
              <w:left w:val="nil"/>
              <w:bottom w:val="nil"/>
              <w:right w:val="nil"/>
            </w:tcBorders>
          </w:tcPr>
          <w:p w14:paraId="4409D3E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3.2</w:t>
            </w:r>
          </w:p>
        </w:tc>
        <w:tc>
          <w:tcPr>
            <w:tcW w:w="1027" w:type="dxa"/>
            <w:gridSpan w:val="2"/>
            <w:tcBorders>
              <w:top w:val="nil"/>
              <w:left w:val="nil"/>
              <w:bottom w:val="nil"/>
              <w:right w:val="nil"/>
            </w:tcBorders>
          </w:tcPr>
          <w:p w14:paraId="4812DA4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267.7</w:t>
            </w:r>
          </w:p>
        </w:tc>
      </w:tr>
      <w:tr w:rsidR="002346AC" w:rsidRPr="000C21BB" w14:paraId="3268F503" w14:textId="77777777" w:rsidTr="00DB49B7">
        <w:trPr>
          <w:gridAfter w:val="1"/>
          <w:wAfter w:w="260" w:type="dxa"/>
          <w:trHeight w:val="250"/>
        </w:trPr>
        <w:tc>
          <w:tcPr>
            <w:tcW w:w="850" w:type="dxa"/>
            <w:tcBorders>
              <w:top w:val="nil"/>
              <w:left w:val="nil"/>
              <w:bottom w:val="nil"/>
              <w:right w:val="nil"/>
            </w:tcBorders>
          </w:tcPr>
          <w:p w14:paraId="1357556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JXI</w:t>
            </w:r>
          </w:p>
        </w:tc>
        <w:tc>
          <w:tcPr>
            <w:tcW w:w="1165" w:type="dxa"/>
            <w:tcBorders>
              <w:top w:val="nil"/>
              <w:left w:val="nil"/>
              <w:bottom w:val="nil"/>
              <w:right w:val="nil"/>
            </w:tcBorders>
          </w:tcPr>
          <w:p w14:paraId="1875087F"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135.7</w:t>
            </w:r>
          </w:p>
        </w:tc>
        <w:tc>
          <w:tcPr>
            <w:tcW w:w="992" w:type="dxa"/>
            <w:tcBorders>
              <w:top w:val="nil"/>
              <w:left w:val="nil"/>
              <w:bottom w:val="nil"/>
              <w:right w:val="nil"/>
            </w:tcBorders>
          </w:tcPr>
          <w:p w14:paraId="5CD3B811"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147.7</w:t>
            </w:r>
          </w:p>
        </w:tc>
        <w:tc>
          <w:tcPr>
            <w:tcW w:w="851" w:type="dxa"/>
            <w:tcBorders>
              <w:top w:val="nil"/>
              <w:left w:val="nil"/>
              <w:bottom w:val="nil"/>
              <w:right w:val="nil"/>
            </w:tcBorders>
          </w:tcPr>
          <w:p w14:paraId="41494C6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2.6</w:t>
            </w:r>
          </w:p>
        </w:tc>
        <w:tc>
          <w:tcPr>
            <w:tcW w:w="980" w:type="dxa"/>
            <w:tcBorders>
              <w:top w:val="nil"/>
              <w:left w:val="nil"/>
              <w:bottom w:val="nil"/>
              <w:right w:val="nil"/>
            </w:tcBorders>
          </w:tcPr>
          <w:p w14:paraId="3404D84C"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9.3</w:t>
            </w:r>
          </w:p>
        </w:tc>
        <w:tc>
          <w:tcPr>
            <w:tcW w:w="862" w:type="dxa"/>
            <w:tcBorders>
              <w:top w:val="nil"/>
              <w:left w:val="nil"/>
              <w:bottom w:val="nil"/>
              <w:right w:val="nil"/>
            </w:tcBorders>
          </w:tcPr>
          <w:p w14:paraId="38EA9D0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9.9</w:t>
            </w:r>
          </w:p>
        </w:tc>
        <w:tc>
          <w:tcPr>
            <w:tcW w:w="1134" w:type="dxa"/>
            <w:tcBorders>
              <w:top w:val="nil"/>
              <w:left w:val="nil"/>
              <w:bottom w:val="nil"/>
              <w:right w:val="nil"/>
            </w:tcBorders>
          </w:tcPr>
          <w:p w14:paraId="1B96B89D"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0.2</w:t>
            </w:r>
          </w:p>
        </w:tc>
        <w:tc>
          <w:tcPr>
            <w:tcW w:w="1276" w:type="dxa"/>
            <w:tcBorders>
              <w:top w:val="nil"/>
              <w:left w:val="nil"/>
              <w:bottom w:val="nil"/>
              <w:right w:val="nil"/>
            </w:tcBorders>
          </w:tcPr>
          <w:p w14:paraId="003512D1"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20.6</w:t>
            </w:r>
          </w:p>
        </w:tc>
        <w:tc>
          <w:tcPr>
            <w:tcW w:w="992" w:type="dxa"/>
            <w:tcBorders>
              <w:top w:val="nil"/>
              <w:left w:val="nil"/>
              <w:bottom w:val="nil"/>
              <w:right w:val="nil"/>
            </w:tcBorders>
          </w:tcPr>
          <w:p w14:paraId="0F1F7CBF"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3.1</w:t>
            </w:r>
          </w:p>
        </w:tc>
        <w:tc>
          <w:tcPr>
            <w:tcW w:w="1264" w:type="dxa"/>
            <w:gridSpan w:val="2"/>
            <w:tcBorders>
              <w:top w:val="nil"/>
              <w:left w:val="nil"/>
              <w:bottom w:val="nil"/>
              <w:right w:val="nil"/>
            </w:tcBorders>
          </w:tcPr>
          <w:p w14:paraId="4601744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22.7</w:t>
            </w:r>
          </w:p>
        </w:tc>
        <w:tc>
          <w:tcPr>
            <w:tcW w:w="786" w:type="dxa"/>
            <w:gridSpan w:val="2"/>
            <w:tcBorders>
              <w:top w:val="nil"/>
              <w:left w:val="nil"/>
              <w:bottom w:val="nil"/>
              <w:right w:val="nil"/>
            </w:tcBorders>
          </w:tcPr>
          <w:p w14:paraId="40D73F5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7.6</w:t>
            </w:r>
          </w:p>
        </w:tc>
        <w:tc>
          <w:tcPr>
            <w:tcW w:w="1069" w:type="dxa"/>
            <w:gridSpan w:val="2"/>
            <w:tcBorders>
              <w:top w:val="nil"/>
              <w:left w:val="nil"/>
              <w:bottom w:val="nil"/>
              <w:right w:val="nil"/>
            </w:tcBorders>
          </w:tcPr>
          <w:p w14:paraId="1CA5AD59"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11.8</w:t>
            </w:r>
          </w:p>
        </w:tc>
        <w:tc>
          <w:tcPr>
            <w:tcW w:w="1027" w:type="dxa"/>
            <w:gridSpan w:val="2"/>
            <w:tcBorders>
              <w:top w:val="nil"/>
              <w:left w:val="nil"/>
              <w:bottom w:val="nil"/>
              <w:right w:val="nil"/>
            </w:tcBorders>
          </w:tcPr>
          <w:p w14:paraId="1AF7E06A"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371.1</w:t>
            </w:r>
          </w:p>
        </w:tc>
      </w:tr>
      <w:tr w:rsidR="002346AC" w:rsidRPr="000C21BB" w14:paraId="7C46A6DA" w14:textId="77777777" w:rsidTr="00DB49B7">
        <w:trPr>
          <w:gridAfter w:val="1"/>
          <w:wAfter w:w="260" w:type="dxa"/>
          <w:trHeight w:val="250"/>
        </w:trPr>
        <w:tc>
          <w:tcPr>
            <w:tcW w:w="850" w:type="dxa"/>
            <w:tcBorders>
              <w:top w:val="nil"/>
              <w:left w:val="nil"/>
              <w:bottom w:val="nil"/>
              <w:right w:val="nil"/>
            </w:tcBorders>
          </w:tcPr>
          <w:p w14:paraId="7F8C37E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SHD</w:t>
            </w:r>
          </w:p>
        </w:tc>
        <w:tc>
          <w:tcPr>
            <w:tcW w:w="1165" w:type="dxa"/>
            <w:tcBorders>
              <w:top w:val="nil"/>
              <w:left w:val="nil"/>
              <w:bottom w:val="nil"/>
              <w:right w:val="nil"/>
            </w:tcBorders>
          </w:tcPr>
          <w:p w14:paraId="41495B2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431.4</w:t>
            </w:r>
          </w:p>
        </w:tc>
        <w:tc>
          <w:tcPr>
            <w:tcW w:w="992" w:type="dxa"/>
            <w:tcBorders>
              <w:top w:val="nil"/>
              <w:left w:val="nil"/>
              <w:bottom w:val="nil"/>
              <w:right w:val="nil"/>
            </w:tcBorders>
          </w:tcPr>
          <w:p w14:paraId="363AD6E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171.4</w:t>
            </w:r>
          </w:p>
        </w:tc>
        <w:tc>
          <w:tcPr>
            <w:tcW w:w="851" w:type="dxa"/>
            <w:tcBorders>
              <w:top w:val="nil"/>
              <w:left w:val="nil"/>
              <w:bottom w:val="nil"/>
              <w:right w:val="nil"/>
            </w:tcBorders>
          </w:tcPr>
          <w:p w14:paraId="0A5295A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6.0</w:t>
            </w:r>
          </w:p>
        </w:tc>
        <w:tc>
          <w:tcPr>
            <w:tcW w:w="980" w:type="dxa"/>
            <w:tcBorders>
              <w:top w:val="nil"/>
              <w:left w:val="nil"/>
              <w:bottom w:val="nil"/>
              <w:right w:val="nil"/>
            </w:tcBorders>
          </w:tcPr>
          <w:p w14:paraId="1D43598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19.4</w:t>
            </w:r>
          </w:p>
        </w:tc>
        <w:tc>
          <w:tcPr>
            <w:tcW w:w="862" w:type="dxa"/>
            <w:tcBorders>
              <w:top w:val="nil"/>
              <w:left w:val="nil"/>
              <w:bottom w:val="nil"/>
              <w:right w:val="nil"/>
            </w:tcBorders>
          </w:tcPr>
          <w:p w14:paraId="3BCE0BD9"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41.9</w:t>
            </w:r>
          </w:p>
        </w:tc>
        <w:tc>
          <w:tcPr>
            <w:tcW w:w="1134" w:type="dxa"/>
            <w:tcBorders>
              <w:top w:val="nil"/>
              <w:left w:val="nil"/>
              <w:bottom w:val="nil"/>
              <w:right w:val="nil"/>
            </w:tcBorders>
          </w:tcPr>
          <w:p w14:paraId="6AA9571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20.2</w:t>
            </w:r>
          </w:p>
        </w:tc>
        <w:tc>
          <w:tcPr>
            <w:tcW w:w="1276" w:type="dxa"/>
            <w:tcBorders>
              <w:top w:val="nil"/>
              <w:left w:val="nil"/>
              <w:bottom w:val="nil"/>
              <w:right w:val="nil"/>
            </w:tcBorders>
          </w:tcPr>
          <w:p w14:paraId="7D7E6C89"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88.3</w:t>
            </w:r>
          </w:p>
        </w:tc>
        <w:tc>
          <w:tcPr>
            <w:tcW w:w="992" w:type="dxa"/>
            <w:tcBorders>
              <w:top w:val="nil"/>
              <w:left w:val="nil"/>
              <w:bottom w:val="nil"/>
              <w:right w:val="nil"/>
            </w:tcBorders>
          </w:tcPr>
          <w:p w14:paraId="7616AE8A"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7.9</w:t>
            </w:r>
          </w:p>
        </w:tc>
        <w:tc>
          <w:tcPr>
            <w:tcW w:w="1264" w:type="dxa"/>
            <w:gridSpan w:val="2"/>
            <w:tcBorders>
              <w:top w:val="nil"/>
              <w:left w:val="nil"/>
              <w:bottom w:val="nil"/>
              <w:right w:val="nil"/>
            </w:tcBorders>
          </w:tcPr>
          <w:p w14:paraId="5F32DE3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53.7</w:t>
            </w:r>
          </w:p>
        </w:tc>
        <w:tc>
          <w:tcPr>
            <w:tcW w:w="786" w:type="dxa"/>
            <w:gridSpan w:val="2"/>
            <w:tcBorders>
              <w:top w:val="nil"/>
              <w:left w:val="nil"/>
              <w:bottom w:val="nil"/>
              <w:right w:val="nil"/>
            </w:tcBorders>
          </w:tcPr>
          <w:p w14:paraId="3D82D39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6.8</w:t>
            </w:r>
          </w:p>
        </w:tc>
        <w:tc>
          <w:tcPr>
            <w:tcW w:w="1069" w:type="dxa"/>
            <w:gridSpan w:val="2"/>
            <w:tcBorders>
              <w:top w:val="nil"/>
              <w:left w:val="nil"/>
              <w:bottom w:val="nil"/>
              <w:right w:val="nil"/>
            </w:tcBorders>
          </w:tcPr>
          <w:p w14:paraId="5EFC473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24.5</w:t>
            </w:r>
          </w:p>
        </w:tc>
        <w:tc>
          <w:tcPr>
            <w:tcW w:w="1027" w:type="dxa"/>
            <w:gridSpan w:val="2"/>
            <w:tcBorders>
              <w:top w:val="nil"/>
              <w:left w:val="nil"/>
              <w:bottom w:val="nil"/>
              <w:right w:val="nil"/>
            </w:tcBorders>
          </w:tcPr>
          <w:p w14:paraId="0F459A8C"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871.5</w:t>
            </w:r>
          </w:p>
        </w:tc>
      </w:tr>
      <w:tr w:rsidR="002346AC" w:rsidRPr="000C21BB" w14:paraId="27E01B82" w14:textId="77777777" w:rsidTr="00DB49B7">
        <w:trPr>
          <w:gridAfter w:val="1"/>
          <w:wAfter w:w="260" w:type="dxa"/>
          <w:trHeight w:val="250"/>
        </w:trPr>
        <w:tc>
          <w:tcPr>
            <w:tcW w:w="850" w:type="dxa"/>
            <w:tcBorders>
              <w:top w:val="nil"/>
              <w:left w:val="nil"/>
              <w:bottom w:val="nil"/>
              <w:right w:val="nil"/>
            </w:tcBorders>
          </w:tcPr>
          <w:p w14:paraId="3D7BE9AA"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HEN</w:t>
            </w:r>
          </w:p>
        </w:tc>
        <w:tc>
          <w:tcPr>
            <w:tcW w:w="1165" w:type="dxa"/>
            <w:tcBorders>
              <w:top w:val="nil"/>
              <w:left w:val="nil"/>
              <w:bottom w:val="nil"/>
              <w:right w:val="nil"/>
            </w:tcBorders>
          </w:tcPr>
          <w:p w14:paraId="55BFEAF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321.0</w:t>
            </w:r>
          </w:p>
        </w:tc>
        <w:tc>
          <w:tcPr>
            <w:tcW w:w="992" w:type="dxa"/>
            <w:tcBorders>
              <w:top w:val="nil"/>
              <w:left w:val="nil"/>
              <w:bottom w:val="nil"/>
              <w:right w:val="nil"/>
            </w:tcBorders>
          </w:tcPr>
          <w:p w14:paraId="3EA5AEC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327.7</w:t>
            </w:r>
          </w:p>
        </w:tc>
        <w:tc>
          <w:tcPr>
            <w:tcW w:w="851" w:type="dxa"/>
            <w:tcBorders>
              <w:top w:val="nil"/>
              <w:left w:val="nil"/>
              <w:bottom w:val="nil"/>
              <w:right w:val="nil"/>
            </w:tcBorders>
          </w:tcPr>
          <w:p w14:paraId="752F69E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17.5</w:t>
            </w:r>
          </w:p>
        </w:tc>
        <w:tc>
          <w:tcPr>
            <w:tcW w:w="980" w:type="dxa"/>
            <w:tcBorders>
              <w:top w:val="nil"/>
              <w:left w:val="nil"/>
              <w:bottom w:val="nil"/>
              <w:right w:val="nil"/>
            </w:tcBorders>
          </w:tcPr>
          <w:p w14:paraId="36FE99B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23.9</w:t>
            </w:r>
          </w:p>
        </w:tc>
        <w:tc>
          <w:tcPr>
            <w:tcW w:w="862" w:type="dxa"/>
            <w:tcBorders>
              <w:top w:val="nil"/>
              <w:left w:val="nil"/>
              <w:bottom w:val="nil"/>
              <w:right w:val="nil"/>
            </w:tcBorders>
          </w:tcPr>
          <w:p w14:paraId="605AB599"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27.7</w:t>
            </w:r>
          </w:p>
        </w:tc>
        <w:tc>
          <w:tcPr>
            <w:tcW w:w="1134" w:type="dxa"/>
            <w:tcBorders>
              <w:top w:val="nil"/>
              <w:left w:val="nil"/>
              <w:bottom w:val="nil"/>
              <w:right w:val="nil"/>
            </w:tcBorders>
          </w:tcPr>
          <w:p w14:paraId="12F5A56C"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19.5</w:t>
            </w:r>
          </w:p>
        </w:tc>
        <w:tc>
          <w:tcPr>
            <w:tcW w:w="1276" w:type="dxa"/>
            <w:tcBorders>
              <w:top w:val="nil"/>
              <w:left w:val="nil"/>
              <w:bottom w:val="nil"/>
              <w:right w:val="nil"/>
            </w:tcBorders>
          </w:tcPr>
          <w:p w14:paraId="74D7D6D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48.4</w:t>
            </w:r>
          </w:p>
        </w:tc>
        <w:tc>
          <w:tcPr>
            <w:tcW w:w="992" w:type="dxa"/>
            <w:tcBorders>
              <w:top w:val="nil"/>
              <w:left w:val="nil"/>
              <w:bottom w:val="nil"/>
              <w:right w:val="nil"/>
            </w:tcBorders>
          </w:tcPr>
          <w:p w14:paraId="175A795C"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6.8</w:t>
            </w:r>
          </w:p>
        </w:tc>
        <w:tc>
          <w:tcPr>
            <w:tcW w:w="1264" w:type="dxa"/>
            <w:gridSpan w:val="2"/>
            <w:tcBorders>
              <w:top w:val="nil"/>
              <w:left w:val="nil"/>
              <w:bottom w:val="nil"/>
              <w:right w:val="nil"/>
            </w:tcBorders>
          </w:tcPr>
          <w:p w14:paraId="04EE842F"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8.6</w:t>
            </w:r>
          </w:p>
        </w:tc>
        <w:tc>
          <w:tcPr>
            <w:tcW w:w="786" w:type="dxa"/>
            <w:gridSpan w:val="2"/>
            <w:tcBorders>
              <w:top w:val="nil"/>
              <w:left w:val="nil"/>
              <w:bottom w:val="nil"/>
              <w:right w:val="nil"/>
            </w:tcBorders>
          </w:tcPr>
          <w:p w14:paraId="4D51B6AC"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3.7</w:t>
            </w:r>
          </w:p>
        </w:tc>
        <w:tc>
          <w:tcPr>
            <w:tcW w:w="1069" w:type="dxa"/>
            <w:gridSpan w:val="2"/>
            <w:tcBorders>
              <w:top w:val="nil"/>
              <w:left w:val="nil"/>
              <w:bottom w:val="nil"/>
              <w:right w:val="nil"/>
            </w:tcBorders>
          </w:tcPr>
          <w:p w14:paraId="52D9B5C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32.7</w:t>
            </w:r>
          </w:p>
        </w:tc>
        <w:tc>
          <w:tcPr>
            <w:tcW w:w="1027" w:type="dxa"/>
            <w:gridSpan w:val="2"/>
            <w:tcBorders>
              <w:top w:val="nil"/>
              <w:left w:val="nil"/>
              <w:bottom w:val="nil"/>
              <w:right w:val="nil"/>
            </w:tcBorders>
          </w:tcPr>
          <w:p w14:paraId="051F969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837.5</w:t>
            </w:r>
          </w:p>
        </w:tc>
      </w:tr>
      <w:tr w:rsidR="002346AC" w:rsidRPr="000C21BB" w14:paraId="44C8BFE6" w14:textId="77777777" w:rsidTr="00DB49B7">
        <w:trPr>
          <w:gridAfter w:val="1"/>
          <w:wAfter w:w="260" w:type="dxa"/>
          <w:trHeight w:val="250"/>
        </w:trPr>
        <w:tc>
          <w:tcPr>
            <w:tcW w:w="850" w:type="dxa"/>
            <w:tcBorders>
              <w:top w:val="nil"/>
              <w:left w:val="nil"/>
              <w:bottom w:val="nil"/>
              <w:right w:val="nil"/>
            </w:tcBorders>
          </w:tcPr>
          <w:p w14:paraId="5B8C141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HUB</w:t>
            </w:r>
          </w:p>
        </w:tc>
        <w:tc>
          <w:tcPr>
            <w:tcW w:w="1165" w:type="dxa"/>
            <w:tcBorders>
              <w:top w:val="nil"/>
              <w:left w:val="nil"/>
              <w:bottom w:val="nil"/>
              <w:right w:val="nil"/>
            </w:tcBorders>
          </w:tcPr>
          <w:p w14:paraId="27EC2D6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200.7</w:t>
            </w:r>
          </w:p>
        </w:tc>
        <w:tc>
          <w:tcPr>
            <w:tcW w:w="992" w:type="dxa"/>
            <w:tcBorders>
              <w:top w:val="nil"/>
              <w:left w:val="nil"/>
              <w:bottom w:val="nil"/>
              <w:right w:val="nil"/>
            </w:tcBorders>
          </w:tcPr>
          <w:p w14:paraId="2A96508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196.4</w:t>
            </w:r>
          </w:p>
        </w:tc>
        <w:tc>
          <w:tcPr>
            <w:tcW w:w="851" w:type="dxa"/>
            <w:tcBorders>
              <w:top w:val="nil"/>
              <w:left w:val="nil"/>
              <w:bottom w:val="nil"/>
              <w:right w:val="nil"/>
            </w:tcBorders>
          </w:tcPr>
          <w:p w14:paraId="639B7CB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6.4</w:t>
            </w:r>
          </w:p>
        </w:tc>
        <w:tc>
          <w:tcPr>
            <w:tcW w:w="980" w:type="dxa"/>
            <w:tcBorders>
              <w:top w:val="nil"/>
              <w:left w:val="nil"/>
              <w:bottom w:val="nil"/>
              <w:right w:val="nil"/>
            </w:tcBorders>
          </w:tcPr>
          <w:p w14:paraId="5F0D65F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13.2</w:t>
            </w:r>
          </w:p>
        </w:tc>
        <w:tc>
          <w:tcPr>
            <w:tcW w:w="862" w:type="dxa"/>
            <w:tcBorders>
              <w:top w:val="nil"/>
              <w:left w:val="nil"/>
              <w:bottom w:val="nil"/>
              <w:right w:val="nil"/>
            </w:tcBorders>
          </w:tcPr>
          <w:p w14:paraId="200E29AC"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14.7</w:t>
            </w:r>
          </w:p>
        </w:tc>
        <w:tc>
          <w:tcPr>
            <w:tcW w:w="1134" w:type="dxa"/>
            <w:tcBorders>
              <w:top w:val="nil"/>
              <w:left w:val="nil"/>
              <w:bottom w:val="nil"/>
              <w:right w:val="nil"/>
            </w:tcBorders>
          </w:tcPr>
          <w:p w14:paraId="5A617D01"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13.0</w:t>
            </w:r>
          </w:p>
        </w:tc>
        <w:tc>
          <w:tcPr>
            <w:tcW w:w="1276" w:type="dxa"/>
            <w:tcBorders>
              <w:top w:val="nil"/>
              <w:left w:val="nil"/>
              <w:bottom w:val="nil"/>
              <w:right w:val="nil"/>
            </w:tcBorders>
          </w:tcPr>
          <w:p w14:paraId="6905812D"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31.8</w:t>
            </w:r>
          </w:p>
        </w:tc>
        <w:tc>
          <w:tcPr>
            <w:tcW w:w="992" w:type="dxa"/>
            <w:tcBorders>
              <w:top w:val="nil"/>
              <w:left w:val="nil"/>
              <w:bottom w:val="nil"/>
              <w:right w:val="nil"/>
            </w:tcBorders>
          </w:tcPr>
          <w:p w14:paraId="1339982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4.7</w:t>
            </w:r>
          </w:p>
        </w:tc>
        <w:tc>
          <w:tcPr>
            <w:tcW w:w="1264" w:type="dxa"/>
            <w:gridSpan w:val="2"/>
            <w:tcBorders>
              <w:top w:val="nil"/>
              <w:left w:val="nil"/>
              <w:bottom w:val="nil"/>
              <w:right w:val="nil"/>
            </w:tcBorders>
          </w:tcPr>
          <w:p w14:paraId="238FE7B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42.2</w:t>
            </w:r>
          </w:p>
        </w:tc>
        <w:tc>
          <w:tcPr>
            <w:tcW w:w="786" w:type="dxa"/>
            <w:gridSpan w:val="2"/>
            <w:tcBorders>
              <w:top w:val="nil"/>
              <w:left w:val="nil"/>
              <w:bottom w:val="nil"/>
              <w:right w:val="nil"/>
            </w:tcBorders>
          </w:tcPr>
          <w:p w14:paraId="62B92A8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8.5</w:t>
            </w:r>
          </w:p>
        </w:tc>
        <w:tc>
          <w:tcPr>
            <w:tcW w:w="1069" w:type="dxa"/>
            <w:gridSpan w:val="2"/>
            <w:tcBorders>
              <w:top w:val="nil"/>
              <w:left w:val="nil"/>
              <w:bottom w:val="nil"/>
              <w:right w:val="nil"/>
            </w:tcBorders>
          </w:tcPr>
          <w:p w14:paraId="74A0543A"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16.7</w:t>
            </w:r>
          </w:p>
        </w:tc>
        <w:tc>
          <w:tcPr>
            <w:tcW w:w="1027" w:type="dxa"/>
            <w:gridSpan w:val="2"/>
            <w:tcBorders>
              <w:top w:val="nil"/>
              <w:left w:val="nil"/>
              <w:bottom w:val="nil"/>
              <w:right w:val="nil"/>
            </w:tcBorders>
          </w:tcPr>
          <w:p w14:paraId="45CC2C3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548.4</w:t>
            </w:r>
          </w:p>
        </w:tc>
      </w:tr>
      <w:tr w:rsidR="002346AC" w:rsidRPr="000C21BB" w14:paraId="474B198C" w14:textId="77777777" w:rsidTr="00DB49B7">
        <w:trPr>
          <w:gridAfter w:val="1"/>
          <w:wAfter w:w="260" w:type="dxa"/>
          <w:trHeight w:val="250"/>
        </w:trPr>
        <w:tc>
          <w:tcPr>
            <w:tcW w:w="850" w:type="dxa"/>
            <w:tcBorders>
              <w:top w:val="nil"/>
              <w:left w:val="nil"/>
              <w:bottom w:val="nil"/>
              <w:right w:val="nil"/>
            </w:tcBorders>
          </w:tcPr>
          <w:p w14:paraId="6476C1C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HUN</w:t>
            </w:r>
          </w:p>
        </w:tc>
        <w:tc>
          <w:tcPr>
            <w:tcW w:w="1165" w:type="dxa"/>
            <w:tcBorders>
              <w:top w:val="nil"/>
              <w:left w:val="nil"/>
              <w:bottom w:val="nil"/>
              <w:right w:val="nil"/>
            </w:tcBorders>
          </w:tcPr>
          <w:p w14:paraId="3AF5E13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220.7</w:t>
            </w:r>
          </w:p>
        </w:tc>
        <w:tc>
          <w:tcPr>
            <w:tcW w:w="992" w:type="dxa"/>
            <w:tcBorders>
              <w:top w:val="nil"/>
              <w:left w:val="nil"/>
              <w:bottom w:val="nil"/>
              <w:right w:val="nil"/>
            </w:tcBorders>
          </w:tcPr>
          <w:p w14:paraId="05CDCB9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192.7</w:t>
            </w:r>
          </w:p>
        </w:tc>
        <w:tc>
          <w:tcPr>
            <w:tcW w:w="851" w:type="dxa"/>
            <w:tcBorders>
              <w:top w:val="nil"/>
              <w:left w:val="nil"/>
              <w:bottom w:val="nil"/>
              <w:right w:val="nil"/>
            </w:tcBorders>
          </w:tcPr>
          <w:p w14:paraId="4308BDD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8.5</w:t>
            </w:r>
          </w:p>
        </w:tc>
        <w:tc>
          <w:tcPr>
            <w:tcW w:w="980" w:type="dxa"/>
            <w:tcBorders>
              <w:top w:val="nil"/>
              <w:left w:val="nil"/>
              <w:bottom w:val="nil"/>
              <w:right w:val="nil"/>
            </w:tcBorders>
          </w:tcPr>
          <w:p w14:paraId="4168CF3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13.8</w:t>
            </w:r>
          </w:p>
        </w:tc>
        <w:tc>
          <w:tcPr>
            <w:tcW w:w="862" w:type="dxa"/>
            <w:tcBorders>
              <w:top w:val="nil"/>
              <w:left w:val="nil"/>
              <w:bottom w:val="nil"/>
              <w:right w:val="nil"/>
            </w:tcBorders>
          </w:tcPr>
          <w:p w14:paraId="6CE1EAC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14.8</w:t>
            </w:r>
          </w:p>
        </w:tc>
        <w:tc>
          <w:tcPr>
            <w:tcW w:w="1134" w:type="dxa"/>
            <w:tcBorders>
              <w:top w:val="nil"/>
              <w:left w:val="nil"/>
              <w:bottom w:val="nil"/>
              <w:right w:val="nil"/>
            </w:tcBorders>
          </w:tcPr>
          <w:p w14:paraId="31F811C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2.3</w:t>
            </w:r>
          </w:p>
        </w:tc>
        <w:tc>
          <w:tcPr>
            <w:tcW w:w="1276" w:type="dxa"/>
            <w:tcBorders>
              <w:top w:val="nil"/>
              <w:left w:val="nil"/>
              <w:bottom w:val="nil"/>
              <w:right w:val="nil"/>
            </w:tcBorders>
          </w:tcPr>
          <w:p w14:paraId="14CE0DE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32.3</w:t>
            </w:r>
          </w:p>
        </w:tc>
        <w:tc>
          <w:tcPr>
            <w:tcW w:w="992" w:type="dxa"/>
            <w:tcBorders>
              <w:top w:val="nil"/>
              <w:left w:val="nil"/>
              <w:bottom w:val="nil"/>
              <w:right w:val="nil"/>
            </w:tcBorders>
          </w:tcPr>
          <w:p w14:paraId="3FF91DC1"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5.2</w:t>
            </w:r>
          </w:p>
        </w:tc>
        <w:tc>
          <w:tcPr>
            <w:tcW w:w="1264" w:type="dxa"/>
            <w:gridSpan w:val="2"/>
            <w:tcBorders>
              <w:top w:val="nil"/>
              <w:left w:val="nil"/>
              <w:bottom w:val="nil"/>
              <w:right w:val="nil"/>
            </w:tcBorders>
          </w:tcPr>
          <w:p w14:paraId="52F75B1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21.9</w:t>
            </w:r>
          </w:p>
        </w:tc>
        <w:tc>
          <w:tcPr>
            <w:tcW w:w="786" w:type="dxa"/>
            <w:gridSpan w:val="2"/>
            <w:tcBorders>
              <w:top w:val="nil"/>
              <w:left w:val="nil"/>
              <w:bottom w:val="nil"/>
              <w:right w:val="nil"/>
            </w:tcBorders>
          </w:tcPr>
          <w:p w14:paraId="766E635C"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9.8</w:t>
            </w:r>
          </w:p>
        </w:tc>
        <w:tc>
          <w:tcPr>
            <w:tcW w:w="1069" w:type="dxa"/>
            <w:gridSpan w:val="2"/>
            <w:tcBorders>
              <w:top w:val="nil"/>
              <w:left w:val="nil"/>
              <w:bottom w:val="nil"/>
              <w:right w:val="nil"/>
            </w:tcBorders>
          </w:tcPr>
          <w:p w14:paraId="03E6B0B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17.2</w:t>
            </w:r>
          </w:p>
        </w:tc>
        <w:tc>
          <w:tcPr>
            <w:tcW w:w="1027" w:type="dxa"/>
            <w:gridSpan w:val="2"/>
            <w:tcBorders>
              <w:top w:val="nil"/>
              <w:left w:val="nil"/>
              <w:bottom w:val="nil"/>
              <w:right w:val="nil"/>
            </w:tcBorders>
          </w:tcPr>
          <w:p w14:paraId="4417274A"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539.1</w:t>
            </w:r>
          </w:p>
        </w:tc>
      </w:tr>
      <w:tr w:rsidR="002346AC" w:rsidRPr="000C21BB" w14:paraId="65DB21E6" w14:textId="77777777" w:rsidTr="00DB49B7">
        <w:trPr>
          <w:gridAfter w:val="1"/>
          <w:wAfter w:w="260" w:type="dxa"/>
          <w:trHeight w:val="250"/>
        </w:trPr>
        <w:tc>
          <w:tcPr>
            <w:tcW w:w="850" w:type="dxa"/>
            <w:tcBorders>
              <w:top w:val="nil"/>
              <w:left w:val="nil"/>
              <w:bottom w:val="nil"/>
              <w:right w:val="nil"/>
            </w:tcBorders>
          </w:tcPr>
          <w:p w14:paraId="271FFDA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GUD</w:t>
            </w:r>
          </w:p>
        </w:tc>
        <w:tc>
          <w:tcPr>
            <w:tcW w:w="1165" w:type="dxa"/>
            <w:tcBorders>
              <w:top w:val="nil"/>
              <w:left w:val="nil"/>
              <w:bottom w:val="nil"/>
              <w:right w:val="nil"/>
            </w:tcBorders>
          </w:tcPr>
          <w:p w14:paraId="1151E74D"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212.3</w:t>
            </w:r>
          </w:p>
        </w:tc>
        <w:tc>
          <w:tcPr>
            <w:tcW w:w="992" w:type="dxa"/>
            <w:tcBorders>
              <w:top w:val="nil"/>
              <w:left w:val="nil"/>
              <w:bottom w:val="nil"/>
              <w:right w:val="nil"/>
            </w:tcBorders>
          </w:tcPr>
          <w:p w14:paraId="0E23385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217.5</w:t>
            </w:r>
          </w:p>
        </w:tc>
        <w:tc>
          <w:tcPr>
            <w:tcW w:w="851" w:type="dxa"/>
            <w:tcBorders>
              <w:top w:val="nil"/>
              <w:left w:val="nil"/>
              <w:bottom w:val="nil"/>
              <w:right w:val="nil"/>
            </w:tcBorders>
          </w:tcPr>
          <w:p w14:paraId="7834FA0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4.3</w:t>
            </w:r>
          </w:p>
        </w:tc>
        <w:tc>
          <w:tcPr>
            <w:tcW w:w="980" w:type="dxa"/>
            <w:tcBorders>
              <w:top w:val="nil"/>
              <w:left w:val="nil"/>
              <w:bottom w:val="nil"/>
              <w:right w:val="nil"/>
            </w:tcBorders>
          </w:tcPr>
          <w:p w14:paraId="2368E6FD"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5.0</w:t>
            </w:r>
          </w:p>
        </w:tc>
        <w:tc>
          <w:tcPr>
            <w:tcW w:w="862" w:type="dxa"/>
            <w:tcBorders>
              <w:top w:val="nil"/>
              <w:left w:val="nil"/>
              <w:bottom w:val="nil"/>
              <w:right w:val="nil"/>
            </w:tcBorders>
          </w:tcPr>
          <w:p w14:paraId="0A7248E9"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40.7</w:t>
            </w:r>
          </w:p>
        </w:tc>
        <w:tc>
          <w:tcPr>
            <w:tcW w:w="1134" w:type="dxa"/>
            <w:tcBorders>
              <w:top w:val="nil"/>
              <w:left w:val="nil"/>
              <w:bottom w:val="nil"/>
              <w:right w:val="nil"/>
            </w:tcBorders>
          </w:tcPr>
          <w:p w14:paraId="5D63D3A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0.0</w:t>
            </w:r>
          </w:p>
        </w:tc>
        <w:tc>
          <w:tcPr>
            <w:tcW w:w="1276" w:type="dxa"/>
            <w:tcBorders>
              <w:top w:val="nil"/>
              <w:left w:val="nil"/>
              <w:bottom w:val="nil"/>
              <w:right w:val="nil"/>
            </w:tcBorders>
          </w:tcPr>
          <w:p w14:paraId="59BCAD8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57.5</w:t>
            </w:r>
          </w:p>
        </w:tc>
        <w:tc>
          <w:tcPr>
            <w:tcW w:w="992" w:type="dxa"/>
            <w:tcBorders>
              <w:top w:val="nil"/>
              <w:left w:val="nil"/>
              <w:bottom w:val="nil"/>
              <w:right w:val="nil"/>
            </w:tcBorders>
          </w:tcPr>
          <w:p w14:paraId="3659DC6D"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14.7</w:t>
            </w:r>
          </w:p>
        </w:tc>
        <w:tc>
          <w:tcPr>
            <w:tcW w:w="1264" w:type="dxa"/>
            <w:gridSpan w:val="2"/>
            <w:tcBorders>
              <w:top w:val="nil"/>
              <w:left w:val="nil"/>
              <w:bottom w:val="nil"/>
              <w:right w:val="nil"/>
            </w:tcBorders>
          </w:tcPr>
          <w:p w14:paraId="306A06E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60.6</w:t>
            </w:r>
          </w:p>
        </w:tc>
        <w:tc>
          <w:tcPr>
            <w:tcW w:w="786" w:type="dxa"/>
            <w:gridSpan w:val="2"/>
            <w:tcBorders>
              <w:top w:val="nil"/>
              <w:left w:val="nil"/>
              <w:bottom w:val="nil"/>
              <w:right w:val="nil"/>
            </w:tcBorders>
          </w:tcPr>
          <w:p w14:paraId="6E97CCC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1.7</w:t>
            </w:r>
          </w:p>
        </w:tc>
        <w:tc>
          <w:tcPr>
            <w:tcW w:w="1069" w:type="dxa"/>
            <w:gridSpan w:val="2"/>
            <w:tcBorders>
              <w:top w:val="nil"/>
              <w:left w:val="nil"/>
              <w:bottom w:val="nil"/>
              <w:right w:val="nil"/>
            </w:tcBorders>
          </w:tcPr>
          <w:p w14:paraId="509871C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8.7</w:t>
            </w:r>
          </w:p>
        </w:tc>
        <w:tc>
          <w:tcPr>
            <w:tcW w:w="1027" w:type="dxa"/>
            <w:gridSpan w:val="2"/>
            <w:tcBorders>
              <w:top w:val="nil"/>
              <w:left w:val="nil"/>
              <w:bottom w:val="nil"/>
              <w:right w:val="nil"/>
            </w:tcBorders>
          </w:tcPr>
          <w:p w14:paraId="03516D4F"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623.0</w:t>
            </w:r>
          </w:p>
        </w:tc>
      </w:tr>
      <w:tr w:rsidR="002346AC" w:rsidRPr="000C21BB" w14:paraId="580378D9" w14:textId="77777777" w:rsidTr="00DB49B7">
        <w:trPr>
          <w:gridAfter w:val="1"/>
          <w:wAfter w:w="260" w:type="dxa"/>
          <w:trHeight w:val="250"/>
        </w:trPr>
        <w:tc>
          <w:tcPr>
            <w:tcW w:w="850" w:type="dxa"/>
            <w:tcBorders>
              <w:top w:val="nil"/>
              <w:left w:val="nil"/>
              <w:bottom w:val="nil"/>
              <w:right w:val="nil"/>
            </w:tcBorders>
          </w:tcPr>
          <w:p w14:paraId="22B06939"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GXI</w:t>
            </w:r>
          </w:p>
        </w:tc>
        <w:tc>
          <w:tcPr>
            <w:tcW w:w="1165" w:type="dxa"/>
            <w:tcBorders>
              <w:top w:val="nil"/>
              <w:left w:val="nil"/>
              <w:bottom w:val="nil"/>
              <w:right w:val="nil"/>
            </w:tcBorders>
          </w:tcPr>
          <w:p w14:paraId="64C17311"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190.7</w:t>
            </w:r>
          </w:p>
        </w:tc>
        <w:tc>
          <w:tcPr>
            <w:tcW w:w="992" w:type="dxa"/>
            <w:tcBorders>
              <w:top w:val="nil"/>
              <w:left w:val="nil"/>
              <w:bottom w:val="nil"/>
              <w:right w:val="nil"/>
            </w:tcBorders>
          </w:tcPr>
          <w:p w14:paraId="6C68385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209.2</w:t>
            </w:r>
          </w:p>
        </w:tc>
        <w:tc>
          <w:tcPr>
            <w:tcW w:w="851" w:type="dxa"/>
            <w:tcBorders>
              <w:top w:val="nil"/>
              <w:left w:val="nil"/>
              <w:bottom w:val="nil"/>
              <w:right w:val="nil"/>
            </w:tcBorders>
          </w:tcPr>
          <w:p w14:paraId="7545D09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3.7</w:t>
            </w:r>
          </w:p>
        </w:tc>
        <w:tc>
          <w:tcPr>
            <w:tcW w:w="980" w:type="dxa"/>
            <w:tcBorders>
              <w:top w:val="nil"/>
              <w:left w:val="nil"/>
              <w:bottom w:val="nil"/>
              <w:right w:val="nil"/>
            </w:tcBorders>
          </w:tcPr>
          <w:p w14:paraId="12604E9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5.7</w:t>
            </w:r>
          </w:p>
        </w:tc>
        <w:tc>
          <w:tcPr>
            <w:tcW w:w="862" w:type="dxa"/>
            <w:tcBorders>
              <w:top w:val="nil"/>
              <w:left w:val="nil"/>
              <w:bottom w:val="nil"/>
              <w:right w:val="nil"/>
            </w:tcBorders>
          </w:tcPr>
          <w:p w14:paraId="13B36B3F"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10.8</w:t>
            </w:r>
          </w:p>
        </w:tc>
        <w:tc>
          <w:tcPr>
            <w:tcW w:w="1134" w:type="dxa"/>
            <w:tcBorders>
              <w:top w:val="nil"/>
              <w:left w:val="nil"/>
              <w:bottom w:val="nil"/>
              <w:right w:val="nil"/>
            </w:tcBorders>
          </w:tcPr>
          <w:p w14:paraId="6525FD71"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1.0</w:t>
            </w:r>
          </w:p>
        </w:tc>
        <w:tc>
          <w:tcPr>
            <w:tcW w:w="1276" w:type="dxa"/>
            <w:tcBorders>
              <w:top w:val="nil"/>
              <w:left w:val="nil"/>
              <w:bottom w:val="nil"/>
              <w:right w:val="nil"/>
            </w:tcBorders>
          </w:tcPr>
          <w:p w14:paraId="7D78C2AC"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21.7</w:t>
            </w:r>
          </w:p>
        </w:tc>
        <w:tc>
          <w:tcPr>
            <w:tcW w:w="992" w:type="dxa"/>
            <w:tcBorders>
              <w:top w:val="nil"/>
              <w:left w:val="nil"/>
              <w:bottom w:val="nil"/>
              <w:right w:val="nil"/>
            </w:tcBorders>
          </w:tcPr>
          <w:p w14:paraId="1CD12C89"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2.9</w:t>
            </w:r>
          </w:p>
        </w:tc>
        <w:tc>
          <w:tcPr>
            <w:tcW w:w="1264" w:type="dxa"/>
            <w:gridSpan w:val="2"/>
            <w:tcBorders>
              <w:top w:val="nil"/>
              <w:left w:val="nil"/>
              <w:bottom w:val="nil"/>
              <w:right w:val="nil"/>
            </w:tcBorders>
          </w:tcPr>
          <w:p w14:paraId="1FA6348D"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21.7</w:t>
            </w:r>
          </w:p>
        </w:tc>
        <w:tc>
          <w:tcPr>
            <w:tcW w:w="786" w:type="dxa"/>
            <w:gridSpan w:val="2"/>
            <w:tcBorders>
              <w:top w:val="nil"/>
              <w:left w:val="nil"/>
              <w:bottom w:val="nil"/>
              <w:right w:val="nil"/>
            </w:tcBorders>
          </w:tcPr>
          <w:p w14:paraId="463AC23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4.4</w:t>
            </w:r>
          </w:p>
        </w:tc>
        <w:tc>
          <w:tcPr>
            <w:tcW w:w="1069" w:type="dxa"/>
            <w:gridSpan w:val="2"/>
            <w:tcBorders>
              <w:top w:val="nil"/>
              <w:left w:val="nil"/>
              <w:bottom w:val="nil"/>
              <w:right w:val="nil"/>
            </w:tcBorders>
          </w:tcPr>
          <w:p w14:paraId="57398C4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11.9</w:t>
            </w:r>
          </w:p>
        </w:tc>
        <w:tc>
          <w:tcPr>
            <w:tcW w:w="1027" w:type="dxa"/>
            <w:gridSpan w:val="2"/>
            <w:tcBorders>
              <w:top w:val="nil"/>
              <w:left w:val="nil"/>
              <w:bottom w:val="nil"/>
              <w:right w:val="nil"/>
            </w:tcBorders>
          </w:tcPr>
          <w:p w14:paraId="55C7408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483.9</w:t>
            </w:r>
          </w:p>
        </w:tc>
      </w:tr>
      <w:tr w:rsidR="002346AC" w:rsidRPr="000C21BB" w14:paraId="2971985E" w14:textId="77777777" w:rsidTr="00DB49B7">
        <w:trPr>
          <w:gridAfter w:val="1"/>
          <w:wAfter w:w="260" w:type="dxa"/>
          <w:trHeight w:val="250"/>
        </w:trPr>
        <w:tc>
          <w:tcPr>
            <w:tcW w:w="850" w:type="dxa"/>
            <w:tcBorders>
              <w:top w:val="nil"/>
              <w:left w:val="nil"/>
              <w:bottom w:val="nil"/>
              <w:right w:val="nil"/>
            </w:tcBorders>
          </w:tcPr>
          <w:p w14:paraId="183FF5B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HAN</w:t>
            </w:r>
          </w:p>
        </w:tc>
        <w:tc>
          <w:tcPr>
            <w:tcW w:w="1165" w:type="dxa"/>
            <w:tcBorders>
              <w:top w:val="nil"/>
              <w:left w:val="nil"/>
              <w:bottom w:val="nil"/>
              <w:right w:val="nil"/>
            </w:tcBorders>
          </w:tcPr>
          <w:p w14:paraId="68C197D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35.8</w:t>
            </w:r>
          </w:p>
        </w:tc>
        <w:tc>
          <w:tcPr>
            <w:tcW w:w="992" w:type="dxa"/>
            <w:tcBorders>
              <w:top w:val="nil"/>
              <w:left w:val="nil"/>
              <w:bottom w:val="nil"/>
              <w:right w:val="nil"/>
            </w:tcBorders>
          </w:tcPr>
          <w:p w14:paraId="65EAD55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41.5</w:t>
            </w:r>
          </w:p>
        </w:tc>
        <w:tc>
          <w:tcPr>
            <w:tcW w:w="851" w:type="dxa"/>
            <w:tcBorders>
              <w:top w:val="nil"/>
              <w:left w:val="nil"/>
              <w:bottom w:val="nil"/>
              <w:right w:val="nil"/>
            </w:tcBorders>
          </w:tcPr>
          <w:p w14:paraId="7D075A5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0.9</w:t>
            </w:r>
          </w:p>
        </w:tc>
        <w:tc>
          <w:tcPr>
            <w:tcW w:w="980" w:type="dxa"/>
            <w:tcBorders>
              <w:top w:val="nil"/>
              <w:left w:val="nil"/>
              <w:bottom w:val="nil"/>
              <w:right w:val="nil"/>
            </w:tcBorders>
          </w:tcPr>
          <w:p w14:paraId="1E20F55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0.5</w:t>
            </w:r>
          </w:p>
        </w:tc>
        <w:tc>
          <w:tcPr>
            <w:tcW w:w="862" w:type="dxa"/>
            <w:tcBorders>
              <w:top w:val="nil"/>
              <w:left w:val="nil"/>
              <w:bottom w:val="nil"/>
              <w:right w:val="nil"/>
            </w:tcBorders>
          </w:tcPr>
          <w:p w14:paraId="71703C9A"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2.4</w:t>
            </w:r>
          </w:p>
        </w:tc>
        <w:tc>
          <w:tcPr>
            <w:tcW w:w="1134" w:type="dxa"/>
            <w:tcBorders>
              <w:top w:val="nil"/>
              <w:left w:val="nil"/>
              <w:bottom w:val="nil"/>
              <w:right w:val="nil"/>
            </w:tcBorders>
          </w:tcPr>
          <w:p w14:paraId="79D1DCC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3.4</w:t>
            </w:r>
          </w:p>
        </w:tc>
        <w:tc>
          <w:tcPr>
            <w:tcW w:w="1276" w:type="dxa"/>
            <w:tcBorders>
              <w:top w:val="nil"/>
              <w:left w:val="nil"/>
              <w:bottom w:val="nil"/>
              <w:right w:val="nil"/>
            </w:tcBorders>
          </w:tcPr>
          <w:p w14:paraId="030F897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4.7</w:t>
            </w:r>
          </w:p>
        </w:tc>
        <w:tc>
          <w:tcPr>
            <w:tcW w:w="992" w:type="dxa"/>
            <w:tcBorders>
              <w:top w:val="nil"/>
              <w:left w:val="nil"/>
              <w:bottom w:val="nil"/>
              <w:right w:val="nil"/>
            </w:tcBorders>
          </w:tcPr>
          <w:p w14:paraId="0618BB7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0.9</w:t>
            </w:r>
          </w:p>
        </w:tc>
        <w:tc>
          <w:tcPr>
            <w:tcW w:w="1264" w:type="dxa"/>
            <w:gridSpan w:val="2"/>
            <w:tcBorders>
              <w:top w:val="nil"/>
              <w:left w:val="nil"/>
              <w:bottom w:val="nil"/>
              <w:right w:val="nil"/>
            </w:tcBorders>
          </w:tcPr>
          <w:p w14:paraId="7DDBE6D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13.1</w:t>
            </w:r>
          </w:p>
        </w:tc>
        <w:tc>
          <w:tcPr>
            <w:tcW w:w="786" w:type="dxa"/>
            <w:gridSpan w:val="2"/>
            <w:tcBorders>
              <w:top w:val="nil"/>
              <w:left w:val="nil"/>
              <w:bottom w:val="nil"/>
              <w:right w:val="nil"/>
            </w:tcBorders>
          </w:tcPr>
          <w:p w14:paraId="7834DD6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0.5</w:t>
            </w:r>
          </w:p>
        </w:tc>
        <w:tc>
          <w:tcPr>
            <w:tcW w:w="1069" w:type="dxa"/>
            <w:gridSpan w:val="2"/>
            <w:tcBorders>
              <w:top w:val="nil"/>
              <w:left w:val="nil"/>
              <w:bottom w:val="nil"/>
              <w:right w:val="nil"/>
            </w:tcBorders>
          </w:tcPr>
          <w:p w14:paraId="1F1EB8C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1.4</w:t>
            </w:r>
          </w:p>
        </w:tc>
        <w:tc>
          <w:tcPr>
            <w:tcW w:w="1027" w:type="dxa"/>
            <w:gridSpan w:val="2"/>
            <w:tcBorders>
              <w:top w:val="nil"/>
              <w:left w:val="nil"/>
              <w:bottom w:val="nil"/>
              <w:right w:val="nil"/>
            </w:tcBorders>
          </w:tcPr>
          <w:p w14:paraId="78A33D3F"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105.2</w:t>
            </w:r>
          </w:p>
        </w:tc>
      </w:tr>
      <w:tr w:rsidR="002346AC" w:rsidRPr="000C21BB" w14:paraId="6B4107F9" w14:textId="77777777" w:rsidTr="00DB49B7">
        <w:trPr>
          <w:gridAfter w:val="1"/>
          <w:wAfter w:w="260" w:type="dxa"/>
          <w:trHeight w:val="250"/>
        </w:trPr>
        <w:tc>
          <w:tcPr>
            <w:tcW w:w="850" w:type="dxa"/>
            <w:tcBorders>
              <w:top w:val="nil"/>
              <w:left w:val="nil"/>
              <w:bottom w:val="nil"/>
              <w:right w:val="nil"/>
            </w:tcBorders>
          </w:tcPr>
          <w:p w14:paraId="05EF1901"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CHO</w:t>
            </w:r>
          </w:p>
        </w:tc>
        <w:tc>
          <w:tcPr>
            <w:tcW w:w="1165" w:type="dxa"/>
            <w:tcBorders>
              <w:top w:val="nil"/>
              <w:left w:val="nil"/>
              <w:bottom w:val="nil"/>
              <w:right w:val="nil"/>
            </w:tcBorders>
          </w:tcPr>
          <w:p w14:paraId="409F007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90.2</w:t>
            </w:r>
          </w:p>
        </w:tc>
        <w:tc>
          <w:tcPr>
            <w:tcW w:w="992" w:type="dxa"/>
            <w:tcBorders>
              <w:top w:val="nil"/>
              <w:left w:val="nil"/>
              <w:bottom w:val="nil"/>
              <w:right w:val="nil"/>
            </w:tcBorders>
          </w:tcPr>
          <w:p w14:paraId="2EE1016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73.2</w:t>
            </w:r>
          </w:p>
        </w:tc>
        <w:tc>
          <w:tcPr>
            <w:tcW w:w="851" w:type="dxa"/>
            <w:tcBorders>
              <w:top w:val="nil"/>
              <w:left w:val="nil"/>
              <w:bottom w:val="nil"/>
              <w:right w:val="nil"/>
            </w:tcBorders>
          </w:tcPr>
          <w:p w14:paraId="08FF02F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5.5</w:t>
            </w:r>
          </w:p>
        </w:tc>
        <w:tc>
          <w:tcPr>
            <w:tcW w:w="980" w:type="dxa"/>
            <w:tcBorders>
              <w:top w:val="nil"/>
              <w:left w:val="nil"/>
              <w:bottom w:val="nil"/>
              <w:right w:val="nil"/>
            </w:tcBorders>
          </w:tcPr>
          <w:p w14:paraId="3A227D7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5.2</w:t>
            </w:r>
          </w:p>
        </w:tc>
        <w:tc>
          <w:tcPr>
            <w:tcW w:w="862" w:type="dxa"/>
            <w:tcBorders>
              <w:top w:val="nil"/>
              <w:left w:val="nil"/>
              <w:bottom w:val="nil"/>
              <w:right w:val="nil"/>
            </w:tcBorders>
          </w:tcPr>
          <w:p w14:paraId="583380F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8.1</w:t>
            </w:r>
          </w:p>
        </w:tc>
        <w:tc>
          <w:tcPr>
            <w:tcW w:w="1134" w:type="dxa"/>
            <w:tcBorders>
              <w:top w:val="nil"/>
              <w:left w:val="nil"/>
              <w:bottom w:val="nil"/>
              <w:right w:val="nil"/>
            </w:tcBorders>
          </w:tcPr>
          <w:p w14:paraId="4AE6611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5.5</w:t>
            </w:r>
          </w:p>
        </w:tc>
        <w:tc>
          <w:tcPr>
            <w:tcW w:w="1276" w:type="dxa"/>
            <w:tcBorders>
              <w:top w:val="nil"/>
              <w:left w:val="nil"/>
              <w:bottom w:val="nil"/>
              <w:right w:val="nil"/>
            </w:tcBorders>
          </w:tcPr>
          <w:p w14:paraId="03266F8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15.7</w:t>
            </w:r>
          </w:p>
        </w:tc>
        <w:tc>
          <w:tcPr>
            <w:tcW w:w="992" w:type="dxa"/>
            <w:tcBorders>
              <w:top w:val="nil"/>
              <w:left w:val="nil"/>
              <w:bottom w:val="nil"/>
              <w:right w:val="nil"/>
            </w:tcBorders>
          </w:tcPr>
          <w:p w14:paraId="7491DAF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3.1</w:t>
            </w:r>
          </w:p>
        </w:tc>
        <w:tc>
          <w:tcPr>
            <w:tcW w:w="1264" w:type="dxa"/>
            <w:gridSpan w:val="2"/>
            <w:tcBorders>
              <w:top w:val="nil"/>
              <w:left w:val="nil"/>
              <w:bottom w:val="nil"/>
              <w:right w:val="nil"/>
            </w:tcBorders>
          </w:tcPr>
          <w:p w14:paraId="1A8A542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4.7</w:t>
            </w:r>
          </w:p>
        </w:tc>
        <w:tc>
          <w:tcPr>
            <w:tcW w:w="786" w:type="dxa"/>
            <w:gridSpan w:val="2"/>
            <w:tcBorders>
              <w:top w:val="nil"/>
              <w:left w:val="nil"/>
              <w:bottom w:val="nil"/>
              <w:right w:val="nil"/>
            </w:tcBorders>
          </w:tcPr>
          <w:p w14:paraId="47CA667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3.3</w:t>
            </w:r>
          </w:p>
        </w:tc>
        <w:tc>
          <w:tcPr>
            <w:tcW w:w="1069" w:type="dxa"/>
            <w:gridSpan w:val="2"/>
            <w:tcBorders>
              <w:top w:val="nil"/>
              <w:left w:val="nil"/>
              <w:bottom w:val="nil"/>
              <w:right w:val="nil"/>
            </w:tcBorders>
          </w:tcPr>
          <w:p w14:paraId="3AC962A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6.9</w:t>
            </w:r>
          </w:p>
        </w:tc>
        <w:tc>
          <w:tcPr>
            <w:tcW w:w="1027" w:type="dxa"/>
            <w:gridSpan w:val="2"/>
            <w:tcBorders>
              <w:top w:val="nil"/>
              <w:left w:val="nil"/>
              <w:bottom w:val="nil"/>
              <w:right w:val="nil"/>
            </w:tcBorders>
          </w:tcPr>
          <w:p w14:paraId="5AD9A94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221.4</w:t>
            </w:r>
          </w:p>
        </w:tc>
      </w:tr>
      <w:tr w:rsidR="002346AC" w:rsidRPr="000C21BB" w14:paraId="4275B87A" w14:textId="77777777" w:rsidTr="00DB49B7">
        <w:trPr>
          <w:gridAfter w:val="1"/>
          <w:wAfter w:w="260" w:type="dxa"/>
          <w:trHeight w:val="250"/>
        </w:trPr>
        <w:tc>
          <w:tcPr>
            <w:tcW w:w="850" w:type="dxa"/>
            <w:tcBorders>
              <w:top w:val="nil"/>
              <w:left w:val="nil"/>
              <w:bottom w:val="nil"/>
              <w:right w:val="nil"/>
            </w:tcBorders>
          </w:tcPr>
          <w:p w14:paraId="38DBD83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lastRenderedPageBreak/>
              <w:t>SCH</w:t>
            </w:r>
          </w:p>
        </w:tc>
        <w:tc>
          <w:tcPr>
            <w:tcW w:w="1165" w:type="dxa"/>
            <w:tcBorders>
              <w:top w:val="nil"/>
              <w:left w:val="nil"/>
              <w:bottom w:val="nil"/>
              <w:right w:val="nil"/>
            </w:tcBorders>
          </w:tcPr>
          <w:p w14:paraId="65027A1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353.7</w:t>
            </w:r>
          </w:p>
        </w:tc>
        <w:tc>
          <w:tcPr>
            <w:tcW w:w="992" w:type="dxa"/>
            <w:tcBorders>
              <w:top w:val="nil"/>
              <w:left w:val="nil"/>
              <w:bottom w:val="nil"/>
              <w:right w:val="nil"/>
            </w:tcBorders>
          </w:tcPr>
          <w:p w14:paraId="2B12A27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157.8</w:t>
            </w:r>
          </w:p>
        </w:tc>
        <w:tc>
          <w:tcPr>
            <w:tcW w:w="851" w:type="dxa"/>
            <w:tcBorders>
              <w:top w:val="nil"/>
              <w:left w:val="nil"/>
              <w:bottom w:val="nil"/>
              <w:right w:val="nil"/>
            </w:tcBorders>
          </w:tcPr>
          <w:p w14:paraId="04EF8E7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10.5</w:t>
            </w:r>
          </w:p>
        </w:tc>
        <w:tc>
          <w:tcPr>
            <w:tcW w:w="980" w:type="dxa"/>
            <w:tcBorders>
              <w:top w:val="nil"/>
              <w:left w:val="nil"/>
              <w:bottom w:val="nil"/>
              <w:right w:val="nil"/>
            </w:tcBorders>
          </w:tcPr>
          <w:p w14:paraId="75393FE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17.9</w:t>
            </w:r>
          </w:p>
        </w:tc>
        <w:tc>
          <w:tcPr>
            <w:tcW w:w="862" w:type="dxa"/>
            <w:tcBorders>
              <w:top w:val="nil"/>
              <w:left w:val="nil"/>
              <w:bottom w:val="nil"/>
              <w:right w:val="nil"/>
            </w:tcBorders>
          </w:tcPr>
          <w:p w14:paraId="30553E2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21.5</w:t>
            </w:r>
          </w:p>
        </w:tc>
        <w:tc>
          <w:tcPr>
            <w:tcW w:w="1134" w:type="dxa"/>
            <w:tcBorders>
              <w:top w:val="nil"/>
              <w:left w:val="nil"/>
              <w:bottom w:val="nil"/>
              <w:right w:val="nil"/>
            </w:tcBorders>
          </w:tcPr>
          <w:p w14:paraId="513D87A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12.6</w:t>
            </w:r>
          </w:p>
        </w:tc>
        <w:tc>
          <w:tcPr>
            <w:tcW w:w="1276" w:type="dxa"/>
            <w:tcBorders>
              <w:top w:val="nil"/>
              <w:left w:val="nil"/>
              <w:bottom w:val="nil"/>
              <w:right w:val="nil"/>
            </w:tcBorders>
          </w:tcPr>
          <w:p w14:paraId="4088E6D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37.1</w:t>
            </w:r>
          </w:p>
        </w:tc>
        <w:tc>
          <w:tcPr>
            <w:tcW w:w="992" w:type="dxa"/>
            <w:tcBorders>
              <w:top w:val="nil"/>
              <w:left w:val="nil"/>
              <w:bottom w:val="nil"/>
              <w:right w:val="nil"/>
            </w:tcBorders>
          </w:tcPr>
          <w:p w14:paraId="5F0C4DD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5.1</w:t>
            </w:r>
          </w:p>
        </w:tc>
        <w:tc>
          <w:tcPr>
            <w:tcW w:w="1264" w:type="dxa"/>
            <w:gridSpan w:val="2"/>
            <w:tcBorders>
              <w:top w:val="nil"/>
              <w:left w:val="nil"/>
              <w:bottom w:val="nil"/>
              <w:right w:val="nil"/>
            </w:tcBorders>
          </w:tcPr>
          <w:p w14:paraId="7612665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13.7</w:t>
            </w:r>
          </w:p>
        </w:tc>
        <w:tc>
          <w:tcPr>
            <w:tcW w:w="786" w:type="dxa"/>
            <w:gridSpan w:val="2"/>
            <w:tcBorders>
              <w:top w:val="nil"/>
              <w:left w:val="nil"/>
              <w:bottom w:val="nil"/>
              <w:right w:val="nil"/>
            </w:tcBorders>
          </w:tcPr>
          <w:p w14:paraId="3AEC73B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122.3</w:t>
            </w:r>
          </w:p>
        </w:tc>
        <w:tc>
          <w:tcPr>
            <w:tcW w:w="1069" w:type="dxa"/>
            <w:gridSpan w:val="2"/>
            <w:tcBorders>
              <w:top w:val="nil"/>
              <w:left w:val="nil"/>
              <w:bottom w:val="nil"/>
              <w:right w:val="nil"/>
            </w:tcBorders>
          </w:tcPr>
          <w:p w14:paraId="1C200D2C"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20.2</w:t>
            </w:r>
          </w:p>
        </w:tc>
        <w:tc>
          <w:tcPr>
            <w:tcW w:w="1027" w:type="dxa"/>
            <w:gridSpan w:val="2"/>
            <w:tcBorders>
              <w:top w:val="nil"/>
              <w:left w:val="nil"/>
              <w:bottom w:val="nil"/>
              <w:right w:val="nil"/>
            </w:tcBorders>
          </w:tcPr>
          <w:p w14:paraId="14A614B9"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772.3</w:t>
            </w:r>
          </w:p>
        </w:tc>
      </w:tr>
      <w:tr w:rsidR="002346AC" w:rsidRPr="000C21BB" w14:paraId="390B091A" w14:textId="77777777" w:rsidTr="00DB49B7">
        <w:trPr>
          <w:gridAfter w:val="1"/>
          <w:wAfter w:w="260" w:type="dxa"/>
          <w:trHeight w:val="250"/>
        </w:trPr>
        <w:tc>
          <w:tcPr>
            <w:tcW w:w="850" w:type="dxa"/>
            <w:tcBorders>
              <w:top w:val="nil"/>
              <w:left w:val="nil"/>
              <w:bottom w:val="nil"/>
              <w:right w:val="nil"/>
            </w:tcBorders>
          </w:tcPr>
          <w:p w14:paraId="3932EDCC"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GUI</w:t>
            </w:r>
          </w:p>
        </w:tc>
        <w:tc>
          <w:tcPr>
            <w:tcW w:w="1165" w:type="dxa"/>
            <w:tcBorders>
              <w:top w:val="nil"/>
              <w:left w:val="nil"/>
              <w:bottom w:val="nil"/>
              <w:right w:val="nil"/>
            </w:tcBorders>
          </w:tcPr>
          <w:p w14:paraId="71D97DE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121.4</w:t>
            </w:r>
          </w:p>
        </w:tc>
        <w:tc>
          <w:tcPr>
            <w:tcW w:w="992" w:type="dxa"/>
            <w:tcBorders>
              <w:top w:val="nil"/>
              <w:left w:val="nil"/>
              <w:bottom w:val="nil"/>
              <w:right w:val="nil"/>
            </w:tcBorders>
          </w:tcPr>
          <w:p w14:paraId="3FBFFC1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103.1</w:t>
            </w:r>
          </w:p>
        </w:tc>
        <w:tc>
          <w:tcPr>
            <w:tcW w:w="851" w:type="dxa"/>
            <w:tcBorders>
              <w:top w:val="nil"/>
              <w:left w:val="nil"/>
              <w:bottom w:val="nil"/>
              <w:right w:val="nil"/>
            </w:tcBorders>
          </w:tcPr>
          <w:p w14:paraId="433774F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9.7</w:t>
            </w:r>
          </w:p>
        </w:tc>
        <w:tc>
          <w:tcPr>
            <w:tcW w:w="980" w:type="dxa"/>
            <w:tcBorders>
              <w:top w:val="nil"/>
              <w:left w:val="nil"/>
              <w:bottom w:val="nil"/>
              <w:right w:val="nil"/>
            </w:tcBorders>
          </w:tcPr>
          <w:p w14:paraId="418E3949"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6.1</w:t>
            </w:r>
          </w:p>
        </w:tc>
        <w:tc>
          <w:tcPr>
            <w:tcW w:w="862" w:type="dxa"/>
            <w:tcBorders>
              <w:top w:val="nil"/>
              <w:left w:val="nil"/>
              <w:bottom w:val="nil"/>
              <w:right w:val="nil"/>
            </w:tcBorders>
          </w:tcPr>
          <w:p w14:paraId="0838896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8.8</w:t>
            </w:r>
          </w:p>
        </w:tc>
        <w:tc>
          <w:tcPr>
            <w:tcW w:w="1134" w:type="dxa"/>
            <w:tcBorders>
              <w:top w:val="nil"/>
              <w:left w:val="nil"/>
              <w:bottom w:val="nil"/>
              <w:right w:val="nil"/>
            </w:tcBorders>
          </w:tcPr>
          <w:p w14:paraId="7BFBECC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8.4</w:t>
            </w:r>
          </w:p>
        </w:tc>
        <w:tc>
          <w:tcPr>
            <w:tcW w:w="1276" w:type="dxa"/>
            <w:tcBorders>
              <w:top w:val="nil"/>
              <w:left w:val="nil"/>
              <w:bottom w:val="nil"/>
              <w:right w:val="nil"/>
            </w:tcBorders>
          </w:tcPr>
          <w:p w14:paraId="0AB6E57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22.6</w:t>
            </w:r>
          </w:p>
        </w:tc>
        <w:tc>
          <w:tcPr>
            <w:tcW w:w="992" w:type="dxa"/>
            <w:tcBorders>
              <w:top w:val="nil"/>
              <w:left w:val="nil"/>
              <w:bottom w:val="nil"/>
              <w:right w:val="nil"/>
            </w:tcBorders>
          </w:tcPr>
          <w:p w14:paraId="258D93A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1.9</w:t>
            </w:r>
          </w:p>
        </w:tc>
        <w:tc>
          <w:tcPr>
            <w:tcW w:w="1264" w:type="dxa"/>
            <w:gridSpan w:val="2"/>
            <w:tcBorders>
              <w:top w:val="nil"/>
              <w:left w:val="nil"/>
              <w:bottom w:val="nil"/>
              <w:right w:val="nil"/>
            </w:tcBorders>
          </w:tcPr>
          <w:p w14:paraId="4365E82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2.3</w:t>
            </w:r>
          </w:p>
        </w:tc>
        <w:tc>
          <w:tcPr>
            <w:tcW w:w="786" w:type="dxa"/>
            <w:gridSpan w:val="2"/>
            <w:tcBorders>
              <w:top w:val="nil"/>
              <w:left w:val="nil"/>
              <w:bottom w:val="nil"/>
              <w:right w:val="nil"/>
            </w:tcBorders>
          </w:tcPr>
          <w:p w14:paraId="3786DC8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12.9</w:t>
            </w:r>
          </w:p>
        </w:tc>
        <w:tc>
          <w:tcPr>
            <w:tcW w:w="1069" w:type="dxa"/>
            <w:gridSpan w:val="2"/>
            <w:tcBorders>
              <w:top w:val="nil"/>
              <w:left w:val="nil"/>
              <w:bottom w:val="nil"/>
              <w:right w:val="nil"/>
            </w:tcBorders>
          </w:tcPr>
          <w:p w14:paraId="4BC71D21"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11.3</w:t>
            </w:r>
          </w:p>
        </w:tc>
        <w:tc>
          <w:tcPr>
            <w:tcW w:w="1027" w:type="dxa"/>
            <w:gridSpan w:val="2"/>
            <w:tcBorders>
              <w:top w:val="nil"/>
              <w:left w:val="nil"/>
              <w:bottom w:val="nil"/>
              <w:right w:val="nil"/>
            </w:tcBorders>
          </w:tcPr>
          <w:p w14:paraId="30B55F0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308.5</w:t>
            </w:r>
          </w:p>
        </w:tc>
      </w:tr>
      <w:tr w:rsidR="002346AC" w:rsidRPr="000C21BB" w14:paraId="5D14772E" w14:textId="77777777" w:rsidTr="00DB49B7">
        <w:trPr>
          <w:gridAfter w:val="1"/>
          <w:wAfter w:w="260" w:type="dxa"/>
          <w:trHeight w:val="250"/>
        </w:trPr>
        <w:tc>
          <w:tcPr>
            <w:tcW w:w="850" w:type="dxa"/>
            <w:tcBorders>
              <w:top w:val="nil"/>
              <w:left w:val="nil"/>
              <w:bottom w:val="nil"/>
              <w:right w:val="nil"/>
            </w:tcBorders>
          </w:tcPr>
          <w:p w14:paraId="7768EC7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YUN</w:t>
            </w:r>
          </w:p>
        </w:tc>
        <w:tc>
          <w:tcPr>
            <w:tcW w:w="1165" w:type="dxa"/>
            <w:tcBorders>
              <w:top w:val="nil"/>
              <w:left w:val="nil"/>
              <w:bottom w:val="nil"/>
              <w:right w:val="nil"/>
            </w:tcBorders>
          </w:tcPr>
          <w:p w14:paraId="0F441F5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263.3</w:t>
            </w:r>
          </w:p>
        </w:tc>
        <w:tc>
          <w:tcPr>
            <w:tcW w:w="992" w:type="dxa"/>
            <w:tcBorders>
              <w:top w:val="nil"/>
              <w:left w:val="nil"/>
              <w:bottom w:val="nil"/>
              <w:right w:val="nil"/>
            </w:tcBorders>
          </w:tcPr>
          <w:p w14:paraId="437245F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206.6</w:t>
            </w:r>
          </w:p>
        </w:tc>
        <w:tc>
          <w:tcPr>
            <w:tcW w:w="851" w:type="dxa"/>
            <w:tcBorders>
              <w:top w:val="nil"/>
              <w:left w:val="nil"/>
              <w:bottom w:val="nil"/>
              <w:right w:val="nil"/>
            </w:tcBorders>
          </w:tcPr>
          <w:p w14:paraId="11F2B88D"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9.8</w:t>
            </w:r>
          </w:p>
        </w:tc>
        <w:tc>
          <w:tcPr>
            <w:tcW w:w="980" w:type="dxa"/>
            <w:tcBorders>
              <w:top w:val="nil"/>
              <w:left w:val="nil"/>
              <w:bottom w:val="nil"/>
              <w:right w:val="nil"/>
            </w:tcBorders>
          </w:tcPr>
          <w:p w14:paraId="279EA5F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9.4</w:t>
            </w:r>
          </w:p>
        </w:tc>
        <w:tc>
          <w:tcPr>
            <w:tcW w:w="862" w:type="dxa"/>
            <w:tcBorders>
              <w:top w:val="nil"/>
              <w:left w:val="nil"/>
              <w:bottom w:val="nil"/>
              <w:right w:val="nil"/>
            </w:tcBorders>
          </w:tcPr>
          <w:p w14:paraId="0C516C5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13.2</w:t>
            </w:r>
          </w:p>
        </w:tc>
        <w:tc>
          <w:tcPr>
            <w:tcW w:w="1134" w:type="dxa"/>
            <w:tcBorders>
              <w:top w:val="nil"/>
              <w:left w:val="nil"/>
              <w:bottom w:val="nil"/>
              <w:right w:val="nil"/>
            </w:tcBorders>
          </w:tcPr>
          <w:p w14:paraId="2AB6124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4.6</w:t>
            </w:r>
          </w:p>
        </w:tc>
        <w:tc>
          <w:tcPr>
            <w:tcW w:w="1276" w:type="dxa"/>
            <w:tcBorders>
              <w:top w:val="nil"/>
              <w:left w:val="nil"/>
              <w:bottom w:val="nil"/>
              <w:right w:val="nil"/>
            </w:tcBorders>
          </w:tcPr>
          <w:p w14:paraId="25E740D9"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21.9</w:t>
            </w:r>
          </w:p>
        </w:tc>
        <w:tc>
          <w:tcPr>
            <w:tcW w:w="992" w:type="dxa"/>
            <w:tcBorders>
              <w:top w:val="nil"/>
              <w:left w:val="nil"/>
              <w:bottom w:val="nil"/>
              <w:right w:val="nil"/>
            </w:tcBorders>
          </w:tcPr>
          <w:p w14:paraId="33AF9AA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2.1</w:t>
            </w:r>
          </w:p>
        </w:tc>
        <w:tc>
          <w:tcPr>
            <w:tcW w:w="1264" w:type="dxa"/>
            <w:gridSpan w:val="2"/>
            <w:tcBorders>
              <w:top w:val="nil"/>
              <w:left w:val="nil"/>
              <w:bottom w:val="nil"/>
              <w:right w:val="nil"/>
            </w:tcBorders>
          </w:tcPr>
          <w:p w14:paraId="72CBC52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5.7</w:t>
            </w:r>
          </w:p>
        </w:tc>
        <w:tc>
          <w:tcPr>
            <w:tcW w:w="786" w:type="dxa"/>
            <w:gridSpan w:val="2"/>
            <w:tcBorders>
              <w:top w:val="nil"/>
              <w:left w:val="nil"/>
              <w:bottom w:val="nil"/>
              <w:right w:val="nil"/>
            </w:tcBorders>
          </w:tcPr>
          <w:p w14:paraId="0E56C7D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61.4</w:t>
            </w:r>
          </w:p>
        </w:tc>
        <w:tc>
          <w:tcPr>
            <w:tcW w:w="1069" w:type="dxa"/>
            <w:gridSpan w:val="2"/>
            <w:tcBorders>
              <w:top w:val="nil"/>
              <w:left w:val="nil"/>
              <w:bottom w:val="nil"/>
              <w:right w:val="nil"/>
            </w:tcBorders>
          </w:tcPr>
          <w:p w14:paraId="323CCA1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13.8</w:t>
            </w:r>
          </w:p>
        </w:tc>
        <w:tc>
          <w:tcPr>
            <w:tcW w:w="1027" w:type="dxa"/>
            <w:gridSpan w:val="2"/>
            <w:tcBorders>
              <w:top w:val="nil"/>
              <w:left w:val="nil"/>
              <w:bottom w:val="nil"/>
              <w:right w:val="nil"/>
            </w:tcBorders>
          </w:tcPr>
          <w:p w14:paraId="61217F1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611.9</w:t>
            </w:r>
          </w:p>
        </w:tc>
      </w:tr>
      <w:tr w:rsidR="002346AC" w:rsidRPr="000C21BB" w14:paraId="5C7C8898" w14:textId="77777777" w:rsidTr="00DB49B7">
        <w:trPr>
          <w:gridAfter w:val="1"/>
          <w:wAfter w:w="260" w:type="dxa"/>
          <w:trHeight w:val="250"/>
        </w:trPr>
        <w:tc>
          <w:tcPr>
            <w:tcW w:w="850" w:type="dxa"/>
            <w:tcBorders>
              <w:top w:val="nil"/>
              <w:left w:val="nil"/>
              <w:bottom w:val="nil"/>
              <w:right w:val="nil"/>
            </w:tcBorders>
          </w:tcPr>
          <w:p w14:paraId="752D0EE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TIB</w:t>
            </w:r>
          </w:p>
        </w:tc>
        <w:tc>
          <w:tcPr>
            <w:tcW w:w="1165" w:type="dxa"/>
            <w:tcBorders>
              <w:top w:val="nil"/>
              <w:left w:val="nil"/>
              <w:bottom w:val="nil"/>
              <w:right w:val="nil"/>
            </w:tcBorders>
          </w:tcPr>
          <w:p w14:paraId="5CA1A309"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72.3</w:t>
            </w:r>
          </w:p>
        </w:tc>
        <w:tc>
          <w:tcPr>
            <w:tcW w:w="992" w:type="dxa"/>
            <w:tcBorders>
              <w:top w:val="nil"/>
              <w:left w:val="nil"/>
              <w:bottom w:val="nil"/>
              <w:right w:val="nil"/>
            </w:tcBorders>
          </w:tcPr>
          <w:p w14:paraId="3FF8787F"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1.0</w:t>
            </w:r>
          </w:p>
        </w:tc>
        <w:tc>
          <w:tcPr>
            <w:tcW w:w="851" w:type="dxa"/>
            <w:tcBorders>
              <w:top w:val="nil"/>
              <w:left w:val="nil"/>
              <w:bottom w:val="nil"/>
              <w:right w:val="nil"/>
            </w:tcBorders>
          </w:tcPr>
          <w:p w14:paraId="3A336D0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1.5</w:t>
            </w:r>
          </w:p>
        </w:tc>
        <w:tc>
          <w:tcPr>
            <w:tcW w:w="980" w:type="dxa"/>
            <w:tcBorders>
              <w:top w:val="nil"/>
              <w:left w:val="nil"/>
              <w:bottom w:val="nil"/>
              <w:right w:val="nil"/>
            </w:tcBorders>
          </w:tcPr>
          <w:p w14:paraId="61E9F3DD"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0.2</w:t>
            </w:r>
          </w:p>
        </w:tc>
        <w:tc>
          <w:tcPr>
            <w:tcW w:w="862" w:type="dxa"/>
            <w:tcBorders>
              <w:top w:val="nil"/>
              <w:left w:val="nil"/>
              <w:bottom w:val="nil"/>
              <w:right w:val="nil"/>
            </w:tcBorders>
          </w:tcPr>
          <w:p w14:paraId="673D551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0.9</w:t>
            </w:r>
          </w:p>
        </w:tc>
        <w:tc>
          <w:tcPr>
            <w:tcW w:w="1134" w:type="dxa"/>
            <w:tcBorders>
              <w:top w:val="nil"/>
              <w:left w:val="nil"/>
              <w:bottom w:val="nil"/>
              <w:right w:val="nil"/>
            </w:tcBorders>
          </w:tcPr>
          <w:p w14:paraId="36F5BA6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0.0</w:t>
            </w:r>
          </w:p>
        </w:tc>
        <w:tc>
          <w:tcPr>
            <w:tcW w:w="1276" w:type="dxa"/>
            <w:tcBorders>
              <w:top w:val="nil"/>
              <w:left w:val="nil"/>
              <w:bottom w:val="nil"/>
              <w:right w:val="nil"/>
            </w:tcBorders>
          </w:tcPr>
          <w:p w14:paraId="0BFCEEF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0.8</w:t>
            </w:r>
          </w:p>
        </w:tc>
        <w:tc>
          <w:tcPr>
            <w:tcW w:w="992" w:type="dxa"/>
            <w:tcBorders>
              <w:top w:val="nil"/>
              <w:left w:val="nil"/>
              <w:bottom w:val="nil"/>
              <w:right w:val="nil"/>
            </w:tcBorders>
          </w:tcPr>
          <w:p w14:paraId="016842A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0.3</w:t>
            </w:r>
          </w:p>
        </w:tc>
        <w:tc>
          <w:tcPr>
            <w:tcW w:w="1264" w:type="dxa"/>
            <w:gridSpan w:val="2"/>
            <w:tcBorders>
              <w:top w:val="nil"/>
              <w:left w:val="nil"/>
              <w:bottom w:val="nil"/>
              <w:right w:val="nil"/>
            </w:tcBorders>
          </w:tcPr>
          <w:p w14:paraId="17D136F1"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0.0</w:t>
            </w:r>
          </w:p>
        </w:tc>
        <w:tc>
          <w:tcPr>
            <w:tcW w:w="786" w:type="dxa"/>
            <w:gridSpan w:val="2"/>
            <w:tcBorders>
              <w:top w:val="nil"/>
              <w:left w:val="nil"/>
              <w:bottom w:val="nil"/>
              <w:right w:val="nil"/>
            </w:tcBorders>
          </w:tcPr>
          <w:p w14:paraId="5035793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9.2</w:t>
            </w:r>
          </w:p>
        </w:tc>
        <w:tc>
          <w:tcPr>
            <w:tcW w:w="1069" w:type="dxa"/>
            <w:gridSpan w:val="2"/>
            <w:tcBorders>
              <w:top w:val="nil"/>
              <w:left w:val="nil"/>
              <w:bottom w:val="nil"/>
              <w:right w:val="nil"/>
            </w:tcBorders>
          </w:tcPr>
          <w:p w14:paraId="2E782B21"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0.5</w:t>
            </w:r>
          </w:p>
        </w:tc>
        <w:tc>
          <w:tcPr>
            <w:tcW w:w="1027" w:type="dxa"/>
            <w:gridSpan w:val="2"/>
            <w:tcBorders>
              <w:top w:val="nil"/>
              <w:left w:val="nil"/>
              <w:bottom w:val="nil"/>
              <w:right w:val="nil"/>
            </w:tcBorders>
          </w:tcPr>
          <w:p w14:paraId="531B619C"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86.5</w:t>
            </w:r>
          </w:p>
        </w:tc>
      </w:tr>
      <w:tr w:rsidR="002346AC" w:rsidRPr="000C21BB" w14:paraId="13383A2C" w14:textId="77777777" w:rsidTr="00DB49B7">
        <w:trPr>
          <w:gridAfter w:val="1"/>
          <w:wAfter w:w="260" w:type="dxa"/>
          <w:trHeight w:val="250"/>
        </w:trPr>
        <w:tc>
          <w:tcPr>
            <w:tcW w:w="850" w:type="dxa"/>
            <w:tcBorders>
              <w:top w:val="nil"/>
              <w:left w:val="nil"/>
              <w:bottom w:val="nil"/>
              <w:right w:val="nil"/>
            </w:tcBorders>
          </w:tcPr>
          <w:p w14:paraId="309110C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SHA</w:t>
            </w:r>
          </w:p>
        </w:tc>
        <w:tc>
          <w:tcPr>
            <w:tcW w:w="1165" w:type="dxa"/>
            <w:tcBorders>
              <w:top w:val="nil"/>
              <w:left w:val="nil"/>
              <w:bottom w:val="nil"/>
              <w:right w:val="nil"/>
            </w:tcBorders>
          </w:tcPr>
          <w:p w14:paraId="483D68CD"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132.6</w:t>
            </w:r>
          </w:p>
        </w:tc>
        <w:tc>
          <w:tcPr>
            <w:tcW w:w="992" w:type="dxa"/>
            <w:tcBorders>
              <w:top w:val="nil"/>
              <w:left w:val="nil"/>
              <w:bottom w:val="nil"/>
              <w:right w:val="nil"/>
            </w:tcBorders>
          </w:tcPr>
          <w:p w14:paraId="76EA576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109.4</w:t>
            </w:r>
          </w:p>
        </w:tc>
        <w:tc>
          <w:tcPr>
            <w:tcW w:w="851" w:type="dxa"/>
            <w:tcBorders>
              <w:top w:val="nil"/>
              <w:left w:val="nil"/>
              <w:bottom w:val="nil"/>
              <w:right w:val="nil"/>
            </w:tcBorders>
          </w:tcPr>
          <w:p w14:paraId="172765C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12.2</w:t>
            </w:r>
          </w:p>
        </w:tc>
        <w:tc>
          <w:tcPr>
            <w:tcW w:w="980" w:type="dxa"/>
            <w:tcBorders>
              <w:top w:val="nil"/>
              <w:left w:val="nil"/>
              <w:bottom w:val="nil"/>
              <w:right w:val="nil"/>
            </w:tcBorders>
          </w:tcPr>
          <w:p w14:paraId="5D78640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4.9</w:t>
            </w:r>
          </w:p>
        </w:tc>
        <w:tc>
          <w:tcPr>
            <w:tcW w:w="862" w:type="dxa"/>
            <w:tcBorders>
              <w:top w:val="nil"/>
              <w:left w:val="nil"/>
              <w:bottom w:val="nil"/>
              <w:right w:val="nil"/>
            </w:tcBorders>
          </w:tcPr>
          <w:p w14:paraId="6EA2271F"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0.0</w:t>
            </w:r>
          </w:p>
        </w:tc>
        <w:tc>
          <w:tcPr>
            <w:tcW w:w="1134" w:type="dxa"/>
            <w:tcBorders>
              <w:top w:val="nil"/>
              <w:left w:val="nil"/>
              <w:bottom w:val="nil"/>
              <w:right w:val="nil"/>
            </w:tcBorders>
          </w:tcPr>
          <w:p w14:paraId="5DC3D48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5.8</w:t>
            </w:r>
          </w:p>
        </w:tc>
        <w:tc>
          <w:tcPr>
            <w:tcW w:w="1276" w:type="dxa"/>
            <w:tcBorders>
              <w:top w:val="nil"/>
              <w:left w:val="nil"/>
              <w:bottom w:val="nil"/>
              <w:right w:val="nil"/>
            </w:tcBorders>
          </w:tcPr>
          <w:p w14:paraId="3CBC6FFF"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27.9</w:t>
            </w:r>
          </w:p>
        </w:tc>
        <w:tc>
          <w:tcPr>
            <w:tcW w:w="992" w:type="dxa"/>
            <w:tcBorders>
              <w:top w:val="nil"/>
              <w:left w:val="nil"/>
              <w:bottom w:val="nil"/>
              <w:right w:val="nil"/>
            </w:tcBorders>
          </w:tcPr>
          <w:p w14:paraId="24214B4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2.8</w:t>
            </w:r>
          </w:p>
        </w:tc>
        <w:tc>
          <w:tcPr>
            <w:tcW w:w="1264" w:type="dxa"/>
            <w:gridSpan w:val="2"/>
            <w:tcBorders>
              <w:top w:val="nil"/>
              <w:left w:val="nil"/>
              <w:bottom w:val="nil"/>
              <w:right w:val="nil"/>
            </w:tcBorders>
          </w:tcPr>
          <w:p w14:paraId="2C519AC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1.5</w:t>
            </w:r>
          </w:p>
        </w:tc>
        <w:tc>
          <w:tcPr>
            <w:tcW w:w="786" w:type="dxa"/>
            <w:gridSpan w:val="2"/>
            <w:tcBorders>
              <w:top w:val="nil"/>
              <w:left w:val="nil"/>
              <w:bottom w:val="nil"/>
              <w:right w:val="nil"/>
            </w:tcBorders>
          </w:tcPr>
          <w:p w14:paraId="51AB1EFA"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37.9</w:t>
            </w:r>
          </w:p>
        </w:tc>
        <w:tc>
          <w:tcPr>
            <w:tcW w:w="1069" w:type="dxa"/>
            <w:gridSpan w:val="2"/>
            <w:tcBorders>
              <w:top w:val="nil"/>
              <w:left w:val="nil"/>
              <w:bottom w:val="nil"/>
              <w:right w:val="nil"/>
            </w:tcBorders>
          </w:tcPr>
          <w:p w14:paraId="2CD04B7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8.3</w:t>
            </w:r>
          </w:p>
        </w:tc>
        <w:tc>
          <w:tcPr>
            <w:tcW w:w="1027" w:type="dxa"/>
            <w:gridSpan w:val="2"/>
            <w:tcBorders>
              <w:top w:val="nil"/>
              <w:left w:val="nil"/>
              <w:bottom w:val="nil"/>
              <w:right w:val="nil"/>
            </w:tcBorders>
          </w:tcPr>
          <w:p w14:paraId="4DECDF1D"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343.2</w:t>
            </w:r>
          </w:p>
        </w:tc>
      </w:tr>
      <w:tr w:rsidR="002346AC" w:rsidRPr="000C21BB" w14:paraId="4AE27F24" w14:textId="77777777" w:rsidTr="00DB49B7">
        <w:trPr>
          <w:gridAfter w:val="1"/>
          <w:wAfter w:w="260" w:type="dxa"/>
          <w:trHeight w:val="250"/>
        </w:trPr>
        <w:tc>
          <w:tcPr>
            <w:tcW w:w="850" w:type="dxa"/>
            <w:tcBorders>
              <w:top w:val="nil"/>
              <w:left w:val="nil"/>
              <w:bottom w:val="nil"/>
              <w:right w:val="nil"/>
            </w:tcBorders>
          </w:tcPr>
          <w:p w14:paraId="6F1C6D4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GAS</w:t>
            </w:r>
          </w:p>
        </w:tc>
        <w:tc>
          <w:tcPr>
            <w:tcW w:w="1165" w:type="dxa"/>
            <w:tcBorders>
              <w:top w:val="nil"/>
              <w:left w:val="nil"/>
              <w:bottom w:val="nil"/>
              <w:right w:val="nil"/>
            </w:tcBorders>
          </w:tcPr>
          <w:p w14:paraId="3098CE41"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172.7</w:t>
            </w:r>
          </w:p>
        </w:tc>
        <w:tc>
          <w:tcPr>
            <w:tcW w:w="992" w:type="dxa"/>
            <w:tcBorders>
              <w:top w:val="nil"/>
              <w:left w:val="nil"/>
              <w:bottom w:val="nil"/>
              <w:right w:val="nil"/>
            </w:tcBorders>
          </w:tcPr>
          <w:p w14:paraId="712D538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42.2</w:t>
            </w:r>
          </w:p>
        </w:tc>
        <w:tc>
          <w:tcPr>
            <w:tcW w:w="851" w:type="dxa"/>
            <w:tcBorders>
              <w:top w:val="nil"/>
              <w:left w:val="nil"/>
              <w:bottom w:val="nil"/>
              <w:right w:val="nil"/>
            </w:tcBorders>
          </w:tcPr>
          <w:p w14:paraId="72EA398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4.7</w:t>
            </w:r>
          </w:p>
        </w:tc>
        <w:tc>
          <w:tcPr>
            <w:tcW w:w="980" w:type="dxa"/>
            <w:tcBorders>
              <w:top w:val="nil"/>
              <w:left w:val="nil"/>
              <w:bottom w:val="nil"/>
              <w:right w:val="nil"/>
            </w:tcBorders>
          </w:tcPr>
          <w:p w14:paraId="1EAF02C9"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4.7</w:t>
            </w:r>
          </w:p>
        </w:tc>
        <w:tc>
          <w:tcPr>
            <w:tcW w:w="862" w:type="dxa"/>
            <w:tcBorders>
              <w:top w:val="nil"/>
              <w:left w:val="nil"/>
              <w:bottom w:val="nil"/>
              <w:right w:val="nil"/>
            </w:tcBorders>
          </w:tcPr>
          <w:p w14:paraId="3B0A98C9"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0.0</w:t>
            </w:r>
          </w:p>
        </w:tc>
        <w:tc>
          <w:tcPr>
            <w:tcW w:w="1134" w:type="dxa"/>
            <w:tcBorders>
              <w:top w:val="nil"/>
              <w:left w:val="nil"/>
              <w:bottom w:val="nil"/>
              <w:right w:val="nil"/>
            </w:tcBorders>
          </w:tcPr>
          <w:p w14:paraId="2094209A"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1.1</w:t>
            </w:r>
          </w:p>
        </w:tc>
        <w:tc>
          <w:tcPr>
            <w:tcW w:w="1276" w:type="dxa"/>
            <w:tcBorders>
              <w:top w:val="nil"/>
              <w:left w:val="nil"/>
              <w:bottom w:val="nil"/>
              <w:right w:val="nil"/>
            </w:tcBorders>
          </w:tcPr>
          <w:p w14:paraId="6DB375A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13.5</w:t>
            </w:r>
          </w:p>
        </w:tc>
        <w:tc>
          <w:tcPr>
            <w:tcW w:w="992" w:type="dxa"/>
            <w:tcBorders>
              <w:top w:val="nil"/>
              <w:left w:val="nil"/>
              <w:bottom w:val="nil"/>
              <w:right w:val="nil"/>
            </w:tcBorders>
          </w:tcPr>
          <w:p w14:paraId="18B5935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1.3</w:t>
            </w:r>
          </w:p>
        </w:tc>
        <w:tc>
          <w:tcPr>
            <w:tcW w:w="1264" w:type="dxa"/>
            <w:gridSpan w:val="2"/>
            <w:tcBorders>
              <w:top w:val="nil"/>
              <w:left w:val="nil"/>
              <w:bottom w:val="nil"/>
              <w:right w:val="nil"/>
            </w:tcBorders>
          </w:tcPr>
          <w:p w14:paraId="08E213E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0.1</w:t>
            </w:r>
          </w:p>
        </w:tc>
        <w:tc>
          <w:tcPr>
            <w:tcW w:w="786" w:type="dxa"/>
            <w:gridSpan w:val="2"/>
            <w:tcBorders>
              <w:top w:val="nil"/>
              <w:left w:val="nil"/>
              <w:bottom w:val="nil"/>
              <w:right w:val="nil"/>
            </w:tcBorders>
          </w:tcPr>
          <w:p w14:paraId="6422273C"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108.9</w:t>
            </w:r>
          </w:p>
        </w:tc>
        <w:tc>
          <w:tcPr>
            <w:tcW w:w="1069" w:type="dxa"/>
            <w:gridSpan w:val="2"/>
            <w:tcBorders>
              <w:top w:val="nil"/>
              <w:left w:val="nil"/>
              <w:bottom w:val="nil"/>
              <w:right w:val="nil"/>
            </w:tcBorders>
          </w:tcPr>
          <w:p w14:paraId="0D4809F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7.5</w:t>
            </w:r>
          </w:p>
        </w:tc>
        <w:tc>
          <w:tcPr>
            <w:tcW w:w="1027" w:type="dxa"/>
            <w:gridSpan w:val="2"/>
            <w:tcBorders>
              <w:top w:val="nil"/>
              <w:left w:val="nil"/>
              <w:bottom w:val="nil"/>
              <w:right w:val="nil"/>
            </w:tcBorders>
          </w:tcPr>
          <w:p w14:paraId="1FB3AC3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356.9</w:t>
            </w:r>
          </w:p>
        </w:tc>
      </w:tr>
      <w:tr w:rsidR="002346AC" w:rsidRPr="000C21BB" w14:paraId="54C15A8E" w14:textId="77777777" w:rsidTr="00DB49B7">
        <w:trPr>
          <w:gridAfter w:val="1"/>
          <w:wAfter w:w="260" w:type="dxa"/>
          <w:trHeight w:val="250"/>
        </w:trPr>
        <w:tc>
          <w:tcPr>
            <w:tcW w:w="850" w:type="dxa"/>
            <w:tcBorders>
              <w:top w:val="nil"/>
              <w:left w:val="nil"/>
              <w:bottom w:val="nil"/>
              <w:right w:val="nil"/>
            </w:tcBorders>
          </w:tcPr>
          <w:p w14:paraId="6E3454A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QIH</w:t>
            </w:r>
          </w:p>
        </w:tc>
        <w:tc>
          <w:tcPr>
            <w:tcW w:w="1165" w:type="dxa"/>
            <w:tcBorders>
              <w:top w:val="nil"/>
              <w:left w:val="nil"/>
              <w:bottom w:val="nil"/>
              <w:right w:val="nil"/>
            </w:tcBorders>
          </w:tcPr>
          <w:p w14:paraId="68A07CE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73.5</w:t>
            </w:r>
          </w:p>
        </w:tc>
        <w:tc>
          <w:tcPr>
            <w:tcW w:w="992" w:type="dxa"/>
            <w:tcBorders>
              <w:top w:val="nil"/>
              <w:left w:val="nil"/>
              <w:bottom w:val="nil"/>
              <w:right w:val="nil"/>
            </w:tcBorders>
          </w:tcPr>
          <w:p w14:paraId="6FE5B6CF"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3.6</w:t>
            </w:r>
          </w:p>
        </w:tc>
        <w:tc>
          <w:tcPr>
            <w:tcW w:w="851" w:type="dxa"/>
            <w:tcBorders>
              <w:top w:val="nil"/>
              <w:left w:val="nil"/>
              <w:bottom w:val="nil"/>
              <w:right w:val="nil"/>
            </w:tcBorders>
          </w:tcPr>
          <w:p w14:paraId="5AA3292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0.6</w:t>
            </w:r>
          </w:p>
        </w:tc>
        <w:tc>
          <w:tcPr>
            <w:tcW w:w="980" w:type="dxa"/>
            <w:tcBorders>
              <w:top w:val="nil"/>
              <w:left w:val="nil"/>
              <w:bottom w:val="nil"/>
              <w:right w:val="nil"/>
            </w:tcBorders>
          </w:tcPr>
          <w:p w14:paraId="406F4E2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0.3</w:t>
            </w:r>
          </w:p>
        </w:tc>
        <w:tc>
          <w:tcPr>
            <w:tcW w:w="862" w:type="dxa"/>
            <w:tcBorders>
              <w:top w:val="nil"/>
              <w:left w:val="nil"/>
              <w:bottom w:val="nil"/>
              <w:right w:val="nil"/>
            </w:tcBorders>
          </w:tcPr>
          <w:p w14:paraId="09153D5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0.0</w:t>
            </w:r>
          </w:p>
        </w:tc>
        <w:tc>
          <w:tcPr>
            <w:tcW w:w="1134" w:type="dxa"/>
            <w:tcBorders>
              <w:top w:val="nil"/>
              <w:left w:val="nil"/>
              <w:bottom w:val="nil"/>
              <w:right w:val="nil"/>
            </w:tcBorders>
          </w:tcPr>
          <w:p w14:paraId="0EDE843A"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0.8</w:t>
            </w:r>
          </w:p>
        </w:tc>
        <w:tc>
          <w:tcPr>
            <w:tcW w:w="1276" w:type="dxa"/>
            <w:tcBorders>
              <w:top w:val="nil"/>
              <w:left w:val="nil"/>
              <w:bottom w:val="nil"/>
              <w:right w:val="nil"/>
            </w:tcBorders>
          </w:tcPr>
          <w:p w14:paraId="09836E3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1.9</w:t>
            </w:r>
          </w:p>
        </w:tc>
        <w:tc>
          <w:tcPr>
            <w:tcW w:w="992" w:type="dxa"/>
            <w:tcBorders>
              <w:top w:val="nil"/>
              <w:left w:val="nil"/>
              <w:bottom w:val="nil"/>
              <w:right w:val="nil"/>
            </w:tcBorders>
          </w:tcPr>
          <w:p w14:paraId="12277F29"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0.2</w:t>
            </w:r>
          </w:p>
        </w:tc>
        <w:tc>
          <w:tcPr>
            <w:tcW w:w="1264" w:type="dxa"/>
            <w:gridSpan w:val="2"/>
            <w:tcBorders>
              <w:top w:val="nil"/>
              <w:left w:val="nil"/>
              <w:bottom w:val="nil"/>
              <w:right w:val="nil"/>
            </w:tcBorders>
          </w:tcPr>
          <w:p w14:paraId="1045F93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0.1</w:t>
            </w:r>
          </w:p>
        </w:tc>
        <w:tc>
          <w:tcPr>
            <w:tcW w:w="786" w:type="dxa"/>
            <w:gridSpan w:val="2"/>
            <w:tcBorders>
              <w:top w:val="nil"/>
              <w:left w:val="nil"/>
              <w:bottom w:val="nil"/>
              <w:right w:val="nil"/>
            </w:tcBorders>
          </w:tcPr>
          <w:p w14:paraId="6775E0EF"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60.6</w:t>
            </w:r>
          </w:p>
        </w:tc>
        <w:tc>
          <w:tcPr>
            <w:tcW w:w="1069" w:type="dxa"/>
            <w:gridSpan w:val="2"/>
            <w:tcBorders>
              <w:top w:val="nil"/>
              <w:left w:val="nil"/>
              <w:bottom w:val="nil"/>
              <w:right w:val="nil"/>
            </w:tcBorders>
          </w:tcPr>
          <w:p w14:paraId="30430EA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0.4</w:t>
            </w:r>
          </w:p>
        </w:tc>
        <w:tc>
          <w:tcPr>
            <w:tcW w:w="1027" w:type="dxa"/>
            <w:gridSpan w:val="2"/>
            <w:tcBorders>
              <w:top w:val="nil"/>
              <w:left w:val="nil"/>
              <w:bottom w:val="nil"/>
              <w:right w:val="nil"/>
            </w:tcBorders>
          </w:tcPr>
          <w:p w14:paraId="1795469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142.2</w:t>
            </w:r>
          </w:p>
        </w:tc>
      </w:tr>
      <w:tr w:rsidR="002346AC" w:rsidRPr="000C21BB" w14:paraId="4E7F6C69" w14:textId="77777777" w:rsidTr="00DB49B7">
        <w:trPr>
          <w:gridAfter w:val="1"/>
          <w:wAfter w:w="260" w:type="dxa"/>
          <w:trHeight w:val="250"/>
        </w:trPr>
        <w:tc>
          <w:tcPr>
            <w:tcW w:w="850" w:type="dxa"/>
            <w:tcBorders>
              <w:top w:val="nil"/>
              <w:left w:val="nil"/>
              <w:bottom w:val="nil"/>
              <w:right w:val="nil"/>
            </w:tcBorders>
          </w:tcPr>
          <w:p w14:paraId="18BBDBA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NXA</w:t>
            </w:r>
          </w:p>
        </w:tc>
        <w:tc>
          <w:tcPr>
            <w:tcW w:w="1165" w:type="dxa"/>
            <w:tcBorders>
              <w:top w:val="nil"/>
              <w:left w:val="nil"/>
              <w:bottom w:val="nil"/>
              <w:right w:val="nil"/>
            </w:tcBorders>
          </w:tcPr>
          <w:p w14:paraId="79E7000A"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46.7</w:t>
            </w:r>
          </w:p>
        </w:tc>
        <w:tc>
          <w:tcPr>
            <w:tcW w:w="992" w:type="dxa"/>
            <w:tcBorders>
              <w:top w:val="nil"/>
              <w:left w:val="nil"/>
              <w:bottom w:val="nil"/>
              <w:right w:val="nil"/>
            </w:tcBorders>
          </w:tcPr>
          <w:p w14:paraId="2DF9866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14.5</w:t>
            </w:r>
          </w:p>
        </w:tc>
        <w:tc>
          <w:tcPr>
            <w:tcW w:w="851" w:type="dxa"/>
            <w:tcBorders>
              <w:top w:val="nil"/>
              <w:left w:val="nil"/>
              <w:bottom w:val="nil"/>
              <w:right w:val="nil"/>
            </w:tcBorders>
          </w:tcPr>
          <w:p w14:paraId="58A6FB1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1.1</w:t>
            </w:r>
          </w:p>
        </w:tc>
        <w:tc>
          <w:tcPr>
            <w:tcW w:w="980" w:type="dxa"/>
            <w:tcBorders>
              <w:top w:val="nil"/>
              <w:left w:val="nil"/>
              <w:bottom w:val="nil"/>
              <w:right w:val="nil"/>
            </w:tcBorders>
          </w:tcPr>
          <w:p w14:paraId="18FC302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1.3</w:t>
            </w:r>
          </w:p>
        </w:tc>
        <w:tc>
          <w:tcPr>
            <w:tcW w:w="862" w:type="dxa"/>
            <w:tcBorders>
              <w:top w:val="nil"/>
              <w:left w:val="nil"/>
              <w:bottom w:val="nil"/>
              <w:right w:val="nil"/>
            </w:tcBorders>
          </w:tcPr>
          <w:p w14:paraId="1DCFE68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0.0</w:t>
            </w:r>
          </w:p>
        </w:tc>
        <w:tc>
          <w:tcPr>
            <w:tcW w:w="1134" w:type="dxa"/>
            <w:tcBorders>
              <w:top w:val="nil"/>
              <w:left w:val="nil"/>
              <w:bottom w:val="nil"/>
              <w:right w:val="nil"/>
            </w:tcBorders>
          </w:tcPr>
          <w:p w14:paraId="4BCB1F1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1.8</w:t>
            </w:r>
          </w:p>
        </w:tc>
        <w:tc>
          <w:tcPr>
            <w:tcW w:w="1276" w:type="dxa"/>
            <w:tcBorders>
              <w:top w:val="nil"/>
              <w:left w:val="nil"/>
              <w:bottom w:val="nil"/>
              <w:right w:val="nil"/>
            </w:tcBorders>
          </w:tcPr>
          <w:p w14:paraId="4A744D42"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11.1</w:t>
            </w:r>
          </w:p>
        </w:tc>
        <w:tc>
          <w:tcPr>
            <w:tcW w:w="992" w:type="dxa"/>
            <w:tcBorders>
              <w:top w:val="nil"/>
              <w:left w:val="nil"/>
              <w:bottom w:val="nil"/>
              <w:right w:val="nil"/>
            </w:tcBorders>
          </w:tcPr>
          <w:p w14:paraId="6AC4B4A4"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0.6</w:t>
            </w:r>
          </w:p>
        </w:tc>
        <w:tc>
          <w:tcPr>
            <w:tcW w:w="1264" w:type="dxa"/>
            <w:gridSpan w:val="2"/>
            <w:tcBorders>
              <w:top w:val="nil"/>
              <w:left w:val="nil"/>
              <w:bottom w:val="nil"/>
              <w:right w:val="nil"/>
            </w:tcBorders>
          </w:tcPr>
          <w:p w14:paraId="1752E55A"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1.6</w:t>
            </w:r>
          </w:p>
        </w:tc>
        <w:tc>
          <w:tcPr>
            <w:tcW w:w="786" w:type="dxa"/>
            <w:gridSpan w:val="2"/>
            <w:tcBorders>
              <w:top w:val="nil"/>
              <w:left w:val="nil"/>
              <w:bottom w:val="nil"/>
              <w:right w:val="nil"/>
            </w:tcBorders>
          </w:tcPr>
          <w:p w14:paraId="6235653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30.6</w:t>
            </w:r>
          </w:p>
        </w:tc>
        <w:tc>
          <w:tcPr>
            <w:tcW w:w="1069" w:type="dxa"/>
            <w:gridSpan w:val="2"/>
            <w:tcBorders>
              <w:top w:val="nil"/>
              <w:left w:val="nil"/>
              <w:bottom w:val="nil"/>
              <w:right w:val="nil"/>
            </w:tcBorders>
          </w:tcPr>
          <w:p w14:paraId="3578DFAC"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2.1</w:t>
            </w:r>
          </w:p>
        </w:tc>
        <w:tc>
          <w:tcPr>
            <w:tcW w:w="1027" w:type="dxa"/>
            <w:gridSpan w:val="2"/>
            <w:tcBorders>
              <w:top w:val="nil"/>
              <w:left w:val="nil"/>
              <w:bottom w:val="nil"/>
              <w:right w:val="nil"/>
            </w:tcBorders>
          </w:tcPr>
          <w:p w14:paraId="7929AA8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111.4</w:t>
            </w:r>
          </w:p>
        </w:tc>
      </w:tr>
      <w:tr w:rsidR="002346AC" w:rsidRPr="000C21BB" w14:paraId="7CB2CDF6" w14:textId="77777777" w:rsidTr="00DB49B7">
        <w:trPr>
          <w:gridAfter w:val="1"/>
          <w:wAfter w:w="260" w:type="dxa"/>
          <w:trHeight w:val="250"/>
        </w:trPr>
        <w:tc>
          <w:tcPr>
            <w:tcW w:w="850" w:type="dxa"/>
            <w:tcBorders>
              <w:top w:val="nil"/>
              <w:left w:val="nil"/>
              <w:bottom w:val="nil"/>
              <w:right w:val="nil"/>
            </w:tcBorders>
          </w:tcPr>
          <w:p w14:paraId="096EC5B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XIN</w:t>
            </w:r>
          </w:p>
        </w:tc>
        <w:tc>
          <w:tcPr>
            <w:tcW w:w="1165" w:type="dxa"/>
            <w:tcBorders>
              <w:top w:val="nil"/>
              <w:left w:val="nil"/>
              <w:bottom w:val="nil"/>
              <w:right w:val="nil"/>
            </w:tcBorders>
          </w:tcPr>
          <w:p w14:paraId="79A3176D"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223.6</w:t>
            </w:r>
          </w:p>
        </w:tc>
        <w:tc>
          <w:tcPr>
            <w:tcW w:w="992" w:type="dxa"/>
            <w:tcBorders>
              <w:top w:val="nil"/>
              <w:left w:val="nil"/>
              <w:bottom w:val="nil"/>
              <w:right w:val="nil"/>
            </w:tcBorders>
          </w:tcPr>
          <w:p w14:paraId="00C6A1A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75.8</w:t>
            </w:r>
          </w:p>
        </w:tc>
        <w:tc>
          <w:tcPr>
            <w:tcW w:w="851" w:type="dxa"/>
            <w:tcBorders>
              <w:top w:val="nil"/>
              <w:left w:val="nil"/>
              <w:bottom w:val="nil"/>
              <w:right w:val="nil"/>
            </w:tcBorders>
          </w:tcPr>
          <w:p w14:paraId="5F34D45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6.6</w:t>
            </w:r>
          </w:p>
        </w:tc>
        <w:tc>
          <w:tcPr>
            <w:tcW w:w="980" w:type="dxa"/>
            <w:tcBorders>
              <w:top w:val="nil"/>
              <w:left w:val="nil"/>
              <w:bottom w:val="nil"/>
              <w:right w:val="nil"/>
            </w:tcBorders>
          </w:tcPr>
          <w:p w14:paraId="08C308C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16.9</w:t>
            </w:r>
          </w:p>
        </w:tc>
        <w:tc>
          <w:tcPr>
            <w:tcW w:w="862" w:type="dxa"/>
            <w:tcBorders>
              <w:top w:val="nil"/>
              <w:left w:val="nil"/>
              <w:bottom w:val="nil"/>
              <w:right w:val="nil"/>
            </w:tcBorders>
          </w:tcPr>
          <w:p w14:paraId="3D35040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0.0</w:t>
            </w:r>
          </w:p>
        </w:tc>
        <w:tc>
          <w:tcPr>
            <w:tcW w:w="1134" w:type="dxa"/>
            <w:tcBorders>
              <w:top w:val="nil"/>
              <w:left w:val="nil"/>
              <w:bottom w:val="nil"/>
              <w:right w:val="nil"/>
            </w:tcBorders>
          </w:tcPr>
          <w:p w14:paraId="35E74CF1"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10.9</w:t>
            </w:r>
          </w:p>
        </w:tc>
        <w:tc>
          <w:tcPr>
            <w:tcW w:w="1276" w:type="dxa"/>
            <w:tcBorders>
              <w:top w:val="nil"/>
              <w:left w:val="nil"/>
              <w:bottom w:val="nil"/>
              <w:right w:val="nil"/>
            </w:tcBorders>
          </w:tcPr>
          <w:p w14:paraId="057F845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26.2</w:t>
            </w:r>
          </w:p>
        </w:tc>
        <w:tc>
          <w:tcPr>
            <w:tcW w:w="992" w:type="dxa"/>
            <w:tcBorders>
              <w:top w:val="nil"/>
              <w:left w:val="nil"/>
              <w:bottom w:val="nil"/>
              <w:right w:val="nil"/>
            </w:tcBorders>
          </w:tcPr>
          <w:p w14:paraId="08046F0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2.2</w:t>
            </w:r>
          </w:p>
        </w:tc>
        <w:tc>
          <w:tcPr>
            <w:tcW w:w="1264" w:type="dxa"/>
            <w:gridSpan w:val="2"/>
            <w:tcBorders>
              <w:top w:val="nil"/>
              <w:left w:val="nil"/>
              <w:bottom w:val="nil"/>
              <w:right w:val="nil"/>
            </w:tcBorders>
          </w:tcPr>
          <w:p w14:paraId="2D22F65E"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1.5</w:t>
            </w:r>
          </w:p>
        </w:tc>
        <w:tc>
          <w:tcPr>
            <w:tcW w:w="786" w:type="dxa"/>
            <w:gridSpan w:val="2"/>
            <w:tcBorders>
              <w:top w:val="nil"/>
              <w:left w:val="nil"/>
              <w:bottom w:val="nil"/>
              <w:right w:val="nil"/>
            </w:tcBorders>
          </w:tcPr>
          <w:p w14:paraId="315243CC"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78.5</w:t>
            </w:r>
          </w:p>
        </w:tc>
        <w:tc>
          <w:tcPr>
            <w:tcW w:w="1069" w:type="dxa"/>
            <w:gridSpan w:val="2"/>
            <w:tcBorders>
              <w:top w:val="nil"/>
              <w:left w:val="nil"/>
              <w:bottom w:val="nil"/>
              <w:right w:val="nil"/>
            </w:tcBorders>
          </w:tcPr>
          <w:p w14:paraId="3BFFC62C"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12.1</w:t>
            </w:r>
          </w:p>
        </w:tc>
        <w:tc>
          <w:tcPr>
            <w:tcW w:w="1027" w:type="dxa"/>
            <w:gridSpan w:val="2"/>
            <w:tcBorders>
              <w:top w:val="nil"/>
              <w:left w:val="nil"/>
              <w:bottom w:val="nil"/>
              <w:right w:val="nil"/>
            </w:tcBorders>
          </w:tcPr>
          <w:p w14:paraId="5E625063"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454.3</w:t>
            </w:r>
          </w:p>
        </w:tc>
      </w:tr>
      <w:tr w:rsidR="000C21BB" w:rsidRPr="000C21BB" w14:paraId="59DF2619" w14:textId="77777777" w:rsidTr="00DB49B7">
        <w:trPr>
          <w:gridAfter w:val="1"/>
          <w:wAfter w:w="260" w:type="dxa"/>
          <w:trHeight w:val="262"/>
        </w:trPr>
        <w:tc>
          <w:tcPr>
            <w:tcW w:w="850" w:type="dxa"/>
            <w:tcBorders>
              <w:top w:val="nil"/>
              <w:left w:val="nil"/>
              <w:bottom w:val="single" w:sz="12" w:space="0" w:color="auto"/>
              <w:right w:val="nil"/>
            </w:tcBorders>
          </w:tcPr>
          <w:p w14:paraId="72945B1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CHA</w:t>
            </w:r>
          </w:p>
        </w:tc>
        <w:tc>
          <w:tcPr>
            <w:tcW w:w="1165" w:type="dxa"/>
            <w:tcBorders>
              <w:top w:val="nil"/>
              <w:left w:val="nil"/>
              <w:bottom w:val="single" w:sz="12" w:space="0" w:color="auto"/>
              <w:right w:val="nil"/>
            </w:tcBorders>
          </w:tcPr>
          <w:p w14:paraId="40766907"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5009.0</w:t>
            </w:r>
          </w:p>
        </w:tc>
        <w:tc>
          <w:tcPr>
            <w:tcW w:w="992" w:type="dxa"/>
            <w:tcBorders>
              <w:top w:val="nil"/>
              <w:left w:val="nil"/>
              <w:bottom w:val="single" w:sz="12" w:space="0" w:color="auto"/>
              <w:right w:val="nil"/>
            </w:tcBorders>
          </w:tcPr>
          <w:p w14:paraId="19A800E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3572.2</w:t>
            </w:r>
          </w:p>
        </w:tc>
        <w:tc>
          <w:tcPr>
            <w:tcW w:w="851" w:type="dxa"/>
            <w:tcBorders>
              <w:top w:val="nil"/>
              <w:left w:val="nil"/>
              <w:bottom w:val="single" w:sz="12" w:space="0" w:color="auto"/>
              <w:right w:val="nil"/>
            </w:tcBorders>
          </w:tcPr>
          <w:p w14:paraId="5D371261"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170.1</w:t>
            </w:r>
          </w:p>
        </w:tc>
        <w:tc>
          <w:tcPr>
            <w:tcW w:w="980" w:type="dxa"/>
            <w:tcBorders>
              <w:top w:val="nil"/>
              <w:left w:val="nil"/>
              <w:bottom w:val="single" w:sz="12" w:space="0" w:color="auto"/>
              <w:right w:val="nil"/>
            </w:tcBorders>
          </w:tcPr>
          <w:p w14:paraId="24C8EE21"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290.2</w:t>
            </w:r>
          </w:p>
        </w:tc>
        <w:tc>
          <w:tcPr>
            <w:tcW w:w="862" w:type="dxa"/>
            <w:tcBorders>
              <w:top w:val="nil"/>
              <w:left w:val="nil"/>
              <w:bottom w:val="single" w:sz="12" w:space="0" w:color="auto"/>
              <w:right w:val="nil"/>
            </w:tcBorders>
          </w:tcPr>
          <w:p w14:paraId="4B642820"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421.7</w:t>
            </w:r>
          </w:p>
        </w:tc>
        <w:tc>
          <w:tcPr>
            <w:tcW w:w="1134" w:type="dxa"/>
            <w:tcBorders>
              <w:top w:val="nil"/>
              <w:left w:val="nil"/>
              <w:bottom w:val="single" w:sz="12" w:space="0" w:color="auto"/>
              <w:right w:val="nil"/>
            </w:tcBorders>
          </w:tcPr>
          <w:p w14:paraId="5C64400B"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189.0</w:t>
            </w:r>
          </w:p>
        </w:tc>
        <w:tc>
          <w:tcPr>
            <w:tcW w:w="1276" w:type="dxa"/>
            <w:tcBorders>
              <w:top w:val="nil"/>
              <w:left w:val="nil"/>
              <w:bottom w:val="single" w:sz="12" w:space="0" w:color="auto"/>
              <w:right w:val="nil"/>
            </w:tcBorders>
          </w:tcPr>
          <w:p w14:paraId="0CF9DFD5"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881.4</w:t>
            </w:r>
          </w:p>
        </w:tc>
        <w:tc>
          <w:tcPr>
            <w:tcW w:w="992" w:type="dxa"/>
            <w:tcBorders>
              <w:top w:val="nil"/>
              <w:left w:val="nil"/>
              <w:bottom w:val="single" w:sz="12" w:space="0" w:color="auto"/>
              <w:right w:val="nil"/>
            </w:tcBorders>
          </w:tcPr>
          <w:p w14:paraId="690CAF31"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115.2</w:t>
            </w:r>
          </w:p>
        </w:tc>
        <w:tc>
          <w:tcPr>
            <w:tcW w:w="1264" w:type="dxa"/>
            <w:gridSpan w:val="2"/>
            <w:tcBorders>
              <w:top w:val="nil"/>
              <w:left w:val="nil"/>
              <w:bottom w:val="single" w:sz="12" w:space="0" w:color="auto"/>
              <w:right w:val="nil"/>
            </w:tcBorders>
          </w:tcPr>
          <w:p w14:paraId="26A9C936"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477.6</w:t>
            </w:r>
          </w:p>
        </w:tc>
        <w:tc>
          <w:tcPr>
            <w:tcW w:w="786" w:type="dxa"/>
            <w:gridSpan w:val="2"/>
            <w:tcBorders>
              <w:top w:val="nil"/>
              <w:left w:val="nil"/>
              <w:bottom w:val="single" w:sz="12" w:space="0" w:color="auto"/>
              <w:right w:val="nil"/>
            </w:tcBorders>
          </w:tcPr>
          <w:p w14:paraId="5A98F15C"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809.8</w:t>
            </w:r>
          </w:p>
        </w:tc>
        <w:tc>
          <w:tcPr>
            <w:tcW w:w="1069" w:type="dxa"/>
            <w:gridSpan w:val="2"/>
            <w:tcBorders>
              <w:top w:val="nil"/>
              <w:left w:val="nil"/>
              <w:bottom w:val="single" w:sz="12" w:space="0" w:color="auto"/>
              <w:right w:val="nil"/>
            </w:tcBorders>
          </w:tcPr>
          <w:p w14:paraId="387040F8"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355.5</w:t>
            </w:r>
          </w:p>
        </w:tc>
        <w:tc>
          <w:tcPr>
            <w:tcW w:w="1027" w:type="dxa"/>
            <w:gridSpan w:val="2"/>
            <w:tcBorders>
              <w:top w:val="nil"/>
              <w:left w:val="nil"/>
              <w:bottom w:val="single" w:sz="12" w:space="0" w:color="auto"/>
              <w:right w:val="nil"/>
            </w:tcBorders>
          </w:tcPr>
          <w:p w14:paraId="45794F2C" w14:textId="77777777" w:rsidR="000C21BB" w:rsidRPr="000C21BB" w:rsidRDefault="000C21BB">
            <w:pPr>
              <w:autoSpaceDE w:val="0"/>
              <w:autoSpaceDN w:val="0"/>
              <w:adjustRightInd w:val="0"/>
              <w:jc w:val="center"/>
              <w:rPr>
                <w:rFonts w:eastAsia="等线" w:cs="Times New Roman"/>
                <w:color w:val="000000"/>
                <w:kern w:val="0"/>
                <w:sz w:val="22"/>
              </w:rPr>
            </w:pPr>
            <w:r w:rsidRPr="000C21BB">
              <w:rPr>
                <w:rFonts w:eastAsia="等线" w:cs="Times New Roman"/>
                <w:color w:val="000000"/>
                <w:kern w:val="0"/>
                <w:sz w:val="22"/>
              </w:rPr>
              <w:t>12291.7</w:t>
            </w:r>
          </w:p>
        </w:tc>
      </w:tr>
    </w:tbl>
    <w:p w14:paraId="236A5E82" w14:textId="047CF895" w:rsidR="00AA4E7B" w:rsidRPr="00BA583D" w:rsidRDefault="0028695C">
      <w:pPr>
        <w:rPr>
          <w:rFonts w:cs="Times New Roman"/>
          <w:sz w:val="24"/>
          <w:szCs w:val="24"/>
        </w:rPr>
      </w:pPr>
      <w:r w:rsidRPr="00BA583D">
        <w:rPr>
          <w:rFonts w:eastAsia="等线" w:cs="Times New Roman"/>
          <w:color w:val="000000"/>
          <w:kern w:val="0"/>
          <w:sz w:val="24"/>
          <w:szCs w:val="24"/>
        </w:rPr>
        <w:t xml:space="preserve">Note: </w:t>
      </w:r>
      <w:r w:rsidR="000C21BB" w:rsidRPr="000C21BB">
        <w:rPr>
          <w:rFonts w:eastAsia="等线" w:cs="Times New Roman"/>
          <w:color w:val="000000"/>
          <w:kern w:val="0"/>
          <w:sz w:val="24"/>
          <w:szCs w:val="24"/>
        </w:rPr>
        <w:t>Others: Soil, BNF and crop residues compost</w:t>
      </w:r>
      <w:r w:rsidR="000C21BB">
        <w:rPr>
          <w:rFonts w:eastAsia="等线" w:cs="Times New Roman"/>
          <w:color w:val="000000"/>
          <w:kern w:val="0"/>
          <w:sz w:val="24"/>
          <w:szCs w:val="24"/>
        </w:rPr>
        <w:t xml:space="preserve">; </w:t>
      </w:r>
      <w:r w:rsidRPr="00BA583D">
        <w:rPr>
          <w:rFonts w:eastAsia="等线" w:cs="Times New Roman"/>
          <w:color w:val="000000"/>
          <w:kern w:val="0"/>
          <w:sz w:val="24"/>
          <w:szCs w:val="24"/>
        </w:rPr>
        <w:t xml:space="preserve">BNF: Biological nitrogen fixation. </w:t>
      </w:r>
    </w:p>
    <w:p w14:paraId="45730F29" w14:textId="77777777" w:rsidR="00AA4E7B" w:rsidRPr="00BA583D" w:rsidRDefault="00AA4E7B">
      <w:pPr>
        <w:rPr>
          <w:rFonts w:cs="Times New Roman"/>
          <w:sz w:val="24"/>
          <w:szCs w:val="24"/>
        </w:rPr>
        <w:sectPr w:rsidR="00AA4E7B" w:rsidRPr="00BA583D" w:rsidSect="00DB49B7">
          <w:pgSz w:w="16838" w:h="11906" w:orient="landscape"/>
          <w:pgMar w:top="1800" w:right="1812" w:bottom="1800" w:left="1440" w:header="851" w:footer="992" w:gutter="0"/>
          <w:cols w:space="425"/>
          <w:docGrid w:type="lines" w:linePitch="312"/>
        </w:sectPr>
      </w:pPr>
    </w:p>
    <w:p w14:paraId="326EB6CC" w14:textId="22689230" w:rsidR="00300871" w:rsidRPr="00421E0E" w:rsidRDefault="00300871" w:rsidP="00300871">
      <w:pPr>
        <w:spacing w:line="480" w:lineRule="auto"/>
        <w:ind w:firstLine="600"/>
        <w:jc w:val="center"/>
        <w:rPr>
          <w:rFonts w:cs="Times New Roman"/>
          <w:b/>
          <w:szCs w:val="21"/>
        </w:rPr>
      </w:pPr>
      <w:r w:rsidRPr="00421E0E">
        <w:rPr>
          <w:rFonts w:cs="Times New Roman" w:hint="eastAsia"/>
          <w:b/>
          <w:szCs w:val="21"/>
        </w:rPr>
        <w:lastRenderedPageBreak/>
        <w:t xml:space="preserve">Table S4 </w:t>
      </w:r>
      <w:r w:rsidRPr="00421E0E">
        <w:rPr>
          <w:b/>
          <w:szCs w:val="21"/>
        </w:rPr>
        <w:t>Uncertainty range of the NH</w:t>
      </w:r>
      <w:r w:rsidRPr="00421E0E">
        <w:rPr>
          <w:b/>
          <w:szCs w:val="21"/>
          <w:vertAlign w:val="subscript"/>
        </w:rPr>
        <w:t>3</w:t>
      </w:r>
      <w:r w:rsidRPr="00421E0E">
        <w:rPr>
          <w:b/>
          <w:szCs w:val="21"/>
        </w:rPr>
        <w:t xml:space="preserve"> emissions</w:t>
      </w:r>
      <w:r w:rsidRPr="00421E0E">
        <w:rPr>
          <w:rFonts w:hint="eastAsia"/>
          <w:b/>
          <w:szCs w:val="21"/>
        </w:rPr>
        <w:t xml:space="preserve"> by sector in 201</w:t>
      </w:r>
      <w:r w:rsidRPr="00421E0E">
        <w:rPr>
          <w:b/>
          <w:szCs w:val="21"/>
        </w:rPr>
        <w:t>7</w:t>
      </w:r>
    </w:p>
    <w:tbl>
      <w:tblPr>
        <w:tblW w:w="6021" w:type="dxa"/>
        <w:jc w:val="center"/>
        <w:tblLook w:val="04A0" w:firstRow="1" w:lastRow="0" w:firstColumn="1" w:lastColumn="0" w:noHBand="0" w:noVBand="1"/>
      </w:tblPr>
      <w:tblGrid>
        <w:gridCol w:w="1560"/>
        <w:gridCol w:w="1134"/>
        <w:gridCol w:w="1553"/>
        <w:gridCol w:w="1774"/>
      </w:tblGrid>
      <w:tr w:rsidR="00490282" w:rsidRPr="00490282" w14:paraId="41816A69" w14:textId="77777777" w:rsidTr="00490282">
        <w:trPr>
          <w:trHeight w:val="285"/>
          <w:jc w:val="center"/>
        </w:trPr>
        <w:tc>
          <w:tcPr>
            <w:tcW w:w="1560" w:type="dxa"/>
            <w:vMerge w:val="restart"/>
            <w:tcBorders>
              <w:top w:val="single" w:sz="4" w:space="0" w:color="auto"/>
              <w:left w:val="nil"/>
              <w:bottom w:val="single" w:sz="4" w:space="0" w:color="000000"/>
              <w:right w:val="nil"/>
            </w:tcBorders>
            <w:shd w:val="clear" w:color="auto" w:fill="auto"/>
            <w:noWrap/>
            <w:vAlign w:val="bottom"/>
            <w:hideMark/>
          </w:tcPr>
          <w:p w14:paraId="323C2EF9" w14:textId="64C4FD47" w:rsidR="00490282" w:rsidRPr="00490282" w:rsidRDefault="00490282" w:rsidP="00490282">
            <w:pPr>
              <w:widowControl/>
              <w:jc w:val="center"/>
              <w:rPr>
                <w:rFonts w:eastAsia="等线" w:cs="Times New Roman"/>
                <w:color w:val="000000"/>
                <w:kern w:val="0"/>
                <w:sz w:val="22"/>
              </w:rPr>
            </w:pPr>
          </w:p>
        </w:tc>
        <w:tc>
          <w:tcPr>
            <w:tcW w:w="1134" w:type="dxa"/>
            <w:tcBorders>
              <w:top w:val="single" w:sz="4" w:space="0" w:color="auto"/>
              <w:left w:val="nil"/>
              <w:bottom w:val="nil"/>
              <w:right w:val="nil"/>
            </w:tcBorders>
            <w:shd w:val="clear" w:color="auto" w:fill="auto"/>
            <w:vAlign w:val="center"/>
            <w:hideMark/>
          </w:tcPr>
          <w:p w14:paraId="49E2D37C" w14:textId="77777777" w:rsidR="00490282" w:rsidRPr="00490282" w:rsidRDefault="00490282" w:rsidP="00490282">
            <w:pPr>
              <w:widowControl/>
              <w:jc w:val="center"/>
              <w:rPr>
                <w:rFonts w:eastAsia="等线" w:cs="Times New Roman"/>
                <w:color w:val="000000"/>
                <w:kern w:val="0"/>
                <w:szCs w:val="21"/>
              </w:rPr>
            </w:pPr>
            <w:r w:rsidRPr="00490282">
              <w:rPr>
                <w:rFonts w:eastAsia="等线" w:cs="Times New Roman"/>
                <w:color w:val="000000"/>
                <w:kern w:val="0"/>
                <w:szCs w:val="21"/>
              </w:rPr>
              <w:t>Emission</w:t>
            </w:r>
          </w:p>
        </w:tc>
        <w:tc>
          <w:tcPr>
            <w:tcW w:w="1553" w:type="dxa"/>
            <w:tcBorders>
              <w:top w:val="single" w:sz="4" w:space="0" w:color="auto"/>
              <w:left w:val="nil"/>
              <w:bottom w:val="nil"/>
              <w:right w:val="nil"/>
            </w:tcBorders>
            <w:shd w:val="clear" w:color="auto" w:fill="auto"/>
            <w:vAlign w:val="center"/>
            <w:hideMark/>
          </w:tcPr>
          <w:p w14:paraId="1DD80B66" w14:textId="77777777" w:rsidR="00490282" w:rsidRPr="00490282" w:rsidRDefault="00490282" w:rsidP="00490282">
            <w:pPr>
              <w:widowControl/>
              <w:jc w:val="center"/>
              <w:rPr>
                <w:rFonts w:eastAsia="等线" w:cs="Times New Roman"/>
                <w:color w:val="000000"/>
                <w:kern w:val="0"/>
                <w:szCs w:val="21"/>
              </w:rPr>
            </w:pPr>
            <w:r w:rsidRPr="00490282">
              <w:rPr>
                <w:rFonts w:eastAsia="等线" w:cs="Times New Roman"/>
                <w:color w:val="000000"/>
                <w:kern w:val="0"/>
                <w:szCs w:val="21"/>
              </w:rPr>
              <w:t>Mean</w:t>
            </w:r>
          </w:p>
        </w:tc>
        <w:tc>
          <w:tcPr>
            <w:tcW w:w="1774" w:type="dxa"/>
            <w:vMerge w:val="restart"/>
            <w:tcBorders>
              <w:top w:val="single" w:sz="4" w:space="0" w:color="auto"/>
              <w:left w:val="nil"/>
              <w:bottom w:val="single" w:sz="4" w:space="0" w:color="000000"/>
              <w:right w:val="nil"/>
            </w:tcBorders>
            <w:shd w:val="clear" w:color="auto" w:fill="auto"/>
            <w:vAlign w:val="center"/>
            <w:hideMark/>
          </w:tcPr>
          <w:p w14:paraId="043A093F" w14:textId="77777777" w:rsidR="00490282" w:rsidRPr="00490282" w:rsidRDefault="00490282" w:rsidP="00490282">
            <w:pPr>
              <w:widowControl/>
              <w:jc w:val="center"/>
              <w:rPr>
                <w:rFonts w:eastAsia="等线" w:cs="Times New Roman"/>
                <w:color w:val="000000"/>
                <w:kern w:val="0"/>
                <w:szCs w:val="21"/>
              </w:rPr>
            </w:pPr>
            <w:r w:rsidRPr="00490282">
              <w:rPr>
                <w:rFonts w:eastAsia="等线" w:cs="Times New Roman"/>
                <w:color w:val="000000"/>
                <w:kern w:val="0"/>
                <w:szCs w:val="21"/>
              </w:rPr>
              <w:t>Uncertainty range</w:t>
            </w:r>
          </w:p>
        </w:tc>
      </w:tr>
      <w:tr w:rsidR="00490282" w:rsidRPr="00490282" w14:paraId="3B5874CB" w14:textId="77777777" w:rsidTr="00490282">
        <w:trPr>
          <w:trHeight w:val="330"/>
          <w:jc w:val="center"/>
        </w:trPr>
        <w:tc>
          <w:tcPr>
            <w:tcW w:w="1560" w:type="dxa"/>
            <w:vMerge/>
            <w:tcBorders>
              <w:top w:val="single" w:sz="4" w:space="0" w:color="auto"/>
              <w:left w:val="nil"/>
              <w:bottom w:val="single" w:sz="4" w:space="0" w:color="000000"/>
              <w:right w:val="nil"/>
            </w:tcBorders>
            <w:vAlign w:val="center"/>
            <w:hideMark/>
          </w:tcPr>
          <w:p w14:paraId="1CDC24A6" w14:textId="77777777" w:rsidR="00490282" w:rsidRPr="00490282" w:rsidRDefault="00490282" w:rsidP="00490282">
            <w:pPr>
              <w:widowControl/>
              <w:jc w:val="left"/>
              <w:rPr>
                <w:rFonts w:eastAsia="等线" w:cs="Times New Roman"/>
                <w:color w:val="000000"/>
                <w:kern w:val="0"/>
                <w:sz w:val="22"/>
              </w:rPr>
            </w:pPr>
          </w:p>
        </w:tc>
        <w:tc>
          <w:tcPr>
            <w:tcW w:w="1134" w:type="dxa"/>
            <w:tcBorders>
              <w:top w:val="nil"/>
              <w:left w:val="nil"/>
              <w:bottom w:val="single" w:sz="4" w:space="0" w:color="auto"/>
              <w:right w:val="nil"/>
            </w:tcBorders>
            <w:shd w:val="clear" w:color="auto" w:fill="auto"/>
            <w:vAlign w:val="center"/>
            <w:hideMark/>
          </w:tcPr>
          <w:p w14:paraId="4476BA5D" w14:textId="77777777" w:rsidR="00490282" w:rsidRPr="00490282" w:rsidRDefault="00490282" w:rsidP="00490282">
            <w:pPr>
              <w:widowControl/>
              <w:jc w:val="center"/>
              <w:rPr>
                <w:rFonts w:eastAsia="等线" w:cs="Times New Roman"/>
                <w:color w:val="000000"/>
                <w:kern w:val="0"/>
                <w:szCs w:val="21"/>
              </w:rPr>
            </w:pPr>
            <w:r w:rsidRPr="00490282">
              <w:rPr>
                <w:rFonts w:eastAsia="等线" w:cs="Times New Roman"/>
                <w:color w:val="000000"/>
                <w:kern w:val="0"/>
                <w:szCs w:val="21"/>
              </w:rPr>
              <w:t>(Gg yr</w:t>
            </w:r>
            <w:r w:rsidRPr="00490282">
              <w:rPr>
                <w:rFonts w:eastAsia="等线" w:cs="Times New Roman"/>
                <w:color w:val="000000"/>
                <w:kern w:val="0"/>
                <w:szCs w:val="21"/>
                <w:vertAlign w:val="superscript"/>
              </w:rPr>
              <w:t>-1</w:t>
            </w:r>
            <w:r w:rsidRPr="00490282">
              <w:rPr>
                <w:rFonts w:eastAsia="等线" w:cs="Times New Roman"/>
                <w:color w:val="000000"/>
                <w:kern w:val="0"/>
                <w:szCs w:val="21"/>
              </w:rPr>
              <w:t>)</w:t>
            </w:r>
          </w:p>
        </w:tc>
        <w:tc>
          <w:tcPr>
            <w:tcW w:w="1553" w:type="dxa"/>
            <w:tcBorders>
              <w:top w:val="nil"/>
              <w:left w:val="nil"/>
              <w:bottom w:val="single" w:sz="4" w:space="0" w:color="auto"/>
              <w:right w:val="nil"/>
            </w:tcBorders>
            <w:shd w:val="clear" w:color="auto" w:fill="auto"/>
            <w:vAlign w:val="center"/>
            <w:hideMark/>
          </w:tcPr>
          <w:p w14:paraId="19D85542" w14:textId="77777777" w:rsidR="00490282" w:rsidRPr="00490282" w:rsidRDefault="00490282" w:rsidP="00490282">
            <w:pPr>
              <w:widowControl/>
              <w:jc w:val="center"/>
              <w:rPr>
                <w:rFonts w:eastAsia="等线" w:cs="Times New Roman"/>
                <w:color w:val="000000"/>
                <w:kern w:val="0"/>
                <w:szCs w:val="21"/>
              </w:rPr>
            </w:pPr>
            <w:r w:rsidRPr="00490282">
              <w:rPr>
                <w:rFonts w:eastAsia="等线" w:cs="Times New Roman"/>
                <w:color w:val="000000"/>
                <w:kern w:val="0"/>
                <w:szCs w:val="21"/>
              </w:rPr>
              <w:t>(Gg yr</w:t>
            </w:r>
            <w:r w:rsidRPr="00490282">
              <w:rPr>
                <w:rFonts w:eastAsia="等线" w:cs="Times New Roman"/>
                <w:color w:val="000000"/>
                <w:kern w:val="0"/>
                <w:szCs w:val="21"/>
                <w:vertAlign w:val="superscript"/>
              </w:rPr>
              <w:t>-1</w:t>
            </w:r>
            <w:r w:rsidRPr="00490282">
              <w:rPr>
                <w:rFonts w:eastAsia="等线" w:cs="Times New Roman"/>
                <w:color w:val="000000"/>
                <w:kern w:val="0"/>
                <w:szCs w:val="21"/>
              </w:rPr>
              <w:t>)</w:t>
            </w:r>
          </w:p>
        </w:tc>
        <w:tc>
          <w:tcPr>
            <w:tcW w:w="1774" w:type="dxa"/>
            <w:vMerge/>
            <w:tcBorders>
              <w:top w:val="single" w:sz="4" w:space="0" w:color="auto"/>
              <w:left w:val="nil"/>
              <w:bottom w:val="single" w:sz="4" w:space="0" w:color="000000"/>
              <w:right w:val="nil"/>
            </w:tcBorders>
            <w:vAlign w:val="center"/>
            <w:hideMark/>
          </w:tcPr>
          <w:p w14:paraId="1B4B85CB" w14:textId="77777777" w:rsidR="00490282" w:rsidRPr="00490282" w:rsidRDefault="00490282" w:rsidP="00490282">
            <w:pPr>
              <w:widowControl/>
              <w:jc w:val="left"/>
              <w:rPr>
                <w:rFonts w:eastAsia="等线" w:cs="Times New Roman"/>
                <w:color w:val="000000"/>
                <w:kern w:val="0"/>
                <w:szCs w:val="21"/>
              </w:rPr>
            </w:pPr>
          </w:p>
        </w:tc>
      </w:tr>
      <w:tr w:rsidR="00490282" w:rsidRPr="00490282" w14:paraId="40C1A711" w14:textId="77777777" w:rsidTr="00490282">
        <w:trPr>
          <w:trHeight w:val="300"/>
          <w:jc w:val="center"/>
        </w:trPr>
        <w:tc>
          <w:tcPr>
            <w:tcW w:w="1560" w:type="dxa"/>
            <w:tcBorders>
              <w:top w:val="nil"/>
              <w:left w:val="nil"/>
              <w:bottom w:val="nil"/>
              <w:right w:val="nil"/>
            </w:tcBorders>
            <w:shd w:val="clear" w:color="auto" w:fill="auto"/>
            <w:noWrap/>
            <w:vAlign w:val="center"/>
            <w:hideMark/>
          </w:tcPr>
          <w:p w14:paraId="4B85647D" w14:textId="77777777" w:rsidR="00490282" w:rsidRPr="00490282" w:rsidRDefault="00490282" w:rsidP="00490282">
            <w:pPr>
              <w:widowControl/>
              <w:jc w:val="left"/>
              <w:rPr>
                <w:rFonts w:eastAsia="等线" w:cs="Times New Roman"/>
                <w:color w:val="000000"/>
                <w:kern w:val="0"/>
                <w:sz w:val="22"/>
              </w:rPr>
            </w:pPr>
            <w:r w:rsidRPr="00490282">
              <w:rPr>
                <w:rFonts w:eastAsia="等线" w:cs="Times New Roman"/>
                <w:color w:val="000000"/>
                <w:kern w:val="0"/>
                <w:sz w:val="22"/>
              </w:rPr>
              <w:t>Livestock</w:t>
            </w:r>
          </w:p>
        </w:tc>
        <w:tc>
          <w:tcPr>
            <w:tcW w:w="1134" w:type="dxa"/>
            <w:tcBorders>
              <w:top w:val="nil"/>
              <w:left w:val="nil"/>
              <w:bottom w:val="nil"/>
              <w:right w:val="nil"/>
            </w:tcBorders>
            <w:shd w:val="clear" w:color="auto" w:fill="auto"/>
            <w:noWrap/>
            <w:vAlign w:val="center"/>
            <w:hideMark/>
          </w:tcPr>
          <w:p w14:paraId="576CF9F5" w14:textId="77777777"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5009.1</w:t>
            </w:r>
          </w:p>
        </w:tc>
        <w:tc>
          <w:tcPr>
            <w:tcW w:w="1553" w:type="dxa"/>
            <w:tcBorders>
              <w:top w:val="nil"/>
              <w:left w:val="nil"/>
              <w:bottom w:val="nil"/>
              <w:right w:val="nil"/>
            </w:tcBorders>
            <w:shd w:val="clear" w:color="auto" w:fill="auto"/>
            <w:noWrap/>
            <w:vAlign w:val="center"/>
            <w:hideMark/>
          </w:tcPr>
          <w:p w14:paraId="0ABE1116" w14:textId="77777777"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4962.3</w:t>
            </w:r>
          </w:p>
        </w:tc>
        <w:tc>
          <w:tcPr>
            <w:tcW w:w="1774" w:type="dxa"/>
            <w:tcBorders>
              <w:top w:val="nil"/>
              <w:left w:val="nil"/>
              <w:bottom w:val="nil"/>
              <w:right w:val="nil"/>
            </w:tcBorders>
            <w:shd w:val="clear" w:color="auto" w:fill="auto"/>
            <w:noWrap/>
            <w:vAlign w:val="center"/>
            <w:hideMark/>
          </w:tcPr>
          <w:p w14:paraId="38A22DBE" w14:textId="59CCA0D8"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(-29%,33%)</w:t>
            </w:r>
          </w:p>
        </w:tc>
      </w:tr>
      <w:tr w:rsidR="00490282" w:rsidRPr="00490282" w14:paraId="5E83A297" w14:textId="77777777" w:rsidTr="00490282">
        <w:trPr>
          <w:trHeight w:val="300"/>
          <w:jc w:val="center"/>
        </w:trPr>
        <w:tc>
          <w:tcPr>
            <w:tcW w:w="1560" w:type="dxa"/>
            <w:tcBorders>
              <w:top w:val="nil"/>
              <w:left w:val="nil"/>
              <w:bottom w:val="nil"/>
              <w:right w:val="nil"/>
            </w:tcBorders>
            <w:shd w:val="clear" w:color="auto" w:fill="auto"/>
            <w:noWrap/>
            <w:vAlign w:val="bottom"/>
            <w:hideMark/>
          </w:tcPr>
          <w:p w14:paraId="6033173B" w14:textId="77777777" w:rsidR="00490282" w:rsidRPr="00490282" w:rsidRDefault="00490282" w:rsidP="00490282">
            <w:pPr>
              <w:widowControl/>
              <w:jc w:val="left"/>
              <w:rPr>
                <w:rFonts w:eastAsia="等线" w:cs="Times New Roman"/>
                <w:color w:val="000000"/>
                <w:kern w:val="0"/>
                <w:sz w:val="22"/>
              </w:rPr>
            </w:pPr>
            <w:r w:rsidRPr="00490282">
              <w:rPr>
                <w:rFonts w:eastAsia="等线" w:cs="Times New Roman"/>
                <w:color w:val="000000"/>
                <w:kern w:val="0"/>
                <w:sz w:val="22"/>
              </w:rPr>
              <w:t>Fertilizer</w:t>
            </w:r>
          </w:p>
        </w:tc>
        <w:tc>
          <w:tcPr>
            <w:tcW w:w="1134" w:type="dxa"/>
            <w:tcBorders>
              <w:top w:val="nil"/>
              <w:left w:val="nil"/>
              <w:bottom w:val="nil"/>
              <w:right w:val="nil"/>
            </w:tcBorders>
            <w:shd w:val="clear" w:color="auto" w:fill="auto"/>
            <w:noWrap/>
            <w:vAlign w:val="center"/>
            <w:hideMark/>
          </w:tcPr>
          <w:p w14:paraId="230F2D65" w14:textId="77777777"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3572.2</w:t>
            </w:r>
          </w:p>
        </w:tc>
        <w:tc>
          <w:tcPr>
            <w:tcW w:w="1553" w:type="dxa"/>
            <w:tcBorders>
              <w:top w:val="nil"/>
              <w:left w:val="nil"/>
              <w:bottom w:val="nil"/>
              <w:right w:val="nil"/>
            </w:tcBorders>
            <w:shd w:val="clear" w:color="auto" w:fill="auto"/>
            <w:noWrap/>
            <w:vAlign w:val="center"/>
            <w:hideMark/>
          </w:tcPr>
          <w:p w14:paraId="184D31F1" w14:textId="77777777"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3599.6</w:t>
            </w:r>
          </w:p>
        </w:tc>
        <w:tc>
          <w:tcPr>
            <w:tcW w:w="1774" w:type="dxa"/>
            <w:tcBorders>
              <w:top w:val="nil"/>
              <w:left w:val="nil"/>
              <w:bottom w:val="nil"/>
              <w:right w:val="nil"/>
            </w:tcBorders>
            <w:shd w:val="clear" w:color="auto" w:fill="auto"/>
            <w:noWrap/>
            <w:vAlign w:val="center"/>
            <w:hideMark/>
          </w:tcPr>
          <w:p w14:paraId="6481B182" w14:textId="1A43631A"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(-26%, 29%)</w:t>
            </w:r>
          </w:p>
        </w:tc>
      </w:tr>
      <w:tr w:rsidR="00490282" w:rsidRPr="00490282" w14:paraId="7B9A2F08" w14:textId="77777777" w:rsidTr="00490282">
        <w:trPr>
          <w:trHeight w:val="300"/>
          <w:jc w:val="center"/>
        </w:trPr>
        <w:tc>
          <w:tcPr>
            <w:tcW w:w="1560" w:type="dxa"/>
            <w:tcBorders>
              <w:top w:val="nil"/>
              <w:left w:val="nil"/>
              <w:bottom w:val="nil"/>
              <w:right w:val="nil"/>
            </w:tcBorders>
            <w:shd w:val="clear" w:color="auto" w:fill="auto"/>
            <w:noWrap/>
            <w:vAlign w:val="center"/>
            <w:hideMark/>
          </w:tcPr>
          <w:p w14:paraId="7B0156F0" w14:textId="77777777" w:rsidR="00490282" w:rsidRPr="00490282" w:rsidRDefault="00490282" w:rsidP="00490282">
            <w:pPr>
              <w:widowControl/>
              <w:jc w:val="left"/>
              <w:rPr>
                <w:rFonts w:eastAsia="等线" w:cs="Times New Roman"/>
                <w:color w:val="000000"/>
                <w:kern w:val="0"/>
                <w:sz w:val="22"/>
              </w:rPr>
            </w:pPr>
            <w:r w:rsidRPr="00490282">
              <w:rPr>
                <w:rFonts w:eastAsia="等线" w:cs="Times New Roman"/>
                <w:color w:val="000000"/>
                <w:kern w:val="0"/>
                <w:sz w:val="22"/>
              </w:rPr>
              <w:t>Human</w:t>
            </w:r>
          </w:p>
        </w:tc>
        <w:tc>
          <w:tcPr>
            <w:tcW w:w="1134" w:type="dxa"/>
            <w:tcBorders>
              <w:top w:val="nil"/>
              <w:left w:val="nil"/>
              <w:bottom w:val="nil"/>
              <w:right w:val="nil"/>
            </w:tcBorders>
            <w:shd w:val="clear" w:color="auto" w:fill="auto"/>
            <w:noWrap/>
            <w:vAlign w:val="center"/>
            <w:hideMark/>
          </w:tcPr>
          <w:p w14:paraId="7D713E74" w14:textId="77777777"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170.1</w:t>
            </w:r>
          </w:p>
        </w:tc>
        <w:tc>
          <w:tcPr>
            <w:tcW w:w="1553" w:type="dxa"/>
            <w:tcBorders>
              <w:top w:val="nil"/>
              <w:left w:val="nil"/>
              <w:bottom w:val="nil"/>
              <w:right w:val="nil"/>
            </w:tcBorders>
            <w:shd w:val="clear" w:color="auto" w:fill="auto"/>
            <w:noWrap/>
            <w:vAlign w:val="center"/>
            <w:hideMark/>
          </w:tcPr>
          <w:p w14:paraId="7C75DF59" w14:textId="77777777"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176.3</w:t>
            </w:r>
          </w:p>
        </w:tc>
        <w:tc>
          <w:tcPr>
            <w:tcW w:w="1774" w:type="dxa"/>
            <w:tcBorders>
              <w:top w:val="nil"/>
              <w:left w:val="nil"/>
              <w:bottom w:val="nil"/>
              <w:right w:val="nil"/>
            </w:tcBorders>
            <w:shd w:val="clear" w:color="auto" w:fill="auto"/>
            <w:noWrap/>
            <w:vAlign w:val="center"/>
            <w:hideMark/>
          </w:tcPr>
          <w:p w14:paraId="5106593C" w14:textId="263D8DC0"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(-19%, 23%)</w:t>
            </w:r>
          </w:p>
        </w:tc>
      </w:tr>
      <w:tr w:rsidR="00490282" w:rsidRPr="00490282" w14:paraId="510FB90F" w14:textId="77777777" w:rsidTr="00490282">
        <w:trPr>
          <w:trHeight w:val="300"/>
          <w:jc w:val="center"/>
        </w:trPr>
        <w:tc>
          <w:tcPr>
            <w:tcW w:w="1560" w:type="dxa"/>
            <w:tcBorders>
              <w:top w:val="nil"/>
              <w:left w:val="nil"/>
              <w:bottom w:val="nil"/>
              <w:right w:val="nil"/>
            </w:tcBorders>
            <w:shd w:val="clear" w:color="auto" w:fill="auto"/>
            <w:noWrap/>
            <w:vAlign w:val="center"/>
            <w:hideMark/>
          </w:tcPr>
          <w:p w14:paraId="650B36BF" w14:textId="77777777" w:rsidR="00490282" w:rsidRPr="00490282" w:rsidRDefault="00490282" w:rsidP="00490282">
            <w:pPr>
              <w:widowControl/>
              <w:jc w:val="left"/>
              <w:rPr>
                <w:rFonts w:eastAsia="等线" w:cs="Times New Roman"/>
                <w:color w:val="000000"/>
                <w:kern w:val="0"/>
                <w:sz w:val="22"/>
              </w:rPr>
            </w:pPr>
            <w:r w:rsidRPr="00490282">
              <w:rPr>
                <w:rFonts w:eastAsia="等线" w:cs="Times New Roman"/>
                <w:color w:val="000000"/>
                <w:kern w:val="0"/>
                <w:sz w:val="22"/>
              </w:rPr>
              <w:t>Biomass</w:t>
            </w:r>
          </w:p>
        </w:tc>
        <w:tc>
          <w:tcPr>
            <w:tcW w:w="1134" w:type="dxa"/>
            <w:tcBorders>
              <w:top w:val="nil"/>
              <w:left w:val="nil"/>
              <w:bottom w:val="nil"/>
              <w:right w:val="nil"/>
            </w:tcBorders>
            <w:shd w:val="clear" w:color="auto" w:fill="auto"/>
            <w:noWrap/>
            <w:vAlign w:val="center"/>
            <w:hideMark/>
          </w:tcPr>
          <w:p w14:paraId="7A402C81" w14:textId="77777777"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290.2</w:t>
            </w:r>
          </w:p>
        </w:tc>
        <w:tc>
          <w:tcPr>
            <w:tcW w:w="1553" w:type="dxa"/>
            <w:tcBorders>
              <w:top w:val="nil"/>
              <w:left w:val="nil"/>
              <w:bottom w:val="nil"/>
              <w:right w:val="nil"/>
            </w:tcBorders>
            <w:shd w:val="clear" w:color="auto" w:fill="auto"/>
            <w:noWrap/>
            <w:vAlign w:val="center"/>
            <w:hideMark/>
          </w:tcPr>
          <w:p w14:paraId="0AF83904" w14:textId="77777777"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270.6</w:t>
            </w:r>
          </w:p>
        </w:tc>
        <w:tc>
          <w:tcPr>
            <w:tcW w:w="1774" w:type="dxa"/>
            <w:tcBorders>
              <w:top w:val="nil"/>
              <w:left w:val="nil"/>
              <w:bottom w:val="nil"/>
              <w:right w:val="nil"/>
            </w:tcBorders>
            <w:shd w:val="clear" w:color="auto" w:fill="auto"/>
            <w:noWrap/>
            <w:vAlign w:val="center"/>
            <w:hideMark/>
          </w:tcPr>
          <w:p w14:paraId="6FB01482" w14:textId="2273C629"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(-28%, 33%)</w:t>
            </w:r>
          </w:p>
        </w:tc>
      </w:tr>
      <w:tr w:rsidR="00490282" w:rsidRPr="00490282" w14:paraId="07994D7B" w14:textId="77777777" w:rsidTr="00490282">
        <w:trPr>
          <w:trHeight w:val="300"/>
          <w:jc w:val="center"/>
        </w:trPr>
        <w:tc>
          <w:tcPr>
            <w:tcW w:w="1560" w:type="dxa"/>
            <w:tcBorders>
              <w:top w:val="nil"/>
              <w:left w:val="nil"/>
              <w:bottom w:val="nil"/>
              <w:right w:val="nil"/>
            </w:tcBorders>
            <w:shd w:val="clear" w:color="auto" w:fill="auto"/>
            <w:noWrap/>
            <w:vAlign w:val="center"/>
            <w:hideMark/>
          </w:tcPr>
          <w:p w14:paraId="633B5BC6" w14:textId="77777777" w:rsidR="00490282" w:rsidRPr="00490282" w:rsidRDefault="00490282" w:rsidP="00490282">
            <w:pPr>
              <w:widowControl/>
              <w:jc w:val="left"/>
              <w:rPr>
                <w:rFonts w:eastAsia="等线" w:cs="Times New Roman"/>
                <w:color w:val="000000"/>
                <w:kern w:val="0"/>
                <w:sz w:val="22"/>
              </w:rPr>
            </w:pPr>
            <w:r w:rsidRPr="00490282">
              <w:rPr>
                <w:rFonts w:eastAsia="等线" w:cs="Times New Roman"/>
                <w:color w:val="000000"/>
                <w:kern w:val="0"/>
                <w:sz w:val="22"/>
              </w:rPr>
              <w:t>Vehicle</w:t>
            </w:r>
          </w:p>
        </w:tc>
        <w:tc>
          <w:tcPr>
            <w:tcW w:w="1134" w:type="dxa"/>
            <w:tcBorders>
              <w:top w:val="nil"/>
              <w:left w:val="nil"/>
              <w:bottom w:val="nil"/>
              <w:right w:val="nil"/>
            </w:tcBorders>
            <w:shd w:val="clear" w:color="auto" w:fill="auto"/>
            <w:noWrap/>
            <w:vAlign w:val="center"/>
            <w:hideMark/>
          </w:tcPr>
          <w:p w14:paraId="773CA746" w14:textId="77777777"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421.7</w:t>
            </w:r>
          </w:p>
        </w:tc>
        <w:tc>
          <w:tcPr>
            <w:tcW w:w="1553" w:type="dxa"/>
            <w:tcBorders>
              <w:top w:val="nil"/>
              <w:left w:val="nil"/>
              <w:bottom w:val="nil"/>
              <w:right w:val="nil"/>
            </w:tcBorders>
            <w:shd w:val="clear" w:color="auto" w:fill="auto"/>
            <w:noWrap/>
            <w:vAlign w:val="center"/>
            <w:hideMark/>
          </w:tcPr>
          <w:p w14:paraId="6CEA1B4B" w14:textId="77777777"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418.6</w:t>
            </w:r>
          </w:p>
        </w:tc>
        <w:tc>
          <w:tcPr>
            <w:tcW w:w="1774" w:type="dxa"/>
            <w:tcBorders>
              <w:top w:val="nil"/>
              <w:left w:val="nil"/>
              <w:bottom w:val="nil"/>
              <w:right w:val="nil"/>
            </w:tcBorders>
            <w:shd w:val="clear" w:color="auto" w:fill="auto"/>
            <w:noWrap/>
            <w:vAlign w:val="center"/>
            <w:hideMark/>
          </w:tcPr>
          <w:p w14:paraId="6C25F79E" w14:textId="4E85CA57"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(-21%,23%)</w:t>
            </w:r>
          </w:p>
        </w:tc>
      </w:tr>
      <w:tr w:rsidR="00490282" w:rsidRPr="00490282" w14:paraId="67E51ECF" w14:textId="77777777" w:rsidTr="00490282">
        <w:trPr>
          <w:trHeight w:val="300"/>
          <w:jc w:val="center"/>
        </w:trPr>
        <w:tc>
          <w:tcPr>
            <w:tcW w:w="1560" w:type="dxa"/>
            <w:tcBorders>
              <w:top w:val="nil"/>
              <w:left w:val="nil"/>
              <w:bottom w:val="nil"/>
              <w:right w:val="nil"/>
            </w:tcBorders>
            <w:shd w:val="clear" w:color="auto" w:fill="auto"/>
            <w:noWrap/>
            <w:vAlign w:val="center"/>
            <w:hideMark/>
          </w:tcPr>
          <w:p w14:paraId="1F3E1C83" w14:textId="77777777" w:rsidR="00490282" w:rsidRPr="00490282" w:rsidRDefault="00490282" w:rsidP="00490282">
            <w:pPr>
              <w:widowControl/>
              <w:jc w:val="left"/>
              <w:rPr>
                <w:rFonts w:eastAsia="等线" w:cs="Times New Roman"/>
                <w:color w:val="000000"/>
                <w:kern w:val="0"/>
                <w:sz w:val="22"/>
              </w:rPr>
            </w:pPr>
            <w:r w:rsidRPr="00490282">
              <w:rPr>
                <w:rFonts w:eastAsia="等线" w:cs="Times New Roman"/>
                <w:color w:val="000000"/>
                <w:kern w:val="0"/>
                <w:sz w:val="22"/>
              </w:rPr>
              <w:t>Chemical</w:t>
            </w:r>
          </w:p>
        </w:tc>
        <w:tc>
          <w:tcPr>
            <w:tcW w:w="1134" w:type="dxa"/>
            <w:tcBorders>
              <w:top w:val="nil"/>
              <w:left w:val="nil"/>
              <w:bottom w:val="nil"/>
              <w:right w:val="nil"/>
            </w:tcBorders>
            <w:shd w:val="clear" w:color="auto" w:fill="auto"/>
            <w:noWrap/>
            <w:vAlign w:val="center"/>
            <w:hideMark/>
          </w:tcPr>
          <w:p w14:paraId="2CD8833D" w14:textId="77777777"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189.0</w:t>
            </w:r>
          </w:p>
        </w:tc>
        <w:tc>
          <w:tcPr>
            <w:tcW w:w="1553" w:type="dxa"/>
            <w:tcBorders>
              <w:top w:val="nil"/>
              <w:left w:val="nil"/>
              <w:bottom w:val="nil"/>
              <w:right w:val="nil"/>
            </w:tcBorders>
            <w:shd w:val="clear" w:color="auto" w:fill="auto"/>
            <w:noWrap/>
            <w:vAlign w:val="center"/>
            <w:hideMark/>
          </w:tcPr>
          <w:p w14:paraId="092F971A" w14:textId="77777777"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188.6</w:t>
            </w:r>
          </w:p>
        </w:tc>
        <w:tc>
          <w:tcPr>
            <w:tcW w:w="1774" w:type="dxa"/>
            <w:tcBorders>
              <w:top w:val="nil"/>
              <w:left w:val="nil"/>
              <w:bottom w:val="nil"/>
              <w:right w:val="nil"/>
            </w:tcBorders>
            <w:shd w:val="clear" w:color="auto" w:fill="auto"/>
            <w:noWrap/>
            <w:vAlign w:val="center"/>
            <w:hideMark/>
          </w:tcPr>
          <w:p w14:paraId="01C46F0E" w14:textId="7DB05553"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(-18%,16%)</w:t>
            </w:r>
          </w:p>
        </w:tc>
      </w:tr>
      <w:tr w:rsidR="00490282" w:rsidRPr="00490282" w14:paraId="740D7E80" w14:textId="77777777" w:rsidTr="00490282">
        <w:trPr>
          <w:trHeight w:val="300"/>
          <w:jc w:val="center"/>
        </w:trPr>
        <w:tc>
          <w:tcPr>
            <w:tcW w:w="1560" w:type="dxa"/>
            <w:tcBorders>
              <w:top w:val="nil"/>
              <w:left w:val="nil"/>
              <w:bottom w:val="nil"/>
              <w:right w:val="nil"/>
            </w:tcBorders>
            <w:shd w:val="clear" w:color="auto" w:fill="auto"/>
            <w:noWrap/>
            <w:vAlign w:val="center"/>
            <w:hideMark/>
          </w:tcPr>
          <w:p w14:paraId="5BDBEA47" w14:textId="77777777" w:rsidR="00490282" w:rsidRPr="00490282" w:rsidRDefault="00490282" w:rsidP="00490282">
            <w:pPr>
              <w:widowControl/>
              <w:jc w:val="left"/>
              <w:rPr>
                <w:rFonts w:eastAsia="等线" w:cs="Times New Roman"/>
                <w:color w:val="000000"/>
                <w:kern w:val="0"/>
                <w:sz w:val="22"/>
              </w:rPr>
            </w:pPr>
            <w:r w:rsidRPr="00490282">
              <w:rPr>
                <w:rFonts w:eastAsia="等线" w:cs="Times New Roman"/>
                <w:color w:val="000000"/>
                <w:kern w:val="0"/>
                <w:sz w:val="22"/>
              </w:rPr>
              <w:t>Fossil</w:t>
            </w:r>
          </w:p>
        </w:tc>
        <w:tc>
          <w:tcPr>
            <w:tcW w:w="1134" w:type="dxa"/>
            <w:tcBorders>
              <w:top w:val="nil"/>
              <w:left w:val="nil"/>
              <w:bottom w:val="nil"/>
              <w:right w:val="nil"/>
            </w:tcBorders>
            <w:shd w:val="clear" w:color="auto" w:fill="auto"/>
            <w:noWrap/>
            <w:vAlign w:val="center"/>
            <w:hideMark/>
          </w:tcPr>
          <w:p w14:paraId="1EB79909" w14:textId="77777777"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881.4</w:t>
            </w:r>
          </w:p>
        </w:tc>
        <w:tc>
          <w:tcPr>
            <w:tcW w:w="1553" w:type="dxa"/>
            <w:tcBorders>
              <w:top w:val="nil"/>
              <w:left w:val="nil"/>
              <w:bottom w:val="nil"/>
              <w:right w:val="nil"/>
            </w:tcBorders>
            <w:shd w:val="clear" w:color="auto" w:fill="auto"/>
            <w:noWrap/>
            <w:vAlign w:val="center"/>
            <w:hideMark/>
          </w:tcPr>
          <w:p w14:paraId="0476AFB0" w14:textId="77777777"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883.8</w:t>
            </w:r>
          </w:p>
        </w:tc>
        <w:tc>
          <w:tcPr>
            <w:tcW w:w="1774" w:type="dxa"/>
            <w:tcBorders>
              <w:top w:val="nil"/>
              <w:left w:val="nil"/>
              <w:bottom w:val="nil"/>
              <w:right w:val="nil"/>
            </w:tcBorders>
            <w:shd w:val="clear" w:color="auto" w:fill="auto"/>
            <w:noWrap/>
            <w:vAlign w:val="center"/>
            <w:hideMark/>
          </w:tcPr>
          <w:p w14:paraId="583E9601" w14:textId="70C65CAB"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(-20%, 23%)</w:t>
            </w:r>
          </w:p>
        </w:tc>
      </w:tr>
      <w:tr w:rsidR="00490282" w:rsidRPr="00490282" w14:paraId="5A11A72D" w14:textId="77777777" w:rsidTr="00490282">
        <w:trPr>
          <w:trHeight w:val="300"/>
          <w:jc w:val="center"/>
        </w:trPr>
        <w:tc>
          <w:tcPr>
            <w:tcW w:w="1560" w:type="dxa"/>
            <w:tcBorders>
              <w:top w:val="nil"/>
              <w:left w:val="nil"/>
              <w:bottom w:val="nil"/>
              <w:right w:val="nil"/>
            </w:tcBorders>
            <w:shd w:val="clear" w:color="auto" w:fill="auto"/>
            <w:noWrap/>
            <w:vAlign w:val="center"/>
            <w:hideMark/>
          </w:tcPr>
          <w:p w14:paraId="44BAE20C" w14:textId="77777777" w:rsidR="00490282" w:rsidRPr="00490282" w:rsidRDefault="00490282" w:rsidP="00490282">
            <w:pPr>
              <w:widowControl/>
              <w:jc w:val="left"/>
              <w:rPr>
                <w:rFonts w:eastAsia="等线" w:cs="Times New Roman"/>
                <w:color w:val="000000"/>
                <w:kern w:val="0"/>
                <w:sz w:val="22"/>
              </w:rPr>
            </w:pPr>
            <w:r w:rsidRPr="00490282">
              <w:rPr>
                <w:rFonts w:eastAsia="等线" w:cs="Times New Roman"/>
                <w:color w:val="000000"/>
                <w:kern w:val="0"/>
                <w:sz w:val="22"/>
              </w:rPr>
              <w:t>Waste</w:t>
            </w:r>
          </w:p>
        </w:tc>
        <w:tc>
          <w:tcPr>
            <w:tcW w:w="1134" w:type="dxa"/>
            <w:tcBorders>
              <w:top w:val="nil"/>
              <w:left w:val="nil"/>
              <w:bottom w:val="nil"/>
              <w:right w:val="nil"/>
            </w:tcBorders>
            <w:shd w:val="clear" w:color="auto" w:fill="auto"/>
            <w:noWrap/>
            <w:vAlign w:val="center"/>
            <w:hideMark/>
          </w:tcPr>
          <w:p w14:paraId="507EAF6A" w14:textId="77777777"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115.2</w:t>
            </w:r>
          </w:p>
        </w:tc>
        <w:tc>
          <w:tcPr>
            <w:tcW w:w="1553" w:type="dxa"/>
            <w:tcBorders>
              <w:top w:val="nil"/>
              <w:left w:val="nil"/>
              <w:bottom w:val="nil"/>
              <w:right w:val="nil"/>
            </w:tcBorders>
            <w:shd w:val="clear" w:color="auto" w:fill="auto"/>
            <w:noWrap/>
            <w:vAlign w:val="center"/>
            <w:hideMark/>
          </w:tcPr>
          <w:p w14:paraId="271C532C" w14:textId="77777777"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113.6</w:t>
            </w:r>
          </w:p>
        </w:tc>
        <w:tc>
          <w:tcPr>
            <w:tcW w:w="1774" w:type="dxa"/>
            <w:tcBorders>
              <w:top w:val="nil"/>
              <w:left w:val="nil"/>
              <w:bottom w:val="nil"/>
              <w:right w:val="nil"/>
            </w:tcBorders>
            <w:shd w:val="clear" w:color="auto" w:fill="auto"/>
            <w:noWrap/>
            <w:vAlign w:val="center"/>
            <w:hideMark/>
          </w:tcPr>
          <w:p w14:paraId="04AF746A" w14:textId="04DDEE5B"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(-32%, 28%)</w:t>
            </w:r>
          </w:p>
        </w:tc>
      </w:tr>
      <w:tr w:rsidR="00490282" w:rsidRPr="00490282" w14:paraId="09EB6D92" w14:textId="77777777" w:rsidTr="00490282">
        <w:trPr>
          <w:trHeight w:val="300"/>
          <w:jc w:val="center"/>
        </w:trPr>
        <w:tc>
          <w:tcPr>
            <w:tcW w:w="1560" w:type="dxa"/>
            <w:tcBorders>
              <w:top w:val="nil"/>
              <w:left w:val="nil"/>
              <w:bottom w:val="nil"/>
              <w:right w:val="nil"/>
            </w:tcBorders>
            <w:shd w:val="clear" w:color="auto" w:fill="auto"/>
            <w:noWrap/>
            <w:vAlign w:val="center"/>
            <w:hideMark/>
          </w:tcPr>
          <w:p w14:paraId="72474AAD" w14:textId="77777777" w:rsidR="00490282" w:rsidRPr="00490282" w:rsidRDefault="00490282" w:rsidP="00490282">
            <w:pPr>
              <w:widowControl/>
              <w:jc w:val="left"/>
              <w:rPr>
                <w:rFonts w:eastAsia="等线" w:cs="Times New Roman"/>
                <w:color w:val="000000"/>
                <w:kern w:val="0"/>
                <w:sz w:val="22"/>
              </w:rPr>
            </w:pPr>
            <w:r w:rsidRPr="00490282">
              <w:rPr>
                <w:rFonts w:eastAsia="等线" w:cs="Times New Roman"/>
                <w:color w:val="000000"/>
                <w:kern w:val="0"/>
                <w:sz w:val="22"/>
              </w:rPr>
              <w:t>Aquaculture</w:t>
            </w:r>
          </w:p>
        </w:tc>
        <w:tc>
          <w:tcPr>
            <w:tcW w:w="1134" w:type="dxa"/>
            <w:tcBorders>
              <w:top w:val="nil"/>
              <w:left w:val="nil"/>
              <w:bottom w:val="nil"/>
              <w:right w:val="nil"/>
            </w:tcBorders>
            <w:shd w:val="clear" w:color="auto" w:fill="auto"/>
            <w:noWrap/>
            <w:vAlign w:val="center"/>
            <w:hideMark/>
          </w:tcPr>
          <w:p w14:paraId="3408CD2E" w14:textId="77777777"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477.6</w:t>
            </w:r>
          </w:p>
        </w:tc>
        <w:tc>
          <w:tcPr>
            <w:tcW w:w="1553" w:type="dxa"/>
            <w:tcBorders>
              <w:top w:val="nil"/>
              <w:left w:val="nil"/>
              <w:bottom w:val="nil"/>
              <w:right w:val="nil"/>
            </w:tcBorders>
            <w:shd w:val="clear" w:color="auto" w:fill="auto"/>
            <w:noWrap/>
            <w:vAlign w:val="center"/>
            <w:hideMark/>
          </w:tcPr>
          <w:p w14:paraId="50B41AC7" w14:textId="77777777"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480.5</w:t>
            </w:r>
          </w:p>
        </w:tc>
        <w:tc>
          <w:tcPr>
            <w:tcW w:w="1774" w:type="dxa"/>
            <w:tcBorders>
              <w:top w:val="nil"/>
              <w:left w:val="nil"/>
              <w:bottom w:val="nil"/>
              <w:right w:val="nil"/>
            </w:tcBorders>
            <w:shd w:val="clear" w:color="auto" w:fill="auto"/>
            <w:noWrap/>
            <w:vAlign w:val="center"/>
            <w:hideMark/>
          </w:tcPr>
          <w:p w14:paraId="28741F8F" w14:textId="510DD1A1"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(-20%, 23%)</w:t>
            </w:r>
          </w:p>
        </w:tc>
      </w:tr>
      <w:tr w:rsidR="00490282" w:rsidRPr="00490282" w14:paraId="59D9DC80" w14:textId="77777777" w:rsidTr="00490282">
        <w:trPr>
          <w:trHeight w:val="300"/>
          <w:jc w:val="center"/>
        </w:trPr>
        <w:tc>
          <w:tcPr>
            <w:tcW w:w="1560" w:type="dxa"/>
            <w:tcBorders>
              <w:top w:val="nil"/>
              <w:left w:val="nil"/>
              <w:bottom w:val="nil"/>
              <w:right w:val="nil"/>
            </w:tcBorders>
            <w:shd w:val="clear" w:color="auto" w:fill="auto"/>
            <w:noWrap/>
            <w:vAlign w:val="center"/>
            <w:hideMark/>
          </w:tcPr>
          <w:p w14:paraId="27D72B7E" w14:textId="77777777" w:rsidR="00490282" w:rsidRPr="00490282" w:rsidRDefault="00490282" w:rsidP="00490282">
            <w:pPr>
              <w:widowControl/>
              <w:jc w:val="left"/>
              <w:rPr>
                <w:rFonts w:eastAsia="等线" w:cs="Times New Roman"/>
                <w:color w:val="000000"/>
                <w:kern w:val="0"/>
                <w:sz w:val="22"/>
              </w:rPr>
            </w:pPr>
            <w:r w:rsidRPr="00490282">
              <w:rPr>
                <w:rFonts w:eastAsia="等线" w:cs="Times New Roman"/>
                <w:color w:val="000000"/>
                <w:kern w:val="0"/>
                <w:sz w:val="22"/>
              </w:rPr>
              <w:t>Grassland</w:t>
            </w:r>
          </w:p>
        </w:tc>
        <w:tc>
          <w:tcPr>
            <w:tcW w:w="1134" w:type="dxa"/>
            <w:tcBorders>
              <w:top w:val="nil"/>
              <w:left w:val="nil"/>
              <w:bottom w:val="nil"/>
              <w:right w:val="nil"/>
            </w:tcBorders>
            <w:shd w:val="clear" w:color="auto" w:fill="auto"/>
            <w:noWrap/>
            <w:vAlign w:val="center"/>
            <w:hideMark/>
          </w:tcPr>
          <w:p w14:paraId="04AC561F" w14:textId="77777777"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809.8</w:t>
            </w:r>
          </w:p>
        </w:tc>
        <w:tc>
          <w:tcPr>
            <w:tcW w:w="1553" w:type="dxa"/>
            <w:tcBorders>
              <w:top w:val="nil"/>
              <w:left w:val="nil"/>
              <w:bottom w:val="nil"/>
              <w:right w:val="nil"/>
            </w:tcBorders>
            <w:shd w:val="clear" w:color="auto" w:fill="auto"/>
            <w:noWrap/>
            <w:vAlign w:val="center"/>
            <w:hideMark/>
          </w:tcPr>
          <w:p w14:paraId="62709277" w14:textId="77777777"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808.3</w:t>
            </w:r>
          </w:p>
        </w:tc>
        <w:tc>
          <w:tcPr>
            <w:tcW w:w="1774" w:type="dxa"/>
            <w:tcBorders>
              <w:top w:val="nil"/>
              <w:left w:val="nil"/>
              <w:bottom w:val="nil"/>
              <w:right w:val="nil"/>
            </w:tcBorders>
            <w:shd w:val="clear" w:color="auto" w:fill="auto"/>
            <w:noWrap/>
            <w:vAlign w:val="center"/>
            <w:hideMark/>
          </w:tcPr>
          <w:p w14:paraId="13AFC9B5" w14:textId="1A2FECA6"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(-19%, 22%)</w:t>
            </w:r>
          </w:p>
        </w:tc>
      </w:tr>
      <w:tr w:rsidR="00490282" w:rsidRPr="00490282" w14:paraId="18B35D4C" w14:textId="77777777" w:rsidTr="00490282">
        <w:trPr>
          <w:trHeight w:val="300"/>
          <w:jc w:val="center"/>
        </w:trPr>
        <w:tc>
          <w:tcPr>
            <w:tcW w:w="1560" w:type="dxa"/>
            <w:tcBorders>
              <w:top w:val="nil"/>
              <w:left w:val="nil"/>
              <w:bottom w:val="single" w:sz="4" w:space="0" w:color="auto"/>
              <w:right w:val="nil"/>
            </w:tcBorders>
            <w:shd w:val="clear" w:color="auto" w:fill="auto"/>
            <w:noWrap/>
            <w:vAlign w:val="center"/>
            <w:hideMark/>
          </w:tcPr>
          <w:p w14:paraId="15ECF9BD" w14:textId="77777777" w:rsidR="00490282" w:rsidRPr="00490282" w:rsidRDefault="00490282" w:rsidP="00490282">
            <w:pPr>
              <w:widowControl/>
              <w:jc w:val="left"/>
              <w:rPr>
                <w:rFonts w:eastAsia="等线" w:cs="Times New Roman"/>
                <w:color w:val="000000"/>
                <w:kern w:val="0"/>
                <w:sz w:val="22"/>
              </w:rPr>
            </w:pPr>
            <w:r w:rsidRPr="00490282">
              <w:rPr>
                <w:rFonts w:eastAsia="等线" w:cs="Times New Roman"/>
                <w:color w:val="000000"/>
                <w:kern w:val="0"/>
                <w:sz w:val="22"/>
              </w:rPr>
              <w:t>Others</w:t>
            </w:r>
          </w:p>
        </w:tc>
        <w:tc>
          <w:tcPr>
            <w:tcW w:w="1134" w:type="dxa"/>
            <w:tcBorders>
              <w:top w:val="nil"/>
              <w:left w:val="nil"/>
              <w:bottom w:val="single" w:sz="4" w:space="0" w:color="auto"/>
              <w:right w:val="nil"/>
            </w:tcBorders>
            <w:shd w:val="clear" w:color="auto" w:fill="auto"/>
            <w:noWrap/>
            <w:vAlign w:val="center"/>
            <w:hideMark/>
          </w:tcPr>
          <w:p w14:paraId="3F3575F7" w14:textId="77777777"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355.5</w:t>
            </w:r>
          </w:p>
        </w:tc>
        <w:tc>
          <w:tcPr>
            <w:tcW w:w="1553" w:type="dxa"/>
            <w:tcBorders>
              <w:top w:val="nil"/>
              <w:left w:val="nil"/>
              <w:bottom w:val="single" w:sz="4" w:space="0" w:color="auto"/>
              <w:right w:val="nil"/>
            </w:tcBorders>
            <w:shd w:val="clear" w:color="auto" w:fill="auto"/>
            <w:noWrap/>
            <w:vAlign w:val="center"/>
            <w:hideMark/>
          </w:tcPr>
          <w:p w14:paraId="00FB6850" w14:textId="77777777"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354.2</w:t>
            </w:r>
          </w:p>
        </w:tc>
        <w:tc>
          <w:tcPr>
            <w:tcW w:w="1774" w:type="dxa"/>
            <w:tcBorders>
              <w:top w:val="nil"/>
              <w:left w:val="nil"/>
              <w:bottom w:val="single" w:sz="4" w:space="0" w:color="auto"/>
              <w:right w:val="nil"/>
            </w:tcBorders>
            <w:shd w:val="clear" w:color="auto" w:fill="auto"/>
            <w:noWrap/>
            <w:vAlign w:val="center"/>
            <w:hideMark/>
          </w:tcPr>
          <w:p w14:paraId="47DD87E6" w14:textId="3B966A02" w:rsidR="00490282" w:rsidRPr="00490282" w:rsidRDefault="00490282" w:rsidP="00490282">
            <w:pPr>
              <w:widowControl/>
              <w:jc w:val="center"/>
              <w:rPr>
                <w:rFonts w:eastAsia="等线" w:cs="Times New Roman"/>
                <w:color w:val="000000"/>
                <w:kern w:val="0"/>
                <w:sz w:val="22"/>
              </w:rPr>
            </w:pPr>
            <w:r w:rsidRPr="00490282">
              <w:rPr>
                <w:rFonts w:eastAsia="等线" w:cs="Times New Roman"/>
                <w:color w:val="000000"/>
                <w:kern w:val="0"/>
                <w:sz w:val="22"/>
              </w:rPr>
              <w:t>(-16%, 17%)</w:t>
            </w:r>
          </w:p>
        </w:tc>
      </w:tr>
    </w:tbl>
    <w:p w14:paraId="50F2DF72" w14:textId="3D6EF03C" w:rsidR="00300871" w:rsidRPr="00300871" w:rsidRDefault="0067747E" w:rsidP="0067747E">
      <w:pPr>
        <w:spacing w:line="360" w:lineRule="auto"/>
        <w:jc w:val="left"/>
        <w:rPr>
          <w:rFonts w:cs="Times New Roman"/>
          <w:b/>
          <w:bCs/>
          <w:sz w:val="24"/>
          <w:szCs w:val="24"/>
        </w:rPr>
      </w:pPr>
      <w:r w:rsidRPr="00BA583D">
        <w:rPr>
          <w:rFonts w:cs="Times New Roman"/>
          <w:sz w:val="24"/>
          <w:szCs w:val="24"/>
        </w:rPr>
        <w:t>Note:</w:t>
      </w:r>
      <w:r w:rsidRPr="0067747E">
        <w:rPr>
          <w:rFonts w:cs="Times New Roman"/>
          <w:sz w:val="24"/>
          <w:szCs w:val="24"/>
        </w:rPr>
        <w:t xml:space="preserve"> The uncertainty ranges are at a 95% confidence interval.</w:t>
      </w:r>
      <w:r>
        <w:rPr>
          <w:rFonts w:cs="Times New Roman"/>
          <w:sz w:val="24"/>
          <w:szCs w:val="24"/>
        </w:rPr>
        <w:t xml:space="preserve"> </w:t>
      </w:r>
      <w:r w:rsidRPr="0067747E">
        <w:rPr>
          <w:rFonts w:cs="Times New Roman"/>
          <w:sz w:val="24"/>
          <w:szCs w:val="24"/>
        </w:rPr>
        <w:t>Others: Soil, BNF and crop residues compost</w:t>
      </w:r>
      <w:r>
        <w:rPr>
          <w:rFonts w:cs="Times New Roman"/>
          <w:sz w:val="24"/>
          <w:szCs w:val="24"/>
        </w:rPr>
        <w:t>.</w:t>
      </w:r>
      <w:r w:rsidR="005D1C7F">
        <w:rPr>
          <w:rFonts w:cs="Times New Roman"/>
          <w:sz w:val="24"/>
          <w:szCs w:val="24"/>
        </w:rPr>
        <w:t xml:space="preserve"> </w:t>
      </w:r>
      <w:r w:rsidR="005D1C7F" w:rsidRPr="005D1C7F">
        <w:rPr>
          <w:rFonts w:cs="Times New Roman"/>
          <w:sz w:val="24"/>
          <w:szCs w:val="24"/>
        </w:rPr>
        <w:t>(1Gg = 10</w:t>
      </w:r>
      <w:r w:rsidR="005D1C7F" w:rsidRPr="005D1C7F">
        <w:rPr>
          <w:rFonts w:cs="Times New Roman"/>
          <w:sz w:val="24"/>
          <w:szCs w:val="24"/>
          <w:vertAlign w:val="superscript"/>
        </w:rPr>
        <w:t>9</w:t>
      </w:r>
      <w:r w:rsidR="005D1C7F" w:rsidRPr="005D1C7F">
        <w:rPr>
          <w:rFonts w:cs="Times New Roman"/>
          <w:sz w:val="24"/>
          <w:szCs w:val="24"/>
        </w:rPr>
        <w:t>g)</w:t>
      </w:r>
    </w:p>
    <w:p w14:paraId="2617AA07" w14:textId="5779B154" w:rsidR="00DB49B7" w:rsidRDefault="00DB49B7" w:rsidP="00DB49B7">
      <w:pPr>
        <w:spacing w:line="360" w:lineRule="auto"/>
        <w:rPr>
          <w:rFonts w:cs="Times New Roman"/>
          <w:b/>
          <w:bCs/>
          <w:sz w:val="24"/>
          <w:szCs w:val="24"/>
        </w:rPr>
      </w:pPr>
      <w:r>
        <w:rPr>
          <w:rFonts w:cs="Times New Roman"/>
          <w:b/>
          <w:bCs/>
          <w:sz w:val="24"/>
          <w:szCs w:val="24"/>
        </w:rPr>
        <w:br w:type="page"/>
      </w:r>
    </w:p>
    <w:p w14:paraId="356E2BCA" w14:textId="7665F0FF" w:rsidR="00E00F33" w:rsidRPr="00BA583D" w:rsidRDefault="00E651DD" w:rsidP="00E651DD">
      <w:pPr>
        <w:spacing w:line="360" w:lineRule="auto"/>
        <w:jc w:val="center"/>
        <w:rPr>
          <w:rFonts w:cs="Times New Roman"/>
          <w:b/>
          <w:bCs/>
          <w:sz w:val="24"/>
          <w:szCs w:val="24"/>
        </w:rPr>
      </w:pPr>
      <w:r w:rsidRPr="00BA583D">
        <w:rPr>
          <w:rFonts w:cs="Times New Roman"/>
          <w:b/>
          <w:bCs/>
          <w:sz w:val="24"/>
          <w:szCs w:val="24"/>
        </w:rPr>
        <w:lastRenderedPageBreak/>
        <w:t>Table S</w:t>
      </w:r>
      <w:r w:rsidR="0067747E">
        <w:rPr>
          <w:rFonts w:cs="Times New Roman"/>
          <w:b/>
          <w:bCs/>
          <w:sz w:val="24"/>
          <w:szCs w:val="24"/>
        </w:rPr>
        <w:t>5</w:t>
      </w:r>
      <w:r w:rsidRPr="00BA583D">
        <w:rPr>
          <w:rFonts w:cs="Times New Roman"/>
          <w:b/>
          <w:bCs/>
          <w:sz w:val="24"/>
          <w:szCs w:val="24"/>
        </w:rPr>
        <w:t xml:space="preserve"> Summary of N-induced </w:t>
      </w:r>
      <w:r w:rsidR="00F05B9D" w:rsidRPr="00BA583D">
        <w:rPr>
          <w:rFonts w:cs="Times New Roman"/>
          <w:b/>
          <w:bCs/>
          <w:sz w:val="24"/>
          <w:szCs w:val="24"/>
        </w:rPr>
        <w:t xml:space="preserve">Carbon sink </w:t>
      </w:r>
      <w:r w:rsidRPr="00BA583D">
        <w:rPr>
          <w:rFonts w:cs="Times New Roman"/>
          <w:b/>
          <w:bCs/>
          <w:sz w:val="24"/>
          <w:szCs w:val="24"/>
        </w:rPr>
        <w:t>C gain per unit N deposited (kg C kg</w:t>
      </w:r>
      <w:r w:rsidRPr="00BA583D">
        <w:rPr>
          <w:rFonts w:cs="Times New Roman"/>
          <w:b/>
          <w:bCs/>
          <w:sz w:val="24"/>
          <w:szCs w:val="24"/>
          <w:vertAlign w:val="superscript"/>
        </w:rPr>
        <w:t>-1</w:t>
      </w:r>
      <w:r w:rsidRPr="00BA583D">
        <w:rPr>
          <w:rFonts w:cs="Times New Roman"/>
          <w:b/>
          <w:bCs/>
          <w:sz w:val="24"/>
          <w:szCs w:val="24"/>
        </w:rPr>
        <w:t xml:space="preserve"> N) in forests</w:t>
      </w:r>
      <w:r w:rsidR="00F05B9D" w:rsidRPr="00BA583D">
        <w:rPr>
          <w:rFonts w:cs="Times New Roman"/>
          <w:b/>
          <w:bCs/>
          <w:sz w:val="24"/>
          <w:szCs w:val="24"/>
        </w:rPr>
        <w:t>, grassland and cropland</w:t>
      </w:r>
      <w:r w:rsidRPr="00BA583D">
        <w:rPr>
          <w:rFonts w:cs="Times New Roman"/>
          <w:b/>
          <w:bCs/>
          <w:sz w:val="24"/>
          <w:szCs w:val="24"/>
        </w:rPr>
        <w:t xml:space="preserve"> by various studies</w:t>
      </w:r>
      <w:r w:rsidR="00F05B9D" w:rsidRPr="00BA583D">
        <w:rPr>
          <w:rFonts w:cs="Times New Roman"/>
          <w:b/>
          <w:bCs/>
          <w:sz w:val="24"/>
          <w:szCs w:val="24"/>
        </w:rPr>
        <w:t>.</w:t>
      </w:r>
    </w:p>
    <w:tbl>
      <w:tblPr>
        <w:tblW w:w="7538" w:type="dxa"/>
        <w:tblLook w:val="04A0" w:firstRow="1" w:lastRow="0" w:firstColumn="1" w:lastColumn="0" w:noHBand="0" w:noVBand="1"/>
      </w:tblPr>
      <w:tblGrid>
        <w:gridCol w:w="3261"/>
        <w:gridCol w:w="2500"/>
        <w:gridCol w:w="1777"/>
      </w:tblGrid>
      <w:tr w:rsidR="00677745" w:rsidRPr="00BA583D" w14:paraId="52E98EAD" w14:textId="77777777" w:rsidTr="00421E0E">
        <w:trPr>
          <w:trHeight w:val="600"/>
        </w:trPr>
        <w:tc>
          <w:tcPr>
            <w:tcW w:w="3261" w:type="dxa"/>
            <w:tcBorders>
              <w:top w:val="single" w:sz="4" w:space="0" w:color="auto"/>
              <w:left w:val="nil"/>
              <w:bottom w:val="single" w:sz="4" w:space="0" w:color="auto"/>
              <w:right w:val="nil"/>
            </w:tcBorders>
            <w:shd w:val="clear" w:color="auto" w:fill="auto"/>
            <w:noWrap/>
            <w:vAlign w:val="center"/>
            <w:hideMark/>
          </w:tcPr>
          <w:p w14:paraId="703869BD" w14:textId="77777777" w:rsidR="00677745" w:rsidRPr="00BA583D" w:rsidRDefault="00677745" w:rsidP="00677745">
            <w:pPr>
              <w:widowControl/>
              <w:jc w:val="left"/>
              <w:rPr>
                <w:rFonts w:eastAsia="等线" w:cs="Times New Roman"/>
                <w:color w:val="000000"/>
                <w:kern w:val="0"/>
                <w:sz w:val="24"/>
                <w:szCs w:val="24"/>
              </w:rPr>
            </w:pPr>
            <w:r w:rsidRPr="00BA583D">
              <w:rPr>
                <w:rFonts w:eastAsia="等线" w:cs="Times New Roman"/>
                <w:color w:val="000000"/>
                <w:kern w:val="0"/>
                <w:sz w:val="24"/>
                <w:szCs w:val="24"/>
              </w:rPr>
              <w:t>Study</w:t>
            </w:r>
          </w:p>
        </w:tc>
        <w:tc>
          <w:tcPr>
            <w:tcW w:w="2500" w:type="dxa"/>
            <w:tcBorders>
              <w:top w:val="single" w:sz="4" w:space="0" w:color="auto"/>
              <w:left w:val="nil"/>
              <w:bottom w:val="single" w:sz="4" w:space="0" w:color="auto"/>
              <w:right w:val="nil"/>
            </w:tcBorders>
            <w:shd w:val="clear" w:color="auto" w:fill="auto"/>
            <w:vAlign w:val="center"/>
            <w:hideMark/>
          </w:tcPr>
          <w:p w14:paraId="3F3D6DE6" w14:textId="77777777" w:rsidR="00677745" w:rsidRPr="00BA583D" w:rsidRDefault="00677745" w:rsidP="00677745">
            <w:pPr>
              <w:widowControl/>
              <w:jc w:val="center"/>
              <w:rPr>
                <w:rFonts w:eastAsia="等线" w:cs="Times New Roman"/>
                <w:color w:val="000000"/>
                <w:kern w:val="0"/>
                <w:sz w:val="24"/>
                <w:szCs w:val="24"/>
              </w:rPr>
            </w:pPr>
            <w:r w:rsidRPr="00BA583D">
              <w:rPr>
                <w:rFonts w:eastAsia="等线" w:cs="Times New Roman"/>
                <w:color w:val="000000"/>
                <w:kern w:val="0"/>
                <w:sz w:val="24"/>
                <w:szCs w:val="24"/>
              </w:rPr>
              <w:t>Ecosystem</w:t>
            </w:r>
          </w:p>
        </w:tc>
        <w:tc>
          <w:tcPr>
            <w:tcW w:w="1777" w:type="dxa"/>
            <w:tcBorders>
              <w:top w:val="single" w:sz="4" w:space="0" w:color="auto"/>
              <w:left w:val="nil"/>
              <w:bottom w:val="single" w:sz="4" w:space="0" w:color="auto"/>
              <w:right w:val="nil"/>
            </w:tcBorders>
            <w:shd w:val="clear" w:color="auto" w:fill="auto"/>
            <w:vAlign w:val="center"/>
            <w:hideMark/>
          </w:tcPr>
          <w:p w14:paraId="32ADDC4F" w14:textId="77777777" w:rsidR="00677745" w:rsidRPr="00BA583D" w:rsidRDefault="00677745" w:rsidP="00677745">
            <w:pPr>
              <w:widowControl/>
              <w:jc w:val="center"/>
              <w:rPr>
                <w:rFonts w:eastAsia="等线" w:cs="Times New Roman"/>
                <w:color w:val="000000"/>
                <w:kern w:val="0"/>
                <w:sz w:val="24"/>
                <w:szCs w:val="24"/>
              </w:rPr>
            </w:pPr>
            <w:r w:rsidRPr="00BA583D">
              <w:rPr>
                <w:rFonts w:eastAsia="等线" w:cs="Times New Roman"/>
                <w:color w:val="000000"/>
                <w:kern w:val="0"/>
                <w:sz w:val="24"/>
                <w:szCs w:val="24"/>
              </w:rPr>
              <w:t>C gain per unit N deposited</w:t>
            </w:r>
          </w:p>
        </w:tc>
      </w:tr>
      <w:tr w:rsidR="00677745" w:rsidRPr="00BA583D" w14:paraId="4B0CFE19" w14:textId="77777777" w:rsidTr="00421E0E">
        <w:trPr>
          <w:trHeight w:val="300"/>
        </w:trPr>
        <w:tc>
          <w:tcPr>
            <w:tcW w:w="3261" w:type="dxa"/>
            <w:tcBorders>
              <w:top w:val="nil"/>
              <w:left w:val="nil"/>
              <w:bottom w:val="nil"/>
              <w:right w:val="nil"/>
            </w:tcBorders>
            <w:shd w:val="clear" w:color="auto" w:fill="auto"/>
            <w:noWrap/>
            <w:vAlign w:val="bottom"/>
            <w:hideMark/>
          </w:tcPr>
          <w:p w14:paraId="651363BA" w14:textId="2F8A74E1" w:rsidR="00677745" w:rsidRPr="00BA583D" w:rsidRDefault="00677745" w:rsidP="00677745">
            <w:pPr>
              <w:widowControl/>
              <w:jc w:val="left"/>
              <w:rPr>
                <w:rFonts w:eastAsia="等线" w:cs="Times New Roman"/>
                <w:color w:val="000000"/>
                <w:kern w:val="0"/>
                <w:sz w:val="24"/>
                <w:szCs w:val="24"/>
              </w:rPr>
            </w:pPr>
            <w:r w:rsidRPr="00BA583D">
              <w:rPr>
                <w:rFonts w:eastAsia="等线" w:cs="Times New Roman"/>
                <w:color w:val="000000"/>
                <w:kern w:val="0"/>
                <w:sz w:val="24"/>
                <w:szCs w:val="24"/>
              </w:rPr>
              <w:t>This study</w:t>
            </w:r>
            <w:r w:rsidR="00A12511" w:rsidRPr="00BA583D">
              <w:rPr>
                <w:rFonts w:eastAsia="等线" w:cs="Times New Roman"/>
                <w:color w:val="000000"/>
                <w:kern w:val="0"/>
                <w:sz w:val="24"/>
                <w:szCs w:val="24"/>
                <w:vertAlign w:val="superscript"/>
              </w:rPr>
              <w:t>a</w:t>
            </w:r>
          </w:p>
        </w:tc>
        <w:tc>
          <w:tcPr>
            <w:tcW w:w="2500" w:type="dxa"/>
            <w:tcBorders>
              <w:top w:val="nil"/>
              <w:left w:val="nil"/>
              <w:bottom w:val="nil"/>
              <w:right w:val="nil"/>
            </w:tcBorders>
            <w:shd w:val="clear" w:color="auto" w:fill="auto"/>
            <w:noWrap/>
            <w:vAlign w:val="bottom"/>
            <w:hideMark/>
          </w:tcPr>
          <w:p w14:paraId="33E5D174" w14:textId="77777777" w:rsidR="00677745" w:rsidRPr="00BA583D" w:rsidRDefault="00677745" w:rsidP="00677745">
            <w:pPr>
              <w:widowControl/>
              <w:jc w:val="center"/>
              <w:rPr>
                <w:rFonts w:eastAsia="等线" w:cs="Times New Roman"/>
                <w:color w:val="000000"/>
                <w:kern w:val="0"/>
                <w:sz w:val="24"/>
                <w:szCs w:val="24"/>
              </w:rPr>
            </w:pPr>
            <w:r w:rsidRPr="00BA583D">
              <w:rPr>
                <w:rFonts w:eastAsia="等线" w:cs="Times New Roman"/>
                <w:color w:val="000000"/>
                <w:kern w:val="0"/>
                <w:sz w:val="24"/>
                <w:szCs w:val="24"/>
              </w:rPr>
              <w:t>Forest</w:t>
            </w:r>
          </w:p>
        </w:tc>
        <w:tc>
          <w:tcPr>
            <w:tcW w:w="1777" w:type="dxa"/>
            <w:tcBorders>
              <w:top w:val="nil"/>
              <w:left w:val="nil"/>
              <w:bottom w:val="nil"/>
              <w:right w:val="nil"/>
            </w:tcBorders>
            <w:shd w:val="clear" w:color="auto" w:fill="auto"/>
            <w:noWrap/>
            <w:vAlign w:val="bottom"/>
            <w:hideMark/>
          </w:tcPr>
          <w:p w14:paraId="12A124C9" w14:textId="77777777" w:rsidR="00677745" w:rsidRPr="00BA583D" w:rsidRDefault="00677745" w:rsidP="00677745">
            <w:pPr>
              <w:widowControl/>
              <w:jc w:val="center"/>
              <w:rPr>
                <w:rFonts w:eastAsia="等线" w:cs="Times New Roman"/>
                <w:color w:val="000000"/>
                <w:kern w:val="0"/>
                <w:sz w:val="24"/>
                <w:szCs w:val="24"/>
              </w:rPr>
            </w:pPr>
            <w:r w:rsidRPr="00BA583D">
              <w:rPr>
                <w:rFonts w:eastAsia="等线" w:cs="Times New Roman"/>
                <w:color w:val="000000"/>
                <w:kern w:val="0"/>
                <w:sz w:val="24"/>
                <w:szCs w:val="24"/>
              </w:rPr>
              <w:t>20.3</w:t>
            </w:r>
          </w:p>
        </w:tc>
      </w:tr>
      <w:tr w:rsidR="00677745" w:rsidRPr="00BA583D" w14:paraId="35E296B1" w14:textId="77777777" w:rsidTr="00421E0E">
        <w:trPr>
          <w:trHeight w:val="300"/>
        </w:trPr>
        <w:tc>
          <w:tcPr>
            <w:tcW w:w="3261" w:type="dxa"/>
            <w:tcBorders>
              <w:top w:val="nil"/>
              <w:left w:val="nil"/>
              <w:bottom w:val="nil"/>
              <w:right w:val="nil"/>
            </w:tcBorders>
            <w:shd w:val="clear" w:color="auto" w:fill="auto"/>
            <w:noWrap/>
            <w:vAlign w:val="bottom"/>
            <w:hideMark/>
          </w:tcPr>
          <w:p w14:paraId="4C7CDF12" w14:textId="77777777" w:rsidR="00677745" w:rsidRPr="00BA583D" w:rsidRDefault="00677745" w:rsidP="00677745">
            <w:pPr>
              <w:widowControl/>
              <w:jc w:val="left"/>
              <w:rPr>
                <w:rFonts w:eastAsia="等线" w:cs="Times New Roman"/>
                <w:color w:val="000000"/>
                <w:kern w:val="0"/>
                <w:sz w:val="24"/>
                <w:szCs w:val="24"/>
              </w:rPr>
            </w:pPr>
            <w:r w:rsidRPr="00BA583D">
              <w:rPr>
                <w:rFonts w:eastAsia="等线" w:cs="Times New Roman"/>
                <w:color w:val="000000"/>
                <w:kern w:val="0"/>
                <w:sz w:val="24"/>
                <w:szCs w:val="24"/>
              </w:rPr>
              <w:t>Geshere et al.</w:t>
            </w:r>
          </w:p>
        </w:tc>
        <w:tc>
          <w:tcPr>
            <w:tcW w:w="2500" w:type="dxa"/>
            <w:tcBorders>
              <w:top w:val="nil"/>
              <w:left w:val="nil"/>
              <w:bottom w:val="nil"/>
              <w:right w:val="nil"/>
            </w:tcBorders>
            <w:shd w:val="clear" w:color="auto" w:fill="auto"/>
            <w:noWrap/>
            <w:vAlign w:val="bottom"/>
            <w:hideMark/>
          </w:tcPr>
          <w:p w14:paraId="6D869525" w14:textId="77777777" w:rsidR="00677745" w:rsidRPr="00BA583D" w:rsidRDefault="00677745" w:rsidP="00677745">
            <w:pPr>
              <w:widowControl/>
              <w:jc w:val="center"/>
              <w:rPr>
                <w:rFonts w:eastAsia="等线" w:cs="Times New Roman"/>
                <w:color w:val="000000"/>
                <w:kern w:val="0"/>
                <w:sz w:val="24"/>
                <w:szCs w:val="24"/>
              </w:rPr>
            </w:pPr>
            <w:r w:rsidRPr="00BA583D">
              <w:rPr>
                <w:rFonts w:eastAsia="等线" w:cs="Times New Roman"/>
                <w:color w:val="000000"/>
                <w:kern w:val="0"/>
                <w:sz w:val="24"/>
                <w:szCs w:val="24"/>
              </w:rPr>
              <w:t>Forest</w:t>
            </w:r>
          </w:p>
        </w:tc>
        <w:tc>
          <w:tcPr>
            <w:tcW w:w="1777" w:type="dxa"/>
            <w:tcBorders>
              <w:top w:val="nil"/>
              <w:left w:val="nil"/>
              <w:bottom w:val="nil"/>
              <w:right w:val="nil"/>
            </w:tcBorders>
            <w:shd w:val="clear" w:color="auto" w:fill="auto"/>
            <w:noWrap/>
            <w:vAlign w:val="bottom"/>
            <w:hideMark/>
          </w:tcPr>
          <w:p w14:paraId="5F14A3F3" w14:textId="77777777" w:rsidR="00677745" w:rsidRPr="00BA583D" w:rsidRDefault="00677745" w:rsidP="00677745">
            <w:pPr>
              <w:widowControl/>
              <w:jc w:val="center"/>
              <w:rPr>
                <w:rFonts w:eastAsia="等线" w:cs="Times New Roman"/>
                <w:color w:val="000000"/>
                <w:kern w:val="0"/>
                <w:sz w:val="24"/>
                <w:szCs w:val="24"/>
              </w:rPr>
            </w:pPr>
            <w:r w:rsidRPr="00BA583D">
              <w:rPr>
                <w:rFonts w:eastAsia="等线" w:cs="Times New Roman"/>
                <w:color w:val="000000"/>
                <w:kern w:val="0"/>
                <w:sz w:val="24"/>
                <w:szCs w:val="24"/>
              </w:rPr>
              <w:t>29</w:t>
            </w:r>
          </w:p>
        </w:tc>
      </w:tr>
      <w:tr w:rsidR="00677745" w:rsidRPr="00BA583D" w14:paraId="07B97BFC" w14:textId="77777777" w:rsidTr="00421E0E">
        <w:trPr>
          <w:trHeight w:val="300"/>
        </w:trPr>
        <w:tc>
          <w:tcPr>
            <w:tcW w:w="3261" w:type="dxa"/>
            <w:tcBorders>
              <w:top w:val="nil"/>
              <w:left w:val="nil"/>
              <w:bottom w:val="nil"/>
              <w:right w:val="nil"/>
            </w:tcBorders>
            <w:shd w:val="clear" w:color="auto" w:fill="auto"/>
            <w:noWrap/>
            <w:vAlign w:val="bottom"/>
            <w:hideMark/>
          </w:tcPr>
          <w:p w14:paraId="50BBCFFA" w14:textId="77777777" w:rsidR="00677745" w:rsidRPr="00BA583D" w:rsidRDefault="00677745" w:rsidP="00677745">
            <w:pPr>
              <w:widowControl/>
              <w:jc w:val="left"/>
              <w:rPr>
                <w:rFonts w:eastAsia="等线" w:cs="Times New Roman"/>
                <w:color w:val="000000"/>
                <w:kern w:val="0"/>
                <w:sz w:val="24"/>
                <w:szCs w:val="24"/>
              </w:rPr>
            </w:pPr>
            <w:r w:rsidRPr="00BA583D">
              <w:rPr>
                <w:rFonts w:eastAsia="等线" w:cs="Times New Roman"/>
                <w:color w:val="000000"/>
                <w:kern w:val="0"/>
                <w:sz w:val="24"/>
                <w:szCs w:val="24"/>
              </w:rPr>
              <w:t>De Vries et al.</w:t>
            </w:r>
          </w:p>
        </w:tc>
        <w:tc>
          <w:tcPr>
            <w:tcW w:w="2500" w:type="dxa"/>
            <w:tcBorders>
              <w:top w:val="nil"/>
              <w:left w:val="nil"/>
              <w:bottom w:val="nil"/>
              <w:right w:val="nil"/>
            </w:tcBorders>
            <w:shd w:val="clear" w:color="auto" w:fill="auto"/>
            <w:noWrap/>
            <w:vAlign w:val="bottom"/>
            <w:hideMark/>
          </w:tcPr>
          <w:p w14:paraId="50269531" w14:textId="77777777" w:rsidR="00677745" w:rsidRPr="00BA583D" w:rsidRDefault="00677745" w:rsidP="00677745">
            <w:pPr>
              <w:widowControl/>
              <w:jc w:val="center"/>
              <w:rPr>
                <w:rFonts w:eastAsia="等线" w:cs="Times New Roman"/>
                <w:color w:val="000000"/>
                <w:kern w:val="0"/>
                <w:sz w:val="24"/>
                <w:szCs w:val="24"/>
              </w:rPr>
            </w:pPr>
            <w:r w:rsidRPr="00BA583D">
              <w:rPr>
                <w:rFonts w:eastAsia="等线" w:cs="Times New Roman"/>
                <w:color w:val="000000"/>
                <w:kern w:val="0"/>
                <w:sz w:val="24"/>
                <w:szCs w:val="24"/>
              </w:rPr>
              <w:t>Forest</w:t>
            </w:r>
          </w:p>
        </w:tc>
        <w:tc>
          <w:tcPr>
            <w:tcW w:w="1777" w:type="dxa"/>
            <w:tcBorders>
              <w:top w:val="nil"/>
              <w:left w:val="nil"/>
              <w:bottom w:val="nil"/>
              <w:right w:val="nil"/>
            </w:tcBorders>
            <w:shd w:val="clear" w:color="auto" w:fill="auto"/>
            <w:noWrap/>
            <w:vAlign w:val="bottom"/>
            <w:hideMark/>
          </w:tcPr>
          <w:p w14:paraId="73365DCD" w14:textId="77777777" w:rsidR="00677745" w:rsidRPr="00BA583D" w:rsidRDefault="00677745" w:rsidP="00677745">
            <w:pPr>
              <w:widowControl/>
              <w:jc w:val="center"/>
              <w:rPr>
                <w:rFonts w:eastAsia="等线" w:cs="Times New Roman"/>
                <w:color w:val="000000"/>
                <w:kern w:val="0"/>
                <w:sz w:val="24"/>
                <w:szCs w:val="24"/>
              </w:rPr>
            </w:pPr>
            <w:r w:rsidRPr="00BA583D">
              <w:rPr>
                <w:rFonts w:eastAsia="等线" w:cs="Times New Roman"/>
                <w:color w:val="000000"/>
                <w:kern w:val="0"/>
                <w:sz w:val="24"/>
                <w:szCs w:val="24"/>
              </w:rPr>
              <w:t>23</w:t>
            </w:r>
          </w:p>
        </w:tc>
      </w:tr>
      <w:tr w:rsidR="00677745" w:rsidRPr="00BA583D" w14:paraId="61A5E7D6" w14:textId="77777777" w:rsidTr="00421E0E">
        <w:trPr>
          <w:trHeight w:val="300"/>
        </w:trPr>
        <w:tc>
          <w:tcPr>
            <w:tcW w:w="3261" w:type="dxa"/>
            <w:tcBorders>
              <w:top w:val="nil"/>
              <w:left w:val="nil"/>
              <w:bottom w:val="nil"/>
              <w:right w:val="nil"/>
            </w:tcBorders>
            <w:shd w:val="clear" w:color="auto" w:fill="auto"/>
            <w:noWrap/>
            <w:vAlign w:val="bottom"/>
            <w:hideMark/>
          </w:tcPr>
          <w:p w14:paraId="71D6256C" w14:textId="77777777" w:rsidR="00677745" w:rsidRPr="00BA583D" w:rsidRDefault="00677745" w:rsidP="00677745">
            <w:pPr>
              <w:widowControl/>
              <w:jc w:val="left"/>
              <w:rPr>
                <w:rFonts w:eastAsia="等线" w:cs="Times New Roman"/>
                <w:color w:val="000000"/>
                <w:kern w:val="0"/>
                <w:sz w:val="24"/>
                <w:szCs w:val="24"/>
              </w:rPr>
            </w:pPr>
            <w:r w:rsidRPr="00BA583D">
              <w:rPr>
                <w:rFonts w:eastAsia="等线" w:cs="Times New Roman"/>
                <w:color w:val="000000"/>
                <w:kern w:val="0"/>
                <w:sz w:val="24"/>
                <w:szCs w:val="24"/>
              </w:rPr>
              <w:t>Du and de Vries</w:t>
            </w:r>
          </w:p>
        </w:tc>
        <w:tc>
          <w:tcPr>
            <w:tcW w:w="2500" w:type="dxa"/>
            <w:tcBorders>
              <w:top w:val="nil"/>
              <w:left w:val="nil"/>
              <w:bottom w:val="nil"/>
              <w:right w:val="nil"/>
            </w:tcBorders>
            <w:shd w:val="clear" w:color="auto" w:fill="auto"/>
            <w:noWrap/>
            <w:vAlign w:val="bottom"/>
            <w:hideMark/>
          </w:tcPr>
          <w:p w14:paraId="3F6686E3" w14:textId="77777777" w:rsidR="00677745" w:rsidRPr="00BA583D" w:rsidRDefault="00677745" w:rsidP="00677745">
            <w:pPr>
              <w:widowControl/>
              <w:jc w:val="center"/>
              <w:rPr>
                <w:rFonts w:eastAsia="等线" w:cs="Times New Roman"/>
                <w:color w:val="000000"/>
                <w:kern w:val="0"/>
                <w:sz w:val="24"/>
                <w:szCs w:val="24"/>
              </w:rPr>
            </w:pPr>
            <w:r w:rsidRPr="00BA583D">
              <w:rPr>
                <w:rFonts w:eastAsia="等线" w:cs="Times New Roman"/>
                <w:color w:val="000000"/>
                <w:kern w:val="0"/>
                <w:sz w:val="24"/>
                <w:szCs w:val="24"/>
              </w:rPr>
              <w:t>Forest</w:t>
            </w:r>
          </w:p>
        </w:tc>
        <w:tc>
          <w:tcPr>
            <w:tcW w:w="1777" w:type="dxa"/>
            <w:tcBorders>
              <w:top w:val="nil"/>
              <w:left w:val="nil"/>
              <w:bottom w:val="nil"/>
              <w:right w:val="nil"/>
            </w:tcBorders>
            <w:shd w:val="clear" w:color="auto" w:fill="auto"/>
            <w:noWrap/>
            <w:vAlign w:val="bottom"/>
            <w:hideMark/>
          </w:tcPr>
          <w:p w14:paraId="5B51869C" w14:textId="77777777" w:rsidR="00677745" w:rsidRPr="00BA583D" w:rsidRDefault="00677745" w:rsidP="00677745">
            <w:pPr>
              <w:widowControl/>
              <w:jc w:val="center"/>
              <w:rPr>
                <w:rFonts w:eastAsia="等线" w:cs="Times New Roman"/>
                <w:color w:val="000000"/>
                <w:kern w:val="0"/>
                <w:sz w:val="24"/>
                <w:szCs w:val="24"/>
              </w:rPr>
            </w:pPr>
            <w:r w:rsidRPr="00BA583D">
              <w:rPr>
                <w:rFonts w:eastAsia="等线" w:cs="Times New Roman"/>
                <w:color w:val="000000"/>
                <w:kern w:val="0"/>
                <w:sz w:val="24"/>
                <w:szCs w:val="24"/>
              </w:rPr>
              <w:t>12</w:t>
            </w:r>
          </w:p>
        </w:tc>
      </w:tr>
      <w:tr w:rsidR="00677745" w:rsidRPr="00BA583D" w14:paraId="778C4453" w14:textId="77777777" w:rsidTr="00421E0E">
        <w:trPr>
          <w:trHeight w:val="300"/>
        </w:trPr>
        <w:tc>
          <w:tcPr>
            <w:tcW w:w="3261" w:type="dxa"/>
            <w:tcBorders>
              <w:top w:val="nil"/>
              <w:left w:val="nil"/>
              <w:bottom w:val="nil"/>
              <w:right w:val="nil"/>
            </w:tcBorders>
            <w:shd w:val="clear" w:color="auto" w:fill="auto"/>
            <w:noWrap/>
            <w:vAlign w:val="bottom"/>
            <w:hideMark/>
          </w:tcPr>
          <w:p w14:paraId="34BBDC6D" w14:textId="77777777" w:rsidR="00677745" w:rsidRPr="00BA583D" w:rsidRDefault="00677745" w:rsidP="00677745">
            <w:pPr>
              <w:widowControl/>
              <w:jc w:val="left"/>
              <w:rPr>
                <w:rFonts w:eastAsia="等线" w:cs="Times New Roman"/>
                <w:color w:val="000000"/>
                <w:kern w:val="0"/>
                <w:sz w:val="24"/>
                <w:szCs w:val="24"/>
              </w:rPr>
            </w:pPr>
            <w:r w:rsidRPr="00BA583D">
              <w:rPr>
                <w:rFonts w:eastAsia="等线" w:cs="Times New Roman"/>
                <w:color w:val="000000"/>
                <w:kern w:val="0"/>
                <w:sz w:val="24"/>
                <w:szCs w:val="24"/>
              </w:rPr>
              <w:t>Wang et al.</w:t>
            </w:r>
          </w:p>
        </w:tc>
        <w:tc>
          <w:tcPr>
            <w:tcW w:w="2500" w:type="dxa"/>
            <w:tcBorders>
              <w:top w:val="nil"/>
              <w:left w:val="nil"/>
              <w:bottom w:val="nil"/>
              <w:right w:val="nil"/>
            </w:tcBorders>
            <w:shd w:val="clear" w:color="auto" w:fill="auto"/>
            <w:noWrap/>
            <w:vAlign w:val="bottom"/>
            <w:hideMark/>
          </w:tcPr>
          <w:p w14:paraId="260419B7" w14:textId="77777777" w:rsidR="00677745" w:rsidRPr="00BA583D" w:rsidRDefault="00677745" w:rsidP="00677745">
            <w:pPr>
              <w:widowControl/>
              <w:jc w:val="center"/>
              <w:rPr>
                <w:rFonts w:eastAsia="等线" w:cs="Times New Roman"/>
                <w:color w:val="000000"/>
                <w:kern w:val="0"/>
                <w:sz w:val="24"/>
                <w:szCs w:val="24"/>
              </w:rPr>
            </w:pPr>
            <w:r w:rsidRPr="00BA583D">
              <w:rPr>
                <w:rFonts w:eastAsia="等线" w:cs="Times New Roman"/>
                <w:color w:val="000000"/>
                <w:kern w:val="0"/>
                <w:sz w:val="24"/>
                <w:szCs w:val="24"/>
              </w:rPr>
              <w:t>Forest</w:t>
            </w:r>
          </w:p>
        </w:tc>
        <w:tc>
          <w:tcPr>
            <w:tcW w:w="1777" w:type="dxa"/>
            <w:tcBorders>
              <w:top w:val="nil"/>
              <w:left w:val="nil"/>
              <w:bottom w:val="nil"/>
              <w:right w:val="nil"/>
            </w:tcBorders>
            <w:shd w:val="clear" w:color="auto" w:fill="auto"/>
            <w:noWrap/>
            <w:vAlign w:val="bottom"/>
            <w:hideMark/>
          </w:tcPr>
          <w:p w14:paraId="065B4C56" w14:textId="77777777" w:rsidR="00677745" w:rsidRPr="00BA583D" w:rsidRDefault="00677745" w:rsidP="00677745">
            <w:pPr>
              <w:widowControl/>
              <w:jc w:val="center"/>
              <w:rPr>
                <w:rFonts w:eastAsia="等线" w:cs="Times New Roman"/>
                <w:color w:val="000000"/>
                <w:kern w:val="0"/>
                <w:sz w:val="24"/>
                <w:szCs w:val="24"/>
              </w:rPr>
            </w:pPr>
            <w:r w:rsidRPr="00BA583D">
              <w:rPr>
                <w:rFonts w:eastAsia="等线" w:cs="Times New Roman"/>
                <w:color w:val="000000"/>
                <w:kern w:val="0"/>
                <w:sz w:val="24"/>
                <w:szCs w:val="24"/>
              </w:rPr>
              <w:t>25</w:t>
            </w:r>
          </w:p>
        </w:tc>
      </w:tr>
      <w:tr w:rsidR="00677745" w:rsidRPr="00BA583D" w14:paraId="191DDC86" w14:textId="77777777" w:rsidTr="00421E0E">
        <w:trPr>
          <w:trHeight w:val="300"/>
        </w:trPr>
        <w:tc>
          <w:tcPr>
            <w:tcW w:w="3261" w:type="dxa"/>
            <w:tcBorders>
              <w:top w:val="nil"/>
              <w:left w:val="nil"/>
              <w:bottom w:val="nil"/>
              <w:right w:val="nil"/>
            </w:tcBorders>
            <w:shd w:val="clear" w:color="auto" w:fill="auto"/>
            <w:noWrap/>
            <w:vAlign w:val="bottom"/>
            <w:hideMark/>
          </w:tcPr>
          <w:p w14:paraId="5B26101F" w14:textId="77777777" w:rsidR="00677745" w:rsidRPr="00BA583D" w:rsidRDefault="00677745" w:rsidP="00677745">
            <w:pPr>
              <w:widowControl/>
              <w:jc w:val="left"/>
              <w:rPr>
                <w:rFonts w:eastAsia="等线" w:cs="Times New Roman"/>
                <w:color w:val="000000"/>
                <w:kern w:val="0"/>
                <w:sz w:val="24"/>
                <w:szCs w:val="24"/>
              </w:rPr>
            </w:pPr>
            <w:r w:rsidRPr="00BA583D">
              <w:rPr>
                <w:rFonts w:eastAsia="等线" w:cs="Times New Roman"/>
                <w:color w:val="000000"/>
                <w:kern w:val="0"/>
                <w:sz w:val="24"/>
                <w:szCs w:val="24"/>
              </w:rPr>
              <w:t>Schulte-Uebbing and De Vries</w:t>
            </w:r>
          </w:p>
        </w:tc>
        <w:tc>
          <w:tcPr>
            <w:tcW w:w="2500" w:type="dxa"/>
            <w:tcBorders>
              <w:top w:val="nil"/>
              <w:left w:val="nil"/>
              <w:bottom w:val="nil"/>
              <w:right w:val="nil"/>
            </w:tcBorders>
            <w:shd w:val="clear" w:color="auto" w:fill="auto"/>
            <w:noWrap/>
            <w:vAlign w:val="bottom"/>
            <w:hideMark/>
          </w:tcPr>
          <w:p w14:paraId="5E456BB9" w14:textId="77777777" w:rsidR="00677745" w:rsidRPr="00BA583D" w:rsidRDefault="00677745" w:rsidP="00677745">
            <w:pPr>
              <w:widowControl/>
              <w:jc w:val="center"/>
              <w:rPr>
                <w:rFonts w:eastAsia="等线" w:cs="Times New Roman"/>
                <w:color w:val="000000"/>
                <w:kern w:val="0"/>
                <w:sz w:val="24"/>
                <w:szCs w:val="24"/>
              </w:rPr>
            </w:pPr>
            <w:r w:rsidRPr="00BA583D">
              <w:rPr>
                <w:rFonts w:eastAsia="等线" w:cs="Times New Roman"/>
                <w:color w:val="000000"/>
                <w:kern w:val="0"/>
                <w:sz w:val="24"/>
                <w:szCs w:val="24"/>
              </w:rPr>
              <w:t>Forest</w:t>
            </w:r>
          </w:p>
        </w:tc>
        <w:tc>
          <w:tcPr>
            <w:tcW w:w="1777" w:type="dxa"/>
            <w:tcBorders>
              <w:top w:val="nil"/>
              <w:left w:val="nil"/>
              <w:bottom w:val="nil"/>
              <w:right w:val="nil"/>
            </w:tcBorders>
            <w:shd w:val="clear" w:color="auto" w:fill="auto"/>
            <w:noWrap/>
            <w:vAlign w:val="bottom"/>
            <w:hideMark/>
          </w:tcPr>
          <w:p w14:paraId="284278B7" w14:textId="77777777" w:rsidR="00677745" w:rsidRPr="00BA583D" w:rsidRDefault="00677745" w:rsidP="00677745">
            <w:pPr>
              <w:widowControl/>
              <w:jc w:val="center"/>
              <w:rPr>
                <w:rFonts w:eastAsia="等线" w:cs="Times New Roman"/>
                <w:color w:val="000000"/>
                <w:kern w:val="0"/>
                <w:sz w:val="24"/>
                <w:szCs w:val="24"/>
              </w:rPr>
            </w:pPr>
            <w:r w:rsidRPr="00BA583D">
              <w:rPr>
                <w:rFonts w:eastAsia="等线" w:cs="Times New Roman"/>
                <w:color w:val="000000"/>
                <w:kern w:val="0"/>
                <w:sz w:val="24"/>
                <w:szCs w:val="24"/>
              </w:rPr>
              <w:t>10</w:t>
            </w:r>
          </w:p>
        </w:tc>
      </w:tr>
      <w:tr w:rsidR="00677745" w:rsidRPr="00BA583D" w14:paraId="2A559CCA" w14:textId="77777777" w:rsidTr="00421E0E">
        <w:trPr>
          <w:trHeight w:val="300"/>
        </w:trPr>
        <w:tc>
          <w:tcPr>
            <w:tcW w:w="3261" w:type="dxa"/>
            <w:tcBorders>
              <w:top w:val="nil"/>
              <w:left w:val="nil"/>
              <w:bottom w:val="nil"/>
              <w:right w:val="nil"/>
            </w:tcBorders>
            <w:shd w:val="clear" w:color="auto" w:fill="auto"/>
            <w:noWrap/>
            <w:vAlign w:val="bottom"/>
            <w:hideMark/>
          </w:tcPr>
          <w:p w14:paraId="29A1C491" w14:textId="77777777" w:rsidR="00677745" w:rsidRPr="00BA583D" w:rsidRDefault="00677745" w:rsidP="00677745">
            <w:pPr>
              <w:widowControl/>
              <w:jc w:val="left"/>
              <w:rPr>
                <w:rFonts w:eastAsia="等线" w:cs="Times New Roman"/>
                <w:color w:val="000000"/>
                <w:kern w:val="0"/>
                <w:sz w:val="24"/>
                <w:szCs w:val="24"/>
              </w:rPr>
            </w:pPr>
            <w:r w:rsidRPr="00BA583D">
              <w:rPr>
                <w:rFonts w:eastAsia="等线" w:cs="Times New Roman"/>
                <w:color w:val="000000"/>
                <w:kern w:val="0"/>
                <w:sz w:val="24"/>
                <w:szCs w:val="24"/>
              </w:rPr>
              <w:t>Fleischer et al.</w:t>
            </w:r>
          </w:p>
        </w:tc>
        <w:tc>
          <w:tcPr>
            <w:tcW w:w="2500" w:type="dxa"/>
            <w:tcBorders>
              <w:top w:val="nil"/>
              <w:left w:val="nil"/>
              <w:bottom w:val="nil"/>
              <w:right w:val="nil"/>
            </w:tcBorders>
            <w:shd w:val="clear" w:color="auto" w:fill="auto"/>
            <w:noWrap/>
            <w:vAlign w:val="bottom"/>
            <w:hideMark/>
          </w:tcPr>
          <w:p w14:paraId="3DFEB7E2" w14:textId="77777777" w:rsidR="00677745" w:rsidRPr="00BA583D" w:rsidRDefault="00677745" w:rsidP="00677745">
            <w:pPr>
              <w:widowControl/>
              <w:jc w:val="center"/>
              <w:rPr>
                <w:rFonts w:eastAsia="等线" w:cs="Times New Roman"/>
                <w:color w:val="000000"/>
                <w:kern w:val="0"/>
                <w:sz w:val="24"/>
                <w:szCs w:val="24"/>
              </w:rPr>
            </w:pPr>
            <w:r w:rsidRPr="00BA583D">
              <w:rPr>
                <w:rFonts w:eastAsia="等线" w:cs="Times New Roman"/>
                <w:color w:val="000000"/>
                <w:kern w:val="0"/>
                <w:sz w:val="24"/>
                <w:szCs w:val="24"/>
              </w:rPr>
              <w:t>Forest</w:t>
            </w:r>
          </w:p>
        </w:tc>
        <w:tc>
          <w:tcPr>
            <w:tcW w:w="1777" w:type="dxa"/>
            <w:tcBorders>
              <w:top w:val="nil"/>
              <w:left w:val="nil"/>
              <w:bottom w:val="nil"/>
              <w:right w:val="nil"/>
            </w:tcBorders>
            <w:shd w:val="clear" w:color="auto" w:fill="auto"/>
            <w:noWrap/>
            <w:vAlign w:val="bottom"/>
            <w:hideMark/>
          </w:tcPr>
          <w:p w14:paraId="6FE11E55" w14:textId="77777777" w:rsidR="00677745" w:rsidRPr="00BA583D" w:rsidRDefault="00677745" w:rsidP="00677745">
            <w:pPr>
              <w:widowControl/>
              <w:jc w:val="center"/>
              <w:rPr>
                <w:rFonts w:eastAsia="等线" w:cs="Times New Roman"/>
                <w:color w:val="000000"/>
                <w:kern w:val="0"/>
                <w:sz w:val="24"/>
                <w:szCs w:val="24"/>
              </w:rPr>
            </w:pPr>
            <w:r w:rsidRPr="00BA583D">
              <w:rPr>
                <w:rFonts w:eastAsia="等线" w:cs="Times New Roman"/>
                <w:color w:val="000000"/>
                <w:kern w:val="0"/>
                <w:sz w:val="24"/>
                <w:szCs w:val="24"/>
              </w:rPr>
              <w:t>23</w:t>
            </w:r>
          </w:p>
        </w:tc>
      </w:tr>
      <w:tr w:rsidR="00677745" w:rsidRPr="00BA583D" w14:paraId="60818B0C" w14:textId="77777777" w:rsidTr="00421E0E">
        <w:trPr>
          <w:trHeight w:val="300"/>
        </w:trPr>
        <w:tc>
          <w:tcPr>
            <w:tcW w:w="3261" w:type="dxa"/>
            <w:tcBorders>
              <w:top w:val="nil"/>
              <w:left w:val="nil"/>
              <w:bottom w:val="nil"/>
              <w:right w:val="nil"/>
            </w:tcBorders>
            <w:shd w:val="clear" w:color="auto" w:fill="auto"/>
            <w:noWrap/>
            <w:vAlign w:val="bottom"/>
            <w:hideMark/>
          </w:tcPr>
          <w:p w14:paraId="316CB93E" w14:textId="77777777" w:rsidR="00677745" w:rsidRPr="00BA583D" w:rsidRDefault="00677745" w:rsidP="00677745">
            <w:pPr>
              <w:widowControl/>
              <w:jc w:val="left"/>
              <w:rPr>
                <w:rFonts w:eastAsia="等线" w:cs="Times New Roman"/>
                <w:color w:val="000000"/>
                <w:kern w:val="0"/>
                <w:sz w:val="24"/>
                <w:szCs w:val="24"/>
              </w:rPr>
            </w:pPr>
            <w:r w:rsidRPr="00BA583D">
              <w:rPr>
                <w:rFonts w:eastAsia="等线" w:cs="Times New Roman"/>
                <w:color w:val="000000"/>
                <w:kern w:val="0"/>
                <w:sz w:val="24"/>
                <w:szCs w:val="24"/>
              </w:rPr>
              <w:t>Deng et al.</w:t>
            </w:r>
          </w:p>
        </w:tc>
        <w:tc>
          <w:tcPr>
            <w:tcW w:w="2500" w:type="dxa"/>
            <w:tcBorders>
              <w:top w:val="nil"/>
              <w:left w:val="nil"/>
              <w:bottom w:val="nil"/>
              <w:right w:val="nil"/>
            </w:tcBorders>
            <w:shd w:val="clear" w:color="auto" w:fill="auto"/>
            <w:noWrap/>
            <w:vAlign w:val="bottom"/>
            <w:hideMark/>
          </w:tcPr>
          <w:p w14:paraId="330B3A6B" w14:textId="77777777" w:rsidR="00677745" w:rsidRPr="00BA583D" w:rsidRDefault="00677745" w:rsidP="00677745">
            <w:pPr>
              <w:widowControl/>
              <w:jc w:val="center"/>
              <w:rPr>
                <w:rFonts w:eastAsia="等线" w:cs="Times New Roman"/>
                <w:color w:val="000000"/>
                <w:kern w:val="0"/>
                <w:sz w:val="24"/>
                <w:szCs w:val="24"/>
              </w:rPr>
            </w:pPr>
            <w:r w:rsidRPr="00BA583D">
              <w:rPr>
                <w:rFonts w:eastAsia="等线" w:cs="Times New Roman"/>
                <w:color w:val="000000"/>
                <w:kern w:val="0"/>
                <w:sz w:val="24"/>
                <w:szCs w:val="24"/>
              </w:rPr>
              <w:t>Grassland</w:t>
            </w:r>
          </w:p>
        </w:tc>
        <w:tc>
          <w:tcPr>
            <w:tcW w:w="1777" w:type="dxa"/>
            <w:tcBorders>
              <w:top w:val="nil"/>
              <w:left w:val="nil"/>
              <w:bottom w:val="nil"/>
              <w:right w:val="nil"/>
            </w:tcBorders>
            <w:shd w:val="clear" w:color="auto" w:fill="auto"/>
            <w:noWrap/>
            <w:vAlign w:val="bottom"/>
            <w:hideMark/>
          </w:tcPr>
          <w:p w14:paraId="50CCEBDE" w14:textId="77777777" w:rsidR="00677745" w:rsidRPr="00BA583D" w:rsidRDefault="00677745" w:rsidP="00677745">
            <w:pPr>
              <w:widowControl/>
              <w:jc w:val="center"/>
              <w:rPr>
                <w:rFonts w:eastAsia="等线" w:cs="Times New Roman"/>
                <w:color w:val="000000"/>
                <w:kern w:val="0"/>
                <w:sz w:val="24"/>
                <w:szCs w:val="24"/>
              </w:rPr>
            </w:pPr>
            <w:r w:rsidRPr="00BA583D">
              <w:rPr>
                <w:rFonts w:eastAsia="等线" w:cs="Times New Roman"/>
                <w:color w:val="000000"/>
                <w:kern w:val="0"/>
                <w:sz w:val="24"/>
                <w:szCs w:val="24"/>
              </w:rPr>
              <w:t>15.55</w:t>
            </w:r>
          </w:p>
        </w:tc>
      </w:tr>
      <w:tr w:rsidR="00677745" w:rsidRPr="00BA583D" w14:paraId="59615289" w14:textId="77777777" w:rsidTr="00421E0E">
        <w:trPr>
          <w:trHeight w:val="300"/>
        </w:trPr>
        <w:tc>
          <w:tcPr>
            <w:tcW w:w="3261" w:type="dxa"/>
            <w:tcBorders>
              <w:top w:val="nil"/>
              <w:left w:val="nil"/>
              <w:bottom w:val="single" w:sz="4" w:space="0" w:color="auto"/>
              <w:right w:val="nil"/>
            </w:tcBorders>
            <w:shd w:val="clear" w:color="auto" w:fill="auto"/>
            <w:noWrap/>
            <w:vAlign w:val="bottom"/>
            <w:hideMark/>
          </w:tcPr>
          <w:p w14:paraId="64C03EAC" w14:textId="77777777" w:rsidR="00677745" w:rsidRPr="00BA583D" w:rsidRDefault="00677745" w:rsidP="00677745">
            <w:pPr>
              <w:widowControl/>
              <w:jc w:val="left"/>
              <w:rPr>
                <w:rFonts w:eastAsia="等线" w:cs="Times New Roman"/>
                <w:color w:val="000000"/>
                <w:kern w:val="0"/>
                <w:sz w:val="24"/>
                <w:szCs w:val="24"/>
              </w:rPr>
            </w:pPr>
            <w:r w:rsidRPr="00BA583D">
              <w:rPr>
                <w:rFonts w:eastAsia="等线" w:cs="Times New Roman"/>
                <w:color w:val="000000"/>
                <w:kern w:val="0"/>
                <w:sz w:val="24"/>
                <w:szCs w:val="24"/>
              </w:rPr>
              <w:t>Deng et al.</w:t>
            </w:r>
          </w:p>
        </w:tc>
        <w:tc>
          <w:tcPr>
            <w:tcW w:w="2500" w:type="dxa"/>
            <w:tcBorders>
              <w:top w:val="nil"/>
              <w:left w:val="nil"/>
              <w:bottom w:val="single" w:sz="4" w:space="0" w:color="auto"/>
              <w:right w:val="nil"/>
            </w:tcBorders>
            <w:shd w:val="clear" w:color="auto" w:fill="auto"/>
            <w:noWrap/>
            <w:vAlign w:val="bottom"/>
            <w:hideMark/>
          </w:tcPr>
          <w:p w14:paraId="3E313B3B" w14:textId="77777777" w:rsidR="00677745" w:rsidRPr="00BA583D" w:rsidRDefault="00677745" w:rsidP="00677745">
            <w:pPr>
              <w:widowControl/>
              <w:jc w:val="center"/>
              <w:rPr>
                <w:rFonts w:eastAsia="等线" w:cs="Times New Roman"/>
                <w:color w:val="000000"/>
                <w:kern w:val="0"/>
                <w:sz w:val="24"/>
                <w:szCs w:val="24"/>
              </w:rPr>
            </w:pPr>
            <w:r w:rsidRPr="00BA583D">
              <w:rPr>
                <w:rFonts w:eastAsia="等线" w:cs="Times New Roman"/>
                <w:color w:val="000000"/>
                <w:kern w:val="0"/>
                <w:sz w:val="24"/>
                <w:szCs w:val="24"/>
              </w:rPr>
              <w:t>Cropland</w:t>
            </w:r>
          </w:p>
        </w:tc>
        <w:tc>
          <w:tcPr>
            <w:tcW w:w="1777" w:type="dxa"/>
            <w:tcBorders>
              <w:top w:val="nil"/>
              <w:left w:val="nil"/>
              <w:bottom w:val="single" w:sz="4" w:space="0" w:color="auto"/>
              <w:right w:val="nil"/>
            </w:tcBorders>
            <w:shd w:val="clear" w:color="auto" w:fill="auto"/>
            <w:noWrap/>
            <w:vAlign w:val="bottom"/>
            <w:hideMark/>
          </w:tcPr>
          <w:p w14:paraId="01BA0BBF" w14:textId="77777777" w:rsidR="00677745" w:rsidRPr="00BA583D" w:rsidRDefault="00677745" w:rsidP="00677745">
            <w:pPr>
              <w:widowControl/>
              <w:jc w:val="center"/>
              <w:rPr>
                <w:rFonts w:eastAsia="等线" w:cs="Times New Roman"/>
                <w:color w:val="000000"/>
                <w:kern w:val="0"/>
                <w:sz w:val="24"/>
                <w:szCs w:val="24"/>
              </w:rPr>
            </w:pPr>
            <w:r w:rsidRPr="00BA583D">
              <w:rPr>
                <w:rFonts w:eastAsia="等线" w:cs="Times New Roman"/>
                <w:color w:val="000000"/>
                <w:kern w:val="0"/>
                <w:sz w:val="24"/>
                <w:szCs w:val="24"/>
              </w:rPr>
              <w:t>4.61</w:t>
            </w:r>
          </w:p>
        </w:tc>
      </w:tr>
    </w:tbl>
    <w:p w14:paraId="0BD99654" w14:textId="00E8AAA7" w:rsidR="00677745" w:rsidRPr="00BA583D" w:rsidRDefault="00A12511" w:rsidP="00BB131B">
      <w:pPr>
        <w:spacing w:line="360" w:lineRule="auto"/>
        <w:jc w:val="left"/>
        <w:rPr>
          <w:rFonts w:cs="Times New Roman"/>
          <w:sz w:val="24"/>
          <w:szCs w:val="24"/>
        </w:rPr>
      </w:pPr>
      <w:r w:rsidRPr="00BA583D">
        <w:rPr>
          <w:rFonts w:cs="Times New Roman"/>
          <w:sz w:val="24"/>
          <w:szCs w:val="24"/>
        </w:rPr>
        <w:t>Note: a: Values in this study are weighted averages of other studies.</w:t>
      </w:r>
    </w:p>
    <w:p w14:paraId="0DE63347" w14:textId="77777777" w:rsidR="00DB49B7" w:rsidRDefault="00DB49B7" w:rsidP="007E5E52">
      <w:pPr>
        <w:autoSpaceDE w:val="0"/>
        <w:autoSpaceDN w:val="0"/>
        <w:adjustRightInd w:val="0"/>
        <w:jc w:val="left"/>
        <w:rPr>
          <w:rFonts w:cs="Times New Roman"/>
          <w:sz w:val="24"/>
          <w:szCs w:val="24"/>
        </w:rPr>
        <w:sectPr w:rsidR="00DB49B7" w:rsidSect="005C1BC4">
          <w:pgSz w:w="11906" w:h="16838"/>
          <w:pgMar w:top="1440" w:right="1700" w:bottom="1440" w:left="1800" w:header="851" w:footer="992" w:gutter="0"/>
          <w:cols w:space="425"/>
          <w:docGrid w:type="lines" w:linePitch="312"/>
        </w:sectPr>
      </w:pPr>
    </w:p>
    <w:p w14:paraId="7EF15059" w14:textId="77777777" w:rsidR="00E02FEC" w:rsidRDefault="00D16080" w:rsidP="00E02FEC">
      <w:pPr>
        <w:autoSpaceDE w:val="0"/>
        <w:autoSpaceDN w:val="0"/>
        <w:adjustRightInd w:val="0"/>
        <w:jc w:val="left"/>
        <w:rPr>
          <w:rFonts w:cs="Times New Roman"/>
          <w:kern w:val="0"/>
          <w:sz w:val="24"/>
          <w:szCs w:val="24"/>
        </w:rPr>
      </w:pPr>
      <w:r>
        <w:rPr>
          <w:rFonts w:cs="Times New Roman"/>
          <w:sz w:val="24"/>
          <w:szCs w:val="24"/>
        </w:rPr>
        <w:lastRenderedPageBreak/>
        <w:fldChar w:fldCharType="begin"/>
      </w:r>
      <w:r>
        <w:rPr>
          <w:rFonts w:cs="Times New Roman"/>
          <w:sz w:val="24"/>
          <w:szCs w:val="24"/>
        </w:rPr>
        <w:instrText xml:space="preserve"> ADDIN NE.Rep</w:instrText>
      </w:r>
      <w:r w:rsidR="00814C0B">
        <w:rPr>
          <w:rFonts w:cs="Times New Roman"/>
          <w:sz w:val="24"/>
          <w:szCs w:val="24"/>
        </w:rPr>
        <w:fldChar w:fldCharType="separate"/>
      </w:r>
      <w:r>
        <w:rPr>
          <w:rFonts w:cs="Times New Roman"/>
          <w:sz w:val="24"/>
          <w:szCs w:val="24"/>
        </w:rPr>
        <w:fldChar w:fldCharType="end"/>
      </w:r>
      <w:r w:rsidR="00E02FEC">
        <w:rPr>
          <w:rFonts w:cs="Times New Roman"/>
          <w:kern w:val="0"/>
          <w:sz w:val="24"/>
          <w:szCs w:val="24"/>
        </w:rPr>
        <w:fldChar w:fldCharType="begin"/>
      </w:r>
      <w:r w:rsidR="00E02FEC">
        <w:rPr>
          <w:rFonts w:cs="Times New Roman"/>
          <w:kern w:val="0"/>
          <w:sz w:val="24"/>
          <w:szCs w:val="24"/>
        </w:rPr>
        <w:instrText xml:space="preserve"> ADDIN NE.Bib</w:instrText>
      </w:r>
      <w:r w:rsidR="00E02FEC">
        <w:rPr>
          <w:rFonts w:cs="Times New Roman"/>
          <w:kern w:val="0"/>
          <w:sz w:val="24"/>
          <w:szCs w:val="24"/>
        </w:rPr>
        <w:fldChar w:fldCharType="separate"/>
      </w:r>
    </w:p>
    <w:p w14:paraId="0AA46B1C" w14:textId="77777777" w:rsidR="00E02FEC" w:rsidRDefault="00E02FEC" w:rsidP="00E02FEC">
      <w:pPr>
        <w:autoSpaceDE w:val="0"/>
        <w:autoSpaceDN w:val="0"/>
        <w:adjustRightInd w:val="0"/>
        <w:jc w:val="center"/>
        <w:rPr>
          <w:rFonts w:cs="Times New Roman"/>
          <w:kern w:val="0"/>
          <w:sz w:val="24"/>
          <w:szCs w:val="24"/>
        </w:rPr>
      </w:pPr>
      <w:r>
        <w:rPr>
          <w:rFonts w:cs="Times New Roman"/>
          <w:b/>
          <w:bCs/>
          <w:color w:val="000000"/>
          <w:kern w:val="0"/>
          <w:sz w:val="40"/>
          <w:szCs w:val="40"/>
        </w:rPr>
        <w:t>References:</w:t>
      </w:r>
    </w:p>
    <w:p w14:paraId="60ADBF8D"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 xml:space="preserve"> 1.</w:t>
      </w:r>
      <w:r>
        <w:rPr>
          <w:rFonts w:cs="Times New Roman"/>
          <w:color w:val="000000"/>
          <w:kern w:val="0"/>
          <w:sz w:val="20"/>
          <w:szCs w:val="20"/>
        </w:rPr>
        <w:tab/>
      </w:r>
      <w:bookmarkStart w:id="17" w:name="_neb2321215B_F423_456B_B605_1E54A66B27A2"/>
      <w:r>
        <w:rPr>
          <w:rFonts w:cs="Times New Roman"/>
          <w:color w:val="000000"/>
          <w:kern w:val="0"/>
          <w:sz w:val="20"/>
          <w:szCs w:val="20"/>
        </w:rPr>
        <w:t>Zhu, Z.</w:t>
      </w:r>
      <w:r>
        <w:rPr>
          <w:rFonts w:cs="Times New Roman"/>
          <w:i/>
          <w:iCs/>
          <w:color w:val="000000"/>
          <w:kern w:val="0"/>
          <w:sz w:val="20"/>
          <w:szCs w:val="20"/>
        </w:rPr>
        <w:t>, et al</w:t>
      </w:r>
      <w:r>
        <w:rPr>
          <w:rFonts w:cs="Times New Roman"/>
          <w:color w:val="000000"/>
          <w:kern w:val="0"/>
          <w:sz w:val="20"/>
          <w:szCs w:val="20"/>
        </w:rPr>
        <w:t xml:space="preserve">. Integrated livestock sector nitrogen pollution abatement measures could generate net benefits for human and ecosystem health in China. </w:t>
      </w:r>
      <w:r>
        <w:rPr>
          <w:rFonts w:cs="Times New Roman"/>
          <w:i/>
          <w:iCs/>
          <w:color w:val="000000"/>
          <w:kern w:val="0"/>
          <w:sz w:val="20"/>
          <w:szCs w:val="20"/>
        </w:rPr>
        <w:t>Nat Food</w:t>
      </w:r>
      <w:r>
        <w:rPr>
          <w:rFonts w:cs="Times New Roman"/>
          <w:color w:val="000000"/>
          <w:kern w:val="0"/>
          <w:sz w:val="20"/>
          <w:szCs w:val="20"/>
        </w:rPr>
        <w:t xml:space="preserve"> </w:t>
      </w:r>
      <w:r>
        <w:rPr>
          <w:rFonts w:cs="Times New Roman"/>
          <w:b/>
          <w:bCs/>
          <w:color w:val="000000"/>
          <w:kern w:val="0"/>
          <w:sz w:val="20"/>
          <w:szCs w:val="20"/>
        </w:rPr>
        <w:t>3</w:t>
      </w:r>
      <w:r>
        <w:rPr>
          <w:rFonts w:cs="Times New Roman"/>
          <w:color w:val="000000"/>
          <w:kern w:val="0"/>
          <w:sz w:val="20"/>
          <w:szCs w:val="20"/>
        </w:rPr>
        <w:t>, 161-168 (2022).</w:t>
      </w:r>
      <w:bookmarkEnd w:id="17"/>
    </w:p>
    <w:p w14:paraId="049A6EC6"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 xml:space="preserve"> 2.</w:t>
      </w:r>
      <w:r>
        <w:rPr>
          <w:rFonts w:cs="Times New Roman"/>
          <w:color w:val="000000"/>
          <w:kern w:val="0"/>
          <w:sz w:val="20"/>
          <w:szCs w:val="20"/>
        </w:rPr>
        <w:tab/>
      </w:r>
      <w:bookmarkStart w:id="18" w:name="_nebAFD4B022_D1C4_4B3A_A15B_AD220AC65D7C"/>
      <w:r>
        <w:rPr>
          <w:rFonts w:cs="Times New Roman"/>
          <w:color w:val="000000"/>
          <w:kern w:val="0"/>
          <w:sz w:val="20"/>
          <w:szCs w:val="20"/>
        </w:rPr>
        <w:t>Ti, C.</w:t>
      </w:r>
      <w:r>
        <w:rPr>
          <w:rFonts w:cs="Times New Roman"/>
          <w:i/>
          <w:iCs/>
          <w:color w:val="000000"/>
          <w:kern w:val="0"/>
          <w:sz w:val="20"/>
          <w:szCs w:val="20"/>
        </w:rPr>
        <w:t>, et al</w:t>
      </w:r>
      <w:r>
        <w:rPr>
          <w:rFonts w:cs="Times New Roman"/>
          <w:color w:val="000000"/>
          <w:kern w:val="0"/>
          <w:sz w:val="20"/>
          <w:szCs w:val="20"/>
        </w:rPr>
        <w:t xml:space="preserve">. Isotopic characterization of NHx-N in deposition and major emission sources. </w:t>
      </w:r>
      <w:r>
        <w:rPr>
          <w:rFonts w:cs="Times New Roman"/>
          <w:i/>
          <w:iCs/>
          <w:color w:val="000000"/>
          <w:kern w:val="0"/>
          <w:sz w:val="20"/>
          <w:szCs w:val="20"/>
        </w:rPr>
        <w:t>Biogeochemistry</w:t>
      </w:r>
      <w:r>
        <w:rPr>
          <w:rFonts w:cs="Times New Roman"/>
          <w:color w:val="000000"/>
          <w:kern w:val="0"/>
          <w:sz w:val="20"/>
          <w:szCs w:val="20"/>
        </w:rPr>
        <w:t xml:space="preserve"> </w:t>
      </w:r>
      <w:r>
        <w:rPr>
          <w:rFonts w:cs="Times New Roman"/>
          <w:b/>
          <w:bCs/>
          <w:color w:val="000000"/>
          <w:kern w:val="0"/>
          <w:sz w:val="20"/>
          <w:szCs w:val="20"/>
        </w:rPr>
        <w:t>138</w:t>
      </w:r>
      <w:r>
        <w:rPr>
          <w:rFonts w:cs="Times New Roman"/>
          <w:color w:val="000000"/>
          <w:kern w:val="0"/>
          <w:sz w:val="20"/>
          <w:szCs w:val="20"/>
        </w:rPr>
        <w:t>, 85-102 (2018).</w:t>
      </w:r>
      <w:bookmarkEnd w:id="18"/>
    </w:p>
    <w:p w14:paraId="339860A5"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 xml:space="preserve"> 3.</w:t>
      </w:r>
      <w:r>
        <w:rPr>
          <w:rFonts w:cs="Times New Roman"/>
          <w:color w:val="000000"/>
          <w:kern w:val="0"/>
          <w:sz w:val="20"/>
          <w:szCs w:val="20"/>
        </w:rPr>
        <w:tab/>
      </w:r>
      <w:bookmarkStart w:id="19" w:name="_neb43B93BD9_B53E_492E_8F1F_9652AAD58705"/>
      <w:r>
        <w:rPr>
          <w:rFonts w:cs="Times New Roman"/>
          <w:color w:val="000000"/>
          <w:kern w:val="0"/>
          <w:sz w:val="20"/>
          <w:szCs w:val="20"/>
        </w:rPr>
        <w:t xml:space="preserve">Liu, D., Fang, Y., Tu, Y. &amp; Pan, Y. Chemical Method for Nitrogen Isotopic Analysis of Ammonium at Natural Abundance. </w:t>
      </w:r>
      <w:r>
        <w:rPr>
          <w:rFonts w:cs="Times New Roman"/>
          <w:i/>
          <w:iCs/>
          <w:color w:val="000000"/>
          <w:kern w:val="0"/>
          <w:sz w:val="20"/>
          <w:szCs w:val="20"/>
        </w:rPr>
        <w:t>Anal Chem</w:t>
      </w:r>
      <w:r>
        <w:rPr>
          <w:rFonts w:cs="Times New Roman"/>
          <w:color w:val="000000"/>
          <w:kern w:val="0"/>
          <w:sz w:val="20"/>
          <w:szCs w:val="20"/>
        </w:rPr>
        <w:t xml:space="preserve"> </w:t>
      </w:r>
      <w:r>
        <w:rPr>
          <w:rFonts w:cs="Times New Roman"/>
          <w:b/>
          <w:bCs/>
          <w:color w:val="000000"/>
          <w:kern w:val="0"/>
          <w:sz w:val="20"/>
          <w:szCs w:val="20"/>
        </w:rPr>
        <w:t>86</w:t>
      </w:r>
      <w:r>
        <w:rPr>
          <w:rFonts w:cs="Times New Roman"/>
          <w:color w:val="000000"/>
          <w:kern w:val="0"/>
          <w:sz w:val="20"/>
          <w:szCs w:val="20"/>
        </w:rPr>
        <w:t>, 3787-3792 (2014).</w:t>
      </w:r>
      <w:bookmarkEnd w:id="19"/>
    </w:p>
    <w:p w14:paraId="77C0750D"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 xml:space="preserve"> 4.</w:t>
      </w:r>
      <w:r>
        <w:rPr>
          <w:rFonts w:cs="Times New Roman"/>
          <w:color w:val="000000"/>
          <w:kern w:val="0"/>
          <w:sz w:val="20"/>
          <w:szCs w:val="20"/>
        </w:rPr>
        <w:tab/>
      </w:r>
      <w:bookmarkStart w:id="20" w:name="_nebB7BBFFC3_C876_4CE4_B339_4EAEED118898"/>
      <w:r>
        <w:rPr>
          <w:rFonts w:cs="Times New Roman"/>
          <w:color w:val="000000"/>
          <w:kern w:val="0"/>
          <w:sz w:val="20"/>
          <w:szCs w:val="20"/>
        </w:rPr>
        <w:t>Zhang, X.</w:t>
      </w:r>
      <w:r>
        <w:rPr>
          <w:rFonts w:cs="Times New Roman"/>
          <w:i/>
          <w:iCs/>
          <w:color w:val="000000"/>
          <w:kern w:val="0"/>
          <w:sz w:val="20"/>
          <w:szCs w:val="20"/>
        </w:rPr>
        <w:t>, et al</w:t>
      </w:r>
      <w:r>
        <w:rPr>
          <w:rFonts w:cs="Times New Roman"/>
          <w:color w:val="000000"/>
          <w:kern w:val="0"/>
          <w:sz w:val="20"/>
          <w:szCs w:val="20"/>
        </w:rPr>
        <w:t xml:space="preserve">. Societal benefits of halving agricultural ammonia emissions in China far exceed the abatement costs. </w:t>
      </w:r>
      <w:r>
        <w:rPr>
          <w:rFonts w:cs="Times New Roman"/>
          <w:i/>
          <w:iCs/>
          <w:color w:val="000000"/>
          <w:kern w:val="0"/>
          <w:sz w:val="20"/>
          <w:szCs w:val="20"/>
        </w:rPr>
        <w:t>Nat Commun</w:t>
      </w:r>
      <w:r>
        <w:rPr>
          <w:rFonts w:cs="Times New Roman"/>
          <w:color w:val="000000"/>
          <w:kern w:val="0"/>
          <w:sz w:val="20"/>
          <w:szCs w:val="20"/>
        </w:rPr>
        <w:t xml:space="preserve"> </w:t>
      </w:r>
      <w:r>
        <w:rPr>
          <w:rFonts w:cs="Times New Roman"/>
          <w:b/>
          <w:bCs/>
          <w:color w:val="000000"/>
          <w:kern w:val="0"/>
          <w:sz w:val="20"/>
          <w:szCs w:val="20"/>
        </w:rPr>
        <w:t>11</w:t>
      </w:r>
      <w:r>
        <w:rPr>
          <w:rFonts w:cs="Times New Roman"/>
          <w:color w:val="000000"/>
          <w:kern w:val="0"/>
          <w:sz w:val="20"/>
          <w:szCs w:val="20"/>
        </w:rPr>
        <w:t xml:space="preserve"> (2020).</w:t>
      </w:r>
      <w:bookmarkEnd w:id="20"/>
    </w:p>
    <w:p w14:paraId="2D576F22"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 xml:space="preserve"> 5.</w:t>
      </w:r>
      <w:r>
        <w:rPr>
          <w:rFonts w:cs="Times New Roman"/>
          <w:color w:val="000000"/>
          <w:kern w:val="0"/>
          <w:sz w:val="20"/>
          <w:szCs w:val="20"/>
        </w:rPr>
        <w:tab/>
      </w:r>
      <w:bookmarkStart w:id="21" w:name="_nebFE119C34_4627_47ED_8045_17CA3A00F5C4"/>
      <w:r>
        <w:rPr>
          <w:rFonts w:cs="Times New Roman"/>
          <w:color w:val="000000"/>
          <w:kern w:val="0"/>
          <w:sz w:val="20"/>
          <w:szCs w:val="20"/>
        </w:rPr>
        <w:t>Chen, Y.</w:t>
      </w:r>
      <w:r>
        <w:rPr>
          <w:rFonts w:cs="Times New Roman"/>
          <w:i/>
          <w:iCs/>
          <w:color w:val="000000"/>
          <w:kern w:val="0"/>
          <w:sz w:val="20"/>
          <w:szCs w:val="20"/>
        </w:rPr>
        <w:t>, et al</w:t>
      </w:r>
      <w:r>
        <w:rPr>
          <w:rFonts w:cs="Times New Roman"/>
          <w:color w:val="000000"/>
          <w:kern w:val="0"/>
          <w:sz w:val="20"/>
          <w:szCs w:val="20"/>
        </w:rPr>
        <w:t>. Rapid Increase in China</w:t>
      </w:r>
      <w:r>
        <w:rPr>
          <w:rFonts w:ascii="宋体" w:eastAsia="宋体" w:cs="宋体" w:hint="eastAsia"/>
          <w:color w:val="000000"/>
          <w:kern w:val="0"/>
          <w:sz w:val="20"/>
          <w:szCs w:val="20"/>
        </w:rPr>
        <w:t>’</w:t>
      </w:r>
      <w:r>
        <w:rPr>
          <w:rFonts w:cs="Times New Roman"/>
          <w:color w:val="000000"/>
          <w:kern w:val="0"/>
          <w:sz w:val="20"/>
          <w:szCs w:val="20"/>
        </w:rPr>
        <w:t xml:space="preserve">s Industrial Ammonia Emissions: Evidence from Unit-Based Mapping. </w:t>
      </w:r>
      <w:r>
        <w:rPr>
          <w:rFonts w:cs="Times New Roman"/>
          <w:i/>
          <w:iCs/>
          <w:color w:val="000000"/>
          <w:kern w:val="0"/>
          <w:sz w:val="20"/>
          <w:szCs w:val="20"/>
        </w:rPr>
        <w:t>Environ Sci Technol</w:t>
      </w:r>
      <w:r>
        <w:rPr>
          <w:rFonts w:cs="Times New Roman"/>
          <w:color w:val="000000"/>
          <w:kern w:val="0"/>
          <w:sz w:val="20"/>
          <w:szCs w:val="20"/>
        </w:rPr>
        <w:t xml:space="preserve"> (2022).</w:t>
      </w:r>
      <w:bookmarkEnd w:id="21"/>
    </w:p>
    <w:p w14:paraId="0E4F2520"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 xml:space="preserve"> 6.</w:t>
      </w:r>
      <w:r>
        <w:rPr>
          <w:rFonts w:cs="Times New Roman"/>
          <w:color w:val="000000"/>
          <w:kern w:val="0"/>
          <w:sz w:val="20"/>
          <w:szCs w:val="20"/>
        </w:rPr>
        <w:tab/>
      </w:r>
      <w:bookmarkStart w:id="22" w:name="_neb1655EC53_03AB_41B9_8A0D_CBD512AAB6F3"/>
      <w:r>
        <w:rPr>
          <w:rFonts w:cs="Times New Roman"/>
          <w:color w:val="000000"/>
          <w:kern w:val="0"/>
          <w:sz w:val="20"/>
          <w:szCs w:val="20"/>
        </w:rPr>
        <w:t>Li, S.</w:t>
      </w:r>
      <w:r>
        <w:rPr>
          <w:rFonts w:cs="Times New Roman"/>
          <w:i/>
          <w:iCs/>
          <w:color w:val="000000"/>
          <w:kern w:val="0"/>
          <w:sz w:val="20"/>
          <w:szCs w:val="20"/>
        </w:rPr>
        <w:t>, et al</w:t>
      </w:r>
      <w:r>
        <w:rPr>
          <w:rFonts w:cs="Times New Roman"/>
          <w:color w:val="000000"/>
          <w:kern w:val="0"/>
          <w:sz w:val="20"/>
          <w:szCs w:val="20"/>
        </w:rPr>
        <w:t>. Trends in ammonia emissions from light-duty gasoline vehicles in China, 1999</w:t>
      </w:r>
      <w:r>
        <w:rPr>
          <w:rFonts w:ascii="宋体" w:eastAsia="宋体" w:cs="宋体" w:hint="eastAsia"/>
          <w:color w:val="000000"/>
          <w:kern w:val="0"/>
          <w:sz w:val="20"/>
          <w:szCs w:val="20"/>
        </w:rPr>
        <w:t>–</w:t>
      </w:r>
      <w:r>
        <w:rPr>
          <w:rFonts w:cs="Times New Roman"/>
          <w:color w:val="000000"/>
          <w:kern w:val="0"/>
          <w:sz w:val="20"/>
          <w:szCs w:val="20"/>
        </w:rPr>
        <w:t xml:space="preserve">2017. </w:t>
      </w:r>
      <w:r>
        <w:rPr>
          <w:rFonts w:cs="Times New Roman"/>
          <w:i/>
          <w:iCs/>
          <w:color w:val="000000"/>
          <w:kern w:val="0"/>
          <w:sz w:val="20"/>
          <w:szCs w:val="20"/>
        </w:rPr>
        <w:t>Sci Total Environ</w:t>
      </w:r>
      <w:r>
        <w:rPr>
          <w:rFonts w:cs="Times New Roman"/>
          <w:color w:val="000000"/>
          <w:kern w:val="0"/>
          <w:sz w:val="20"/>
          <w:szCs w:val="20"/>
        </w:rPr>
        <w:t xml:space="preserve"> </w:t>
      </w:r>
      <w:r>
        <w:rPr>
          <w:rFonts w:cs="Times New Roman"/>
          <w:b/>
          <w:bCs/>
          <w:color w:val="000000"/>
          <w:kern w:val="0"/>
          <w:sz w:val="20"/>
          <w:szCs w:val="20"/>
        </w:rPr>
        <w:t>700</w:t>
      </w:r>
      <w:r>
        <w:rPr>
          <w:rFonts w:cs="Times New Roman"/>
          <w:color w:val="000000"/>
          <w:kern w:val="0"/>
          <w:sz w:val="20"/>
          <w:szCs w:val="20"/>
        </w:rPr>
        <w:t>, 134359 (2020).</w:t>
      </w:r>
      <w:bookmarkEnd w:id="22"/>
    </w:p>
    <w:p w14:paraId="0D4FF1D4"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 xml:space="preserve"> 7.</w:t>
      </w:r>
      <w:r>
        <w:rPr>
          <w:rFonts w:cs="Times New Roman"/>
          <w:color w:val="000000"/>
          <w:kern w:val="0"/>
          <w:sz w:val="20"/>
          <w:szCs w:val="20"/>
        </w:rPr>
        <w:tab/>
      </w:r>
      <w:bookmarkStart w:id="23" w:name="_neb725DAF71_AFCB_4887_A80C_1A2291668B31"/>
      <w:r>
        <w:rPr>
          <w:rFonts w:cs="Times New Roman"/>
          <w:color w:val="000000"/>
          <w:kern w:val="0"/>
          <w:sz w:val="20"/>
          <w:szCs w:val="20"/>
        </w:rPr>
        <w:t xml:space="preserve">Farren, N.J., Davison, J., Rose, R.A., Wagner, R.L. &amp; Carslaw, D.C. Underestimated Ammonia Emissions from Road Vehicles. </w:t>
      </w:r>
      <w:r>
        <w:rPr>
          <w:rFonts w:cs="Times New Roman"/>
          <w:i/>
          <w:iCs/>
          <w:color w:val="000000"/>
          <w:kern w:val="0"/>
          <w:sz w:val="20"/>
          <w:szCs w:val="20"/>
        </w:rPr>
        <w:t>Environ Sci Technol</w:t>
      </w:r>
      <w:r>
        <w:rPr>
          <w:rFonts w:cs="Times New Roman"/>
          <w:color w:val="000000"/>
          <w:kern w:val="0"/>
          <w:sz w:val="20"/>
          <w:szCs w:val="20"/>
        </w:rPr>
        <w:t xml:space="preserve"> </w:t>
      </w:r>
      <w:r>
        <w:rPr>
          <w:rFonts w:cs="Times New Roman"/>
          <w:b/>
          <w:bCs/>
          <w:color w:val="000000"/>
          <w:kern w:val="0"/>
          <w:sz w:val="20"/>
          <w:szCs w:val="20"/>
        </w:rPr>
        <w:t>54</w:t>
      </w:r>
      <w:r>
        <w:rPr>
          <w:rFonts w:cs="Times New Roman"/>
          <w:color w:val="000000"/>
          <w:kern w:val="0"/>
          <w:sz w:val="20"/>
          <w:szCs w:val="20"/>
        </w:rPr>
        <w:t>, 15689-15697 (2020).</w:t>
      </w:r>
      <w:bookmarkEnd w:id="23"/>
    </w:p>
    <w:p w14:paraId="4EFD0424"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 xml:space="preserve"> 8.</w:t>
      </w:r>
      <w:r>
        <w:rPr>
          <w:rFonts w:cs="Times New Roman"/>
          <w:color w:val="000000"/>
          <w:kern w:val="0"/>
          <w:sz w:val="20"/>
          <w:szCs w:val="20"/>
        </w:rPr>
        <w:tab/>
      </w:r>
      <w:bookmarkStart w:id="24" w:name="_neb53184CFF_3F08_4F5C_B93B_3C175CEA1599"/>
      <w:r>
        <w:rPr>
          <w:rFonts w:cs="Times New Roman"/>
          <w:color w:val="000000"/>
          <w:kern w:val="0"/>
          <w:sz w:val="20"/>
          <w:szCs w:val="20"/>
        </w:rPr>
        <w:t>Sun, K.</w:t>
      </w:r>
      <w:r>
        <w:rPr>
          <w:rFonts w:cs="Times New Roman"/>
          <w:i/>
          <w:iCs/>
          <w:color w:val="000000"/>
          <w:kern w:val="0"/>
          <w:sz w:val="20"/>
          <w:szCs w:val="20"/>
        </w:rPr>
        <w:t>, et al</w:t>
      </w:r>
      <w:r>
        <w:rPr>
          <w:rFonts w:cs="Times New Roman"/>
          <w:color w:val="000000"/>
          <w:kern w:val="0"/>
          <w:sz w:val="20"/>
          <w:szCs w:val="20"/>
        </w:rPr>
        <w:t xml:space="preserve">. Vehicle Emissions as an Important Urban Ammonia Source in the United States and China. </w:t>
      </w:r>
      <w:r>
        <w:rPr>
          <w:rFonts w:cs="Times New Roman"/>
          <w:i/>
          <w:iCs/>
          <w:color w:val="000000"/>
          <w:kern w:val="0"/>
          <w:sz w:val="20"/>
          <w:szCs w:val="20"/>
        </w:rPr>
        <w:t>Environ Sci Technol</w:t>
      </w:r>
      <w:r>
        <w:rPr>
          <w:rFonts w:cs="Times New Roman"/>
          <w:color w:val="000000"/>
          <w:kern w:val="0"/>
          <w:sz w:val="20"/>
          <w:szCs w:val="20"/>
        </w:rPr>
        <w:t xml:space="preserve"> </w:t>
      </w:r>
      <w:r>
        <w:rPr>
          <w:rFonts w:cs="Times New Roman"/>
          <w:b/>
          <w:bCs/>
          <w:color w:val="000000"/>
          <w:kern w:val="0"/>
          <w:sz w:val="20"/>
          <w:szCs w:val="20"/>
        </w:rPr>
        <w:t>51</w:t>
      </w:r>
      <w:r>
        <w:rPr>
          <w:rFonts w:cs="Times New Roman"/>
          <w:color w:val="000000"/>
          <w:kern w:val="0"/>
          <w:sz w:val="20"/>
          <w:szCs w:val="20"/>
        </w:rPr>
        <w:t>, 2472-2481 (2017).</w:t>
      </w:r>
      <w:bookmarkEnd w:id="24"/>
    </w:p>
    <w:p w14:paraId="5B94C6C6"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 xml:space="preserve"> 9.</w:t>
      </w:r>
      <w:r>
        <w:rPr>
          <w:rFonts w:cs="Times New Roman"/>
          <w:color w:val="000000"/>
          <w:kern w:val="0"/>
          <w:sz w:val="20"/>
          <w:szCs w:val="20"/>
        </w:rPr>
        <w:tab/>
      </w:r>
      <w:bookmarkStart w:id="25" w:name="_nebBB58BF4B_8A48_4080_ACE3_A74AC0B8B17E"/>
      <w:r>
        <w:rPr>
          <w:rFonts w:cs="Times New Roman"/>
          <w:color w:val="000000"/>
          <w:kern w:val="0"/>
          <w:sz w:val="20"/>
          <w:szCs w:val="20"/>
        </w:rPr>
        <w:t>Zhang, X.</w:t>
      </w:r>
      <w:r>
        <w:rPr>
          <w:rFonts w:cs="Times New Roman"/>
          <w:i/>
          <w:iCs/>
          <w:color w:val="000000"/>
          <w:kern w:val="0"/>
          <w:sz w:val="20"/>
          <w:szCs w:val="20"/>
        </w:rPr>
        <w:t>, et al</w:t>
      </w:r>
      <w:r>
        <w:rPr>
          <w:rFonts w:cs="Times New Roman"/>
          <w:color w:val="000000"/>
          <w:kern w:val="0"/>
          <w:sz w:val="20"/>
          <w:szCs w:val="20"/>
        </w:rPr>
        <w:t xml:space="preserve">. Ammonia Emissions May Be Substantially Underestimated in China. </w:t>
      </w:r>
      <w:r>
        <w:rPr>
          <w:rFonts w:cs="Times New Roman"/>
          <w:i/>
          <w:iCs/>
          <w:color w:val="000000"/>
          <w:kern w:val="0"/>
          <w:sz w:val="20"/>
          <w:szCs w:val="20"/>
        </w:rPr>
        <w:t>Environ Sci Technol</w:t>
      </w:r>
      <w:r>
        <w:rPr>
          <w:rFonts w:cs="Times New Roman"/>
          <w:color w:val="000000"/>
          <w:kern w:val="0"/>
          <w:sz w:val="20"/>
          <w:szCs w:val="20"/>
        </w:rPr>
        <w:t xml:space="preserve"> </w:t>
      </w:r>
      <w:r>
        <w:rPr>
          <w:rFonts w:cs="Times New Roman"/>
          <w:b/>
          <w:bCs/>
          <w:color w:val="000000"/>
          <w:kern w:val="0"/>
          <w:sz w:val="20"/>
          <w:szCs w:val="20"/>
        </w:rPr>
        <w:t>51</w:t>
      </w:r>
      <w:r>
        <w:rPr>
          <w:rFonts w:cs="Times New Roman"/>
          <w:color w:val="000000"/>
          <w:kern w:val="0"/>
          <w:sz w:val="20"/>
          <w:szCs w:val="20"/>
        </w:rPr>
        <w:t>, 12089-12096 (2017).</w:t>
      </w:r>
      <w:bookmarkEnd w:id="25"/>
    </w:p>
    <w:p w14:paraId="759A70C5"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10.</w:t>
      </w:r>
      <w:r>
        <w:rPr>
          <w:rFonts w:cs="Times New Roman"/>
          <w:color w:val="000000"/>
          <w:kern w:val="0"/>
          <w:sz w:val="20"/>
          <w:szCs w:val="20"/>
        </w:rPr>
        <w:tab/>
      </w:r>
      <w:bookmarkStart w:id="26" w:name="_nebFE8CBF58_E852_4A37_8B2C_9430CBB8CB6C"/>
      <w:r>
        <w:rPr>
          <w:rFonts w:cs="Times New Roman"/>
          <w:color w:val="000000"/>
          <w:kern w:val="0"/>
          <w:sz w:val="20"/>
          <w:szCs w:val="20"/>
        </w:rPr>
        <w:t xml:space="preserve">Xu, W., Zhang, L. &amp; Liu, X. A database of atmospheric nitrogen concentration and deposition from the nationwide monitoring network in China. </w:t>
      </w:r>
      <w:r>
        <w:rPr>
          <w:rFonts w:cs="Times New Roman"/>
          <w:i/>
          <w:iCs/>
          <w:color w:val="000000"/>
          <w:kern w:val="0"/>
          <w:sz w:val="20"/>
          <w:szCs w:val="20"/>
        </w:rPr>
        <w:t>Sci Data</w:t>
      </w:r>
      <w:r>
        <w:rPr>
          <w:rFonts w:cs="Times New Roman"/>
          <w:color w:val="000000"/>
          <w:kern w:val="0"/>
          <w:sz w:val="20"/>
          <w:szCs w:val="20"/>
        </w:rPr>
        <w:t xml:space="preserve"> </w:t>
      </w:r>
      <w:r>
        <w:rPr>
          <w:rFonts w:cs="Times New Roman"/>
          <w:b/>
          <w:bCs/>
          <w:color w:val="000000"/>
          <w:kern w:val="0"/>
          <w:sz w:val="20"/>
          <w:szCs w:val="20"/>
        </w:rPr>
        <w:t>6</w:t>
      </w:r>
      <w:r>
        <w:rPr>
          <w:rFonts w:cs="Times New Roman"/>
          <w:color w:val="000000"/>
          <w:kern w:val="0"/>
          <w:sz w:val="20"/>
          <w:szCs w:val="20"/>
        </w:rPr>
        <w:t>, 51-56 (2019).</w:t>
      </w:r>
      <w:bookmarkEnd w:id="26"/>
    </w:p>
    <w:p w14:paraId="40E52369"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11.</w:t>
      </w:r>
      <w:r>
        <w:rPr>
          <w:rFonts w:cs="Times New Roman"/>
          <w:color w:val="000000"/>
          <w:kern w:val="0"/>
          <w:sz w:val="20"/>
          <w:szCs w:val="20"/>
        </w:rPr>
        <w:tab/>
      </w:r>
      <w:bookmarkStart w:id="27" w:name="_neb8634FE77_B960_4C6E_9ABA_6FCE78FB3A01"/>
      <w:r>
        <w:rPr>
          <w:rFonts w:cs="Times New Roman"/>
          <w:color w:val="000000"/>
          <w:kern w:val="0"/>
          <w:sz w:val="20"/>
          <w:szCs w:val="20"/>
        </w:rPr>
        <w:t>Wang, C.</w:t>
      </w:r>
      <w:r>
        <w:rPr>
          <w:rFonts w:cs="Times New Roman"/>
          <w:i/>
          <w:iCs/>
          <w:color w:val="000000"/>
          <w:kern w:val="0"/>
          <w:sz w:val="20"/>
          <w:szCs w:val="20"/>
        </w:rPr>
        <w:t>, et al</w:t>
      </w:r>
      <w:r>
        <w:rPr>
          <w:rFonts w:cs="Times New Roman"/>
          <w:color w:val="000000"/>
          <w:kern w:val="0"/>
          <w:sz w:val="20"/>
          <w:szCs w:val="20"/>
        </w:rPr>
        <w:t xml:space="preserve">. An empirical model to estimate ammonia emission from cropland fertilization in China. </w:t>
      </w:r>
      <w:r>
        <w:rPr>
          <w:rFonts w:cs="Times New Roman"/>
          <w:i/>
          <w:iCs/>
          <w:color w:val="000000"/>
          <w:kern w:val="0"/>
          <w:sz w:val="20"/>
          <w:szCs w:val="20"/>
        </w:rPr>
        <w:t>Environ Pollut</w:t>
      </w:r>
      <w:r>
        <w:rPr>
          <w:rFonts w:cs="Times New Roman"/>
          <w:color w:val="000000"/>
          <w:kern w:val="0"/>
          <w:sz w:val="20"/>
          <w:szCs w:val="20"/>
        </w:rPr>
        <w:t xml:space="preserve"> </w:t>
      </w:r>
      <w:r>
        <w:rPr>
          <w:rFonts w:cs="Times New Roman"/>
          <w:b/>
          <w:bCs/>
          <w:color w:val="000000"/>
          <w:kern w:val="0"/>
          <w:sz w:val="20"/>
          <w:szCs w:val="20"/>
        </w:rPr>
        <w:t>288</w:t>
      </w:r>
      <w:r>
        <w:rPr>
          <w:rFonts w:cs="Times New Roman"/>
          <w:color w:val="000000"/>
          <w:kern w:val="0"/>
          <w:sz w:val="20"/>
          <w:szCs w:val="20"/>
        </w:rPr>
        <w:t>, 117982 (2021).</w:t>
      </w:r>
      <w:bookmarkEnd w:id="27"/>
    </w:p>
    <w:p w14:paraId="318C5813"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12.</w:t>
      </w:r>
      <w:r>
        <w:rPr>
          <w:rFonts w:cs="Times New Roman"/>
          <w:color w:val="000000"/>
          <w:kern w:val="0"/>
          <w:sz w:val="20"/>
          <w:szCs w:val="20"/>
        </w:rPr>
        <w:tab/>
      </w:r>
      <w:bookmarkStart w:id="28" w:name="_neb0788F91D_68FD_4DAD_993A_E0019972F0D0"/>
      <w:r>
        <w:rPr>
          <w:rFonts w:cs="Times New Roman"/>
          <w:color w:val="000000"/>
          <w:kern w:val="0"/>
          <w:sz w:val="20"/>
          <w:szCs w:val="20"/>
        </w:rPr>
        <w:t>Wang, C.</w:t>
      </w:r>
      <w:r>
        <w:rPr>
          <w:rFonts w:cs="Times New Roman"/>
          <w:i/>
          <w:iCs/>
          <w:color w:val="000000"/>
          <w:kern w:val="0"/>
          <w:sz w:val="20"/>
          <w:szCs w:val="20"/>
        </w:rPr>
        <w:t>, et al</w:t>
      </w:r>
      <w:r>
        <w:rPr>
          <w:rFonts w:cs="Times New Roman"/>
          <w:color w:val="000000"/>
          <w:kern w:val="0"/>
          <w:sz w:val="20"/>
          <w:szCs w:val="20"/>
        </w:rPr>
        <w:t xml:space="preserve">. Ammonia Emissions from Croplands Decrease with Farm Size in China. </w:t>
      </w:r>
      <w:r>
        <w:rPr>
          <w:rFonts w:cs="Times New Roman"/>
          <w:i/>
          <w:iCs/>
          <w:color w:val="000000"/>
          <w:kern w:val="0"/>
          <w:sz w:val="20"/>
          <w:szCs w:val="20"/>
        </w:rPr>
        <w:t>Environ Sci Technol</w:t>
      </w:r>
      <w:r>
        <w:rPr>
          <w:rFonts w:cs="Times New Roman"/>
          <w:color w:val="000000"/>
          <w:kern w:val="0"/>
          <w:sz w:val="20"/>
          <w:szCs w:val="20"/>
        </w:rPr>
        <w:t xml:space="preserve"> (2022).</w:t>
      </w:r>
      <w:bookmarkEnd w:id="28"/>
    </w:p>
    <w:p w14:paraId="701B9E13"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13.</w:t>
      </w:r>
      <w:r>
        <w:rPr>
          <w:rFonts w:cs="Times New Roman"/>
          <w:color w:val="000000"/>
          <w:kern w:val="0"/>
          <w:sz w:val="20"/>
          <w:szCs w:val="20"/>
        </w:rPr>
        <w:tab/>
      </w:r>
      <w:bookmarkStart w:id="29" w:name="_neb54E8A3C9_264D_46EB_9EB1_7BDB33F7E868"/>
      <w:r>
        <w:rPr>
          <w:rFonts w:cs="Times New Roman"/>
          <w:color w:val="000000"/>
          <w:kern w:val="0"/>
          <w:sz w:val="20"/>
          <w:szCs w:val="20"/>
        </w:rPr>
        <w:t>Huang, X.</w:t>
      </w:r>
      <w:r>
        <w:rPr>
          <w:rFonts w:cs="Times New Roman"/>
          <w:i/>
          <w:iCs/>
          <w:color w:val="000000"/>
          <w:kern w:val="0"/>
          <w:sz w:val="20"/>
          <w:szCs w:val="20"/>
        </w:rPr>
        <w:t>, et al</w:t>
      </w:r>
      <w:r>
        <w:rPr>
          <w:rFonts w:cs="Times New Roman"/>
          <w:color w:val="000000"/>
          <w:kern w:val="0"/>
          <w:sz w:val="20"/>
          <w:szCs w:val="20"/>
        </w:rPr>
        <w:t xml:space="preserve">. A high-resolution ammonia emission inventory in China. </w:t>
      </w:r>
      <w:r>
        <w:rPr>
          <w:rFonts w:cs="Times New Roman"/>
          <w:i/>
          <w:iCs/>
          <w:color w:val="000000"/>
          <w:kern w:val="0"/>
          <w:sz w:val="20"/>
          <w:szCs w:val="20"/>
        </w:rPr>
        <w:t>Global Biogeochem Cycles</w:t>
      </w:r>
      <w:r>
        <w:rPr>
          <w:rFonts w:cs="Times New Roman"/>
          <w:color w:val="000000"/>
          <w:kern w:val="0"/>
          <w:sz w:val="20"/>
          <w:szCs w:val="20"/>
        </w:rPr>
        <w:t xml:space="preserve"> </w:t>
      </w:r>
      <w:r>
        <w:rPr>
          <w:rFonts w:cs="Times New Roman"/>
          <w:b/>
          <w:bCs/>
          <w:color w:val="000000"/>
          <w:kern w:val="0"/>
          <w:sz w:val="20"/>
          <w:szCs w:val="20"/>
        </w:rPr>
        <w:t>26</w:t>
      </w:r>
      <w:r>
        <w:rPr>
          <w:rFonts w:cs="Times New Roman"/>
          <w:color w:val="000000"/>
          <w:kern w:val="0"/>
          <w:sz w:val="20"/>
          <w:szCs w:val="20"/>
        </w:rPr>
        <w:t>, n/a-n/a (2012).</w:t>
      </w:r>
      <w:bookmarkEnd w:id="29"/>
    </w:p>
    <w:p w14:paraId="6E8C428D"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14.</w:t>
      </w:r>
      <w:r>
        <w:rPr>
          <w:rFonts w:cs="Times New Roman"/>
          <w:color w:val="000000"/>
          <w:kern w:val="0"/>
          <w:sz w:val="20"/>
          <w:szCs w:val="20"/>
        </w:rPr>
        <w:tab/>
      </w:r>
      <w:bookmarkStart w:id="30" w:name="_neb3D62E5E2_2399_45B0_BED8_2EACE2F81D3F"/>
      <w:r>
        <w:rPr>
          <w:rFonts w:cs="Times New Roman"/>
          <w:color w:val="000000"/>
          <w:kern w:val="0"/>
          <w:sz w:val="20"/>
          <w:szCs w:val="20"/>
        </w:rPr>
        <w:t>Zhang, L.</w:t>
      </w:r>
      <w:r>
        <w:rPr>
          <w:rFonts w:cs="Times New Roman"/>
          <w:i/>
          <w:iCs/>
          <w:color w:val="000000"/>
          <w:kern w:val="0"/>
          <w:sz w:val="20"/>
          <w:szCs w:val="20"/>
        </w:rPr>
        <w:t>, et al</w:t>
      </w:r>
      <w:r>
        <w:rPr>
          <w:rFonts w:cs="Times New Roman"/>
          <w:color w:val="000000"/>
          <w:kern w:val="0"/>
          <w:sz w:val="20"/>
          <w:szCs w:val="20"/>
        </w:rPr>
        <w:t xml:space="preserve">. Agricultural ammonia emissions in China: reconciling bottom-up and top-down estimates. </w:t>
      </w:r>
      <w:r>
        <w:rPr>
          <w:rFonts w:cs="Times New Roman"/>
          <w:i/>
          <w:iCs/>
          <w:color w:val="000000"/>
          <w:kern w:val="0"/>
          <w:sz w:val="20"/>
          <w:szCs w:val="20"/>
        </w:rPr>
        <w:t>Atmos Chem Phys</w:t>
      </w:r>
      <w:r>
        <w:rPr>
          <w:rFonts w:cs="Times New Roman"/>
          <w:color w:val="000000"/>
          <w:kern w:val="0"/>
          <w:sz w:val="20"/>
          <w:szCs w:val="20"/>
        </w:rPr>
        <w:t xml:space="preserve"> </w:t>
      </w:r>
      <w:r>
        <w:rPr>
          <w:rFonts w:cs="Times New Roman"/>
          <w:b/>
          <w:bCs/>
          <w:color w:val="000000"/>
          <w:kern w:val="0"/>
          <w:sz w:val="20"/>
          <w:szCs w:val="20"/>
        </w:rPr>
        <w:t>18</w:t>
      </w:r>
      <w:r>
        <w:rPr>
          <w:rFonts w:cs="Times New Roman"/>
          <w:color w:val="000000"/>
          <w:kern w:val="0"/>
          <w:sz w:val="20"/>
          <w:szCs w:val="20"/>
        </w:rPr>
        <w:t>, 339-355 (2018).</w:t>
      </w:r>
      <w:bookmarkEnd w:id="30"/>
    </w:p>
    <w:p w14:paraId="15E1FA9C"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15.</w:t>
      </w:r>
      <w:r>
        <w:rPr>
          <w:rFonts w:cs="Times New Roman"/>
          <w:color w:val="000000"/>
          <w:kern w:val="0"/>
          <w:sz w:val="20"/>
          <w:szCs w:val="20"/>
        </w:rPr>
        <w:tab/>
      </w:r>
      <w:bookmarkStart w:id="31" w:name="_neb58DE96DB_A0EE_478E_B2CA_34B9DA80F7DB"/>
      <w:r>
        <w:rPr>
          <w:rFonts w:cs="Times New Roman"/>
          <w:color w:val="000000"/>
          <w:kern w:val="0"/>
          <w:sz w:val="20"/>
          <w:szCs w:val="20"/>
        </w:rPr>
        <w:t>Xu, P.</w:t>
      </w:r>
      <w:r>
        <w:rPr>
          <w:rFonts w:cs="Times New Roman"/>
          <w:i/>
          <w:iCs/>
          <w:color w:val="000000"/>
          <w:kern w:val="0"/>
          <w:sz w:val="20"/>
          <w:szCs w:val="20"/>
        </w:rPr>
        <w:t>, et al</w:t>
      </w:r>
      <w:r>
        <w:rPr>
          <w:rFonts w:cs="Times New Roman"/>
          <w:color w:val="000000"/>
          <w:kern w:val="0"/>
          <w:sz w:val="20"/>
          <w:szCs w:val="20"/>
        </w:rPr>
        <w:t xml:space="preserve">. An inventory of the emission of ammonia from agricultural fertilizer application in China for 2010 and its high-resolution spatial distribution. </w:t>
      </w:r>
      <w:r>
        <w:rPr>
          <w:rFonts w:cs="Times New Roman"/>
          <w:i/>
          <w:iCs/>
          <w:color w:val="000000"/>
          <w:kern w:val="0"/>
          <w:sz w:val="20"/>
          <w:szCs w:val="20"/>
        </w:rPr>
        <w:t>Atmos Environ (1994)</w:t>
      </w:r>
      <w:r>
        <w:rPr>
          <w:rFonts w:cs="Times New Roman"/>
          <w:color w:val="000000"/>
          <w:kern w:val="0"/>
          <w:sz w:val="20"/>
          <w:szCs w:val="20"/>
        </w:rPr>
        <w:t xml:space="preserve"> </w:t>
      </w:r>
      <w:r>
        <w:rPr>
          <w:rFonts w:cs="Times New Roman"/>
          <w:b/>
          <w:bCs/>
          <w:color w:val="000000"/>
          <w:kern w:val="0"/>
          <w:sz w:val="20"/>
          <w:szCs w:val="20"/>
        </w:rPr>
        <w:t>115</w:t>
      </w:r>
      <w:r>
        <w:rPr>
          <w:rFonts w:cs="Times New Roman"/>
          <w:color w:val="000000"/>
          <w:kern w:val="0"/>
          <w:sz w:val="20"/>
          <w:szCs w:val="20"/>
        </w:rPr>
        <w:t>, 141-148 (2015).</w:t>
      </w:r>
      <w:bookmarkEnd w:id="31"/>
    </w:p>
    <w:p w14:paraId="1957EEFE"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16.</w:t>
      </w:r>
      <w:r>
        <w:rPr>
          <w:rFonts w:cs="Times New Roman"/>
          <w:color w:val="000000"/>
          <w:kern w:val="0"/>
          <w:sz w:val="20"/>
          <w:szCs w:val="20"/>
        </w:rPr>
        <w:tab/>
      </w:r>
      <w:bookmarkStart w:id="32" w:name="_nebB5DC42DF_4766_472B_A863_9532C803C73B"/>
      <w:r>
        <w:rPr>
          <w:rFonts w:cs="Times New Roman"/>
          <w:color w:val="000000"/>
          <w:kern w:val="0"/>
          <w:sz w:val="20"/>
          <w:szCs w:val="20"/>
        </w:rPr>
        <w:t>Kang, Y.</w:t>
      </w:r>
      <w:r>
        <w:rPr>
          <w:rFonts w:cs="Times New Roman"/>
          <w:i/>
          <w:iCs/>
          <w:color w:val="000000"/>
          <w:kern w:val="0"/>
          <w:sz w:val="20"/>
          <w:szCs w:val="20"/>
        </w:rPr>
        <w:t>, et al</w:t>
      </w:r>
      <w:r>
        <w:rPr>
          <w:rFonts w:cs="Times New Roman"/>
          <w:color w:val="000000"/>
          <w:kern w:val="0"/>
          <w:sz w:val="20"/>
          <w:szCs w:val="20"/>
        </w:rPr>
        <w:t xml:space="preserve">. High-resolution ammonia emissions inventories in China from 1980 to 2012. </w:t>
      </w:r>
      <w:r>
        <w:rPr>
          <w:rFonts w:cs="Times New Roman"/>
          <w:i/>
          <w:iCs/>
          <w:color w:val="000000"/>
          <w:kern w:val="0"/>
          <w:sz w:val="20"/>
          <w:szCs w:val="20"/>
        </w:rPr>
        <w:t>Atmos Chem Phys</w:t>
      </w:r>
      <w:r>
        <w:rPr>
          <w:rFonts w:cs="Times New Roman"/>
          <w:color w:val="000000"/>
          <w:kern w:val="0"/>
          <w:sz w:val="20"/>
          <w:szCs w:val="20"/>
        </w:rPr>
        <w:t xml:space="preserve"> </w:t>
      </w:r>
      <w:r>
        <w:rPr>
          <w:rFonts w:cs="Times New Roman"/>
          <w:b/>
          <w:bCs/>
          <w:color w:val="000000"/>
          <w:kern w:val="0"/>
          <w:sz w:val="20"/>
          <w:szCs w:val="20"/>
        </w:rPr>
        <w:t>16</w:t>
      </w:r>
      <w:r>
        <w:rPr>
          <w:rFonts w:cs="Times New Roman"/>
          <w:color w:val="000000"/>
          <w:kern w:val="0"/>
          <w:sz w:val="20"/>
          <w:szCs w:val="20"/>
        </w:rPr>
        <w:t>, 2043 (2016).</w:t>
      </w:r>
      <w:bookmarkEnd w:id="32"/>
    </w:p>
    <w:p w14:paraId="5D784237"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17.</w:t>
      </w:r>
      <w:r>
        <w:rPr>
          <w:rFonts w:cs="Times New Roman"/>
          <w:color w:val="000000"/>
          <w:kern w:val="0"/>
          <w:sz w:val="20"/>
          <w:szCs w:val="20"/>
        </w:rPr>
        <w:tab/>
      </w:r>
      <w:bookmarkStart w:id="33" w:name="_nebB8D9C600_7F90_4FB4_853D_72E72D8C0B62"/>
      <w:r>
        <w:rPr>
          <w:rFonts w:cs="Times New Roman"/>
          <w:color w:val="000000"/>
          <w:kern w:val="0"/>
          <w:sz w:val="20"/>
          <w:szCs w:val="20"/>
        </w:rPr>
        <w:t>Li, B.</w:t>
      </w:r>
      <w:r>
        <w:rPr>
          <w:rFonts w:cs="Times New Roman"/>
          <w:i/>
          <w:iCs/>
          <w:color w:val="000000"/>
          <w:kern w:val="0"/>
          <w:sz w:val="20"/>
          <w:szCs w:val="20"/>
        </w:rPr>
        <w:t>, et al</w:t>
      </w:r>
      <w:r>
        <w:rPr>
          <w:rFonts w:cs="Times New Roman"/>
          <w:color w:val="000000"/>
          <w:kern w:val="0"/>
          <w:sz w:val="20"/>
          <w:szCs w:val="20"/>
        </w:rPr>
        <w:t xml:space="preserve">. Improved gridded ammonia emission inventory in China. </w:t>
      </w:r>
      <w:r>
        <w:rPr>
          <w:rFonts w:cs="Times New Roman"/>
          <w:i/>
          <w:iCs/>
          <w:color w:val="000000"/>
          <w:kern w:val="0"/>
          <w:sz w:val="20"/>
          <w:szCs w:val="20"/>
        </w:rPr>
        <w:t>Atmos Chem Phys</w:t>
      </w:r>
      <w:r>
        <w:rPr>
          <w:rFonts w:cs="Times New Roman"/>
          <w:color w:val="000000"/>
          <w:kern w:val="0"/>
          <w:sz w:val="20"/>
          <w:szCs w:val="20"/>
        </w:rPr>
        <w:t xml:space="preserve"> </w:t>
      </w:r>
      <w:r>
        <w:rPr>
          <w:rFonts w:cs="Times New Roman"/>
          <w:b/>
          <w:bCs/>
          <w:color w:val="000000"/>
          <w:kern w:val="0"/>
          <w:sz w:val="20"/>
          <w:szCs w:val="20"/>
        </w:rPr>
        <w:t>21</w:t>
      </w:r>
      <w:r>
        <w:rPr>
          <w:rFonts w:cs="Times New Roman"/>
          <w:color w:val="000000"/>
          <w:kern w:val="0"/>
          <w:sz w:val="20"/>
          <w:szCs w:val="20"/>
        </w:rPr>
        <w:t>, 15883-15900 (2021).</w:t>
      </w:r>
      <w:bookmarkEnd w:id="33"/>
    </w:p>
    <w:p w14:paraId="69911DCE"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18.</w:t>
      </w:r>
      <w:r>
        <w:rPr>
          <w:rFonts w:cs="Times New Roman"/>
          <w:color w:val="000000"/>
          <w:kern w:val="0"/>
          <w:sz w:val="20"/>
          <w:szCs w:val="20"/>
        </w:rPr>
        <w:tab/>
      </w:r>
      <w:bookmarkStart w:id="34" w:name="_neb68C31C02_5597_4F77_9498_7C739B6AAA07"/>
      <w:r>
        <w:rPr>
          <w:rFonts w:cs="Times New Roman"/>
          <w:color w:val="000000"/>
          <w:kern w:val="0"/>
          <w:sz w:val="20"/>
          <w:szCs w:val="20"/>
        </w:rPr>
        <w:t>Kong, L.</w:t>
      </w:r>
      <w:r>
        <w:rPr>
          <w:rFonts w:cs="Times New Roman"/>
          <w:i/>
          <w:iCs/>
          <w:color w:val="000000"/>
          <w:kern w:val="0"/>
          <w:sz w:val="20"/>
          <w:szCs w:val="20"/>
        </w:rPr>
        <w:t>, et al</w:t>
      </w:r>
      <w:r>
        <w:rPr>
          <w:rFonts w:cs="Times New Roman"/>
          <w:color w:val="000000"/>
          <w:kern w:val="0"/>
          <w:sz w:val="20"/>
          <w:szCs w:val="20"/>
        </w:rPr>
        <w:t xml:space="preserve">. Improved Inversion of Monthly Ammonia Emissions in China Based on the Chinese Ammonia Monitoring Network and Ensemble Kalman Filter. </w:t>
      </w:r>
      <w:r>
        <w:rPr>
          <w:rFonts w:cs="Times New Roman"/>
          <w:i/>
          <w:iCs/>
          <w:color w:val="000000"/>
          <w:kern w:val="0"/>
          <w:sz w:val="20"/>
          <w:szCs w:val="20"/>
        </w:rPr>
        <w:t>Environ Sci Technol</w:t>
      </w:r>
      <w:r>
        <w:rPr>
          <w:rFonts w:cs="Times New Roman"/>
          <w:color w:val="000000"/>
          <w:kern w:val="0"/>
          <w:sz w:val="20"/>
          <w:szCs w:val="20"/>
        </w:rPr>
        <w:t xml:space="preserve"> </w:t>
      </w:r>
      <w:r>
        <w:rPr>
          <w:rFonts w:cs="Times New Roman"/>
          <w:b/>
          <w:bCs/>
          <w:color w:val="000000"/>
          <w:kern w:val="0"/>
          <w:sz w:val="20"/>
          <w:szCs w:val="20"/>
        </w:rPr>
        <w:t>53</w:t>
      </w:r>
      <w:r>
        <w:rPr>
          <w:rFonts w:cs="Times New Roman"/>
          <w:color w:val="000000"/>
          <w:kern w:val="0"/>
          <w:sz w:val="20"/>
          <w:szCs w:val="20"/>
        </w:rPr>
        <w:t>, 12529-12538 (2019).</w:t>
      </w:r>
      <w:bookmarkEnd w:id="34"/>
    </w:p>
    <w:p w14:paraId="7F316244"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19.</w:t>
      </w:r>
      <w:r>
        <w:rPr>
          <w:rFonts w:cs="Times New Roman"/>
          <w:color w:val="000000"/>
          <w:kern w:val="0"/>
          <w:sz w:val="20"/>
          <w:szCs w:val="20"/>
        </w:rPr>
        <w:tab/>
      </w:r>
      <w:bookmarkStart w:id="35" w:name="_neb8B4AB54E_59D8_46A3_9900_98DC78072BF5"/>
      <w:r>
        <w:rPr>
          <w:rFonts w:cs="Times New Roman"/>
          <w:color w:val="000000"/>
          <w:kern w:val="0"/>
          <w:sz w:val="20"/>
          <w:szCs w:val="20"/>
        </w:rPr>
        <w:t>Crippa, M.</w:t>
      </w:r>
      <w:r>
        <w:rPr>
          <w:rFonts w:cs="Times New Roman"/>
          <w:i/>
          <w:iCs/>
          <w:color w:val="000000"/>
          <w:kern w:val="0"/>
          <w:sz w:val="20"/>
          <w:szCs w:val="20"/>
        </w:rPr>
        <w:t>, et al</w:t>
      </w:r>
      <w:r>
        <w:rPr>
          <w:rFonts w:cs="Times New Roman"/>
          <w:color w:val="000000"/>
          <w:kern w:val="0"/>
          <w:sz w:val="20"/>
          <w:szCs w:val="20"/>
        </w:rPr>
        <w:t xml:space="preserve">. High resolution temporal profiles in the Emissions Database for Global Atmospheric Research. </w:t>
      </w:r>
      <w:r>
        <w:rPr>
          <w:rFonts w:cs="Times New Roman"/>
          <w:i/>
          <w:iCs/>
          <w:color w:val="000000"/>
          <w:kern w:val="0"/>
          <w:sz w:val="20"/>
          <w:szCs w:val="20"/>
        </w:rPr>
        <w:t>Sci Data</w:t>
      </w:r>
      <w:r>
        <w:rPr>
          <w:rFonts w:cs="Times New Roman"/>
          <w:color w:val="000000"/>
          <w:kern w:val="0"/>
          <w:sz w:val="20"/>
          <w:szCs w:val="20"/>
        </w:rPr>
        <w:t xml:space="preserve"> </w:t>
      </w:r>
      <w:r>
        <w:rPr>
          <w:rFonts w:cs="Times New Roman"/>
          <w:b/>
          <w:bCs/>
          <w:color w:val="000000"/>
          <w:kern w:val="0"/>
          <w:sz w:val="20"/>
          <w:szCs w:val="20"/>
        </w:rPr>
        <w:t>7</w:t>
      </w:r>
      <w:r>
        <w:rPr>
          <w:rFonts w:cs="Times New Roman"/>
          <w:color w:val="000000"/>
          <w:kern w:val="0"/>
          <w:sz w:val="20"/>
          <w:szCs w:val="20"/>
        </w:rPr>
        <w:t xml:space="preserve"> (2020).</w:t>
      </w:r>
      <w:bookmarkEnd w:id="35"/>
    </w:p>
    <w:p w14:paraId="2493C344"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20.</w:t>
      </w:r>
      <w:r>
        <w:rPr>
          <w:rFonts w:cs="Times New Roman"/>
          <w:color w:val="000000"/>
          <w:kern w:val="0"/>
          <w:sz w:val="20"/>
          <w:szCs w:val="20"/>
        </w:rPr>
        <w:tab/>
      </w:r>
      <w:bookmarkStart w:id="36" w:name="_neb9C918360_1D93_4259_93F2_6407904692CA"/>
      <w:r>
        <w:rPr>
          <w:rFonts w:cs="Times New Roman"/>
          <w:color w:val="000000"/>
          <w:kern w:val="0"/>
          <w:sz w:val="20"/>
          <w:szCs w:val="20"/>
        </w:rPr>
        <w:t>Paulot, F.</w:t>
      </w:r>
      <w:r>
        <w:rPr>
          <w:rFonts w:cs="Times New Roman"/>
          <w:i/>
          <w:iCs/>
          <w:color w:val="000000"/>
          <w:kern w:val="0"/>
          <w:sz w:val="20"/>
          <w:szCs w:val="20"/>
        </w:rPr>
        <w:t>, et al</w:t>
      </w:r>
      <w:r>
        <w:rPr>
          <w:rFonts w:cs="Times New Roman"/>
          <w:color w:val="000000"/>
          <w:kern w:val="0"/>
          <w:sz w:val="20"/>
          <w:szCs w:val="20"/>
        </w:rPr>
        <w:t>. Ammonia emissions in the United States, European Union, and China derived by high</w:t>
      </w:r>
      <w:r>
        <w:rPr>
          <w:rFonts w:ascii="宋体" w:eastAsia="宋体" w:cs="宋体" w:hint="eastAsia"/>
          <w:color w:val="000000"/>
          <w:kern w:val="0"/>
          <w:sz w:val="20"/>
          <w:szCs w:val="20"/>
        </w:rPr>
        <w:t>‐</w:t>
      </w:r>
      <w:r>
        <w:rPr>
          <w:rFonts w:cs="Times New Roman"/>
          <w:color w:val="000000"/>
          <w:kern w:val="0"/>
          <w:sz w:val="20"/>
          <w:szCs w:val="20"/>
        </w:rPr>
        <w:t xml:space="preserve">resolution inversion of ammonium wet deposition data: Interpretation with a new agricultural </w:t>
      </w:r>
      <w:r>
        <w:rPr>
          <w:rFonts w:cs="Times New Roman"/>
          <w:color w:val="000000"/>
          <w:kern w:val="0"/>
          <w:sz w:val="20"/>
          <w:szCs w:val="20"/>
        </w:rPr>
        <w:lastRenderedPageBreak/>
        <w:t xml:space="preserve">emissions inventory (MASAGE_NH3). </w:t>
      </w:r>
      <w:r>
        <w:rPr>
          <w:rFonts w:cs="Times New Roman"/>
          <w:i/>
          <w:iCs/>
          <w:color w:val="000000"/>
          <w:kern w:val="0"/>
          <w:sz w:val="20"/>
          <w:szCs w:val="20"/>
        </w:rPr>
        <w:t>Journal of Geophysical Research: Atmospheres</w:t>
      </w:r>
      <w:r>
        <w:rPr>
          <w:rFonts w:cs="Times New Roman"/>
          <w:color w:val="000000"/>
          <w:kern w:val="0"/>
          <w:sz w:val="20"/>
          <w:szCs w:val="20"/>
        </w:rPr>
        <w:t xml:space="preserve"> </w:t>
      </w:r>
      <w:r>
        <w:rPr>
          <w:rFonts w:cs="Times New Roman"/>
          <w:b/>
          <w:bCs/>
          <w:color w:val="000000"/>
          <w:kern w:val="0"/>
          <w:sz w:val="20"/>
          <w:szCs w:val="20"/>
        </w:rPr>
        <w:t>119</w:t>
      </w:r>
      <w:r>
        <w:rPr>
          <w:rFonts w:cs="Times New Roman"/>
          <w:color w:val="000000"/>
          <w:kern w:val="0"/>
          <w:sz w:val="20"/>
          <w:szCs w:val="20"/>
        </w:rPr>
        <w:t>, 4343-4364 (2014).</w:t>
      </w:r>
      <w:bookmarkEnd w:id="36"/>
    </w:p>
    <w:p w14:paraId="53B6C538"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21.</w:t>
      </w:r>
      <w:r>
        <w:rPr>
          <w:rFonts w:cs="Times New Roman"/>
          <w:color w:val="000000"/>
          <w:kern w:val="0"/>
          <w:sz w:val="20"/>
          <w:szCs w:val="20"/>
        </w:rPr>
        <w:tab/>
      </w:r>
      <w:bookmarkStart w:id="37" w:name="_nebA5E4F1F2_EBAA_4C3F_83A9_C99A32B1A0FD"/>
      <w:r>
        <w:rPr>
          <w:rFonts w:cs="Times New Roman"/>
          <w:color w:val="000000"/>
          <w:kern w:val="0"/>
          <w:sz w:val="20"/>
          <w:szCs w:val="20"/>
        </w:rPr>
        <w:t>Zhang, L.</w:t>
      </w:r>
      <w:r>
        <w:rPr>
          <w:rFonts w:cs="Times New Roman"/>
          <w:i/>
          <w:iCs/>
          <w:color w:val="000000"/>
          <w:kern w:val="0"/>
          <w:sz w:val="20"/>
          <w:szCs w:val="20"/>
        </w:rPr>
        <w:t>, et al</w:t>
      </w:r>
      <w:r>
        <w:rPr>
          <w:rFonts w:cs="Times New Roman"/>
          <w:color w:val="000000"/>
          <w:kern w:val="0"/>
          <w:sz w:val="20"/>
          <w:szCs w:val="20"/>
        </w:rPr>
        <w:t xml:space="preserve">. Agricultural ammonia emissions in China: reconciling bottom-up and top-down estimates. </w:t>
      </w:r>
      <w:r>
        <w:rPr>
          <w:rFonts w:cs="Times New Roman"/>
          <w:i/>
          <w:iCs/>
          <w:color w:val="000000"/>
          <w:kern w:val="0"/>
          <w:sz w:val="20"/>
          <w:szCs w:val="20"/>
        </w:rPr>
        <w:t>Atmos Chem Phys</w:t>
      </w:r>
      <w:r>
        <w:rPr>
          <w:rFonts w:cs="Times New Roman"/>
          <w:color w:val="000000"/>
          <w:kern w:val="0"/>
          <w:sz w:val="20"/>
          <w:szCs w:val="20"/>
        </w:rPr>
        <w:t xml:space="preserve"> </w:t>
      </w:r>
      <w:r>
        <w:rPr>
          <w:rFonts w:cs="Times New Roman"/>
          <w:b/>
          <w:bCs/>
          <w:color w:val="000000"/>
          <w:kern w:val="0"/>
          <w:sz w:val="20"/>
          <w:szCs w:val="20"/>
        </w:rPr>
        <w:t>18</w:t>
      </w:r>
      <w:r>
        <w:rPr>
          <w:rFonts w:cs="Times New Roman"/>
          <w:color w:val="000000"/>
          <w:kern w:val="0"/>
          <w:sz w:val="20"/>
          <w:szCs w:val="20"/>
        </w:rPr>
        <w:t>, 339-355 (2018).</w:t>
      </w:r>
      <w:bookmarkEnd w:id="37"/>
    </w:p>
    <w:p w14:paraId="25B8D40E"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22.</w:t>
      </w:r>
      <w:r>
        <w:rPr>
          <w:rFonts w:cs="Times New Roman"/>
          <w:color w:val="000000"/>
          <w:kern w:val="0"/>
          <w:sz w:val="20"/>
          <w:szCs w:val="20"/>
        </w:rPr>
        <w:tab/>
      </w:r>
      <w:bookmarkStart w:id="38" w:name="_neb16365FF9_064A_4D1A_BF35_85527501180D"/>
      <w:r>
        <w:rPr>
          <w:rFonts w:cs="Times New Roman"/>
          <w:color w:val="000000"/>
          <w:kern w:val="0"/>
          <w:sz w:val="20"/>
          <w:szCs w:val="20"/>
        </w:rPr>
        <w:t xml:space="preserve">Fu, H., Luo, Z. &amp; Hu, S. A temporal-spatial analysis and future trends of ammonia emissions in China. </w:t>
      </w:r>
      <w:r>
        <w:rPr>
          <w:rFonts w:cs="Times New Roman"/>
          <w:i/>
          <w:iCs/>
          <w:color w:val="000000"/>
          <w:kern w:val="0"/>
          <w:sz w:val="20"/>
          <w:szCs w:val="20"/>
        </w:rPr>
        <w:t>Sci Total Environ</w:t>
      </w:r>
      <w:r>
        <w:rPr>
          <w:rFonts w:cs="Times New Roman"/>
          <w:color w:val="000000"/>
          <w:kern w:val="0"/>
          <w:sz w:val="20"/>
          <w:szCs w:val="20"/>
        </w:rPr>
        <w:t xml:space="preserve"> </w:t>
      </w:r>
      <w:r>
        <w:rPr>
          <w:rFonts w:cs="Times New Roman"/>
          <w:b/>
          <w:bCs/>
          <w:color w:val="000000"/>
          <w:kern w:val="0"/>
          <w:sz w:val="20"/>
          <w:szCs w:val="20"/>
        </w:rPr>
        <w:t>731</w:t>
      </w:r>
      <w:r>
        <w:rPr>
          <w:rFonts w:cs="Times New Roman"/>
          <w:color w:val="000000"/>
          <w:kern w:val="0"/>
          <w:sz w:val="20"/>
          <w:szCs w:val="20"/>
        </w:rPr>
        <w:t>, 138897 (2020).</w:t>
      </w:r>
      <w:bookmarkEnd w:id="38"/>
    </w:p>
    <w:p w14:paraId="3EABE757"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23.</w:t>
      </w:r>
      <w:r>
        <w:rPr>
          <w:rFonts w:cs="Times New Roman"/>
          <w:color w:val="000000"/>
          <w:kern w:val="0"/>
          <w:sz w:val="20"/>
          <w:szCs w:val="20"/>
        </w:rPr>
        <w:tab/>
      </w:r>
      <w:bookmarkStart w:id="39" w:name="_neb54038EAE_1129_4C5D_819C_D00711AABF24"/>
      <w:r>
        <w:rPr>
          <w:rFonts w:cs="Times New Roman"/>
          <w:color w:val="000000"/>
          <w:kern w:val="0"/>
          <w:sz w:val="20"/>
          <w:szCs w:val="20"/>
        </w:rPr>
        <w:t xml:space="preserve">Kurokawa, J. &amp; Ohara, T. Long-term historical trends in air pollutant emissions in Asia: Regional Emission inventory in ASia (REAS) version 3. </w:t>
      </w:r>
      <w:r>
        <w:rPr>
          <w:rFonts w:cs="Times New Roman"/>
          <w:i/>
          <w:iCs/>
          <w:color w:val="000000"/>
          <w:kern w:val="0"/>
          <w:sz w:val="20"/>
          <w:szCs w:val="20"/>
        </w:rPr>
        <w:t>Atmos Chem Phys</w:t>
      </w:r>
      <w:r>
        <w:rPr>
          <w:rFonts w:cs="Times New Roman"/>
          <w:color w:val="000000"/>
          <w:kern w:val="0"/>
          <w:sz w:val="20"/>
          <w:szCs w:val="20"/>
        </w:rPr>
        <w:t xml:space="preserve"> </w:t>
      </w:r>
      <w:r>
        <w:rPr>
          <w:rFonts w:cs="Times New Roman"/>
          <w:b/>
          <w:bCs/>
          <w:color w:val="000000"/>
          <w:kern w:val="0"/>
          <w:sz w:val="20"/>
          <w:szCs w:val="20"/>
        </w:rPr>
        <w:t>20</w:t>
      </w:r>
      <w:r>
        <w:rPr>
          <w:rFonts w:cs="Times New Roman"/>
          <w:color w:val="000000"/>
          <w:kern w:val="0"/>
          <w:sz w:val="20"/>
          <w:szCs w:val="20"/>
        </w:rPr>
        <w:t>, 12761-12793 (2020).</w:t>
      </w:r>
      <w:bookmarkEnd w:id="39"/>
    </w:p>
    <w:p w14:paraId="63D6CEAB"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24.</w:t>
      </w:r>
      <w:r>
        <w:rPr>
          <w:rFonts w:cs="Times New Roman"/>
          <w:color w:val="000000"/>
          <w:kern w:val="0"/>
          <w:sz w:val="20"/>
          <w:szCs w:val="20"/>
        </w:rPr>
        <w:tab/>
      </w:r>
      <w:bookmarkStart w:id="40" w:name="_nebC8B6D50E_DBD9_4033_AD25_187845B471B9"/>
      <w:r>
        <w:rPr>
          <w:rFonts w:cs="Times New Roman"/>
          <w:color w:val="000000"/>
          <w:kern w:val="0"/>
          <w:sz w:val="20"/>
          <w:szCs w:val="20"/>
        </w:rPr>
        <w:t xml:space="preserve">Ma, S. High-resolution assessment of ammonia emissions in China: Inventories, driving forces and mitigation. </w:t>
      </w:r>
      <w:r>
        <w:rPr>
          <w:rFonts w:cs="Times New Roman"/>
          <w:i/>
          <w:iCs/>
          <w:color w:val="000000"/>
          <w:kern w:val="0"/>
          <w:sz w:val="20"/>
          <w:szCs w:val="20"/>
        </w:rPr>
        <w:t>Atmos Environ (1994)</w:t>
      </w:r>
      <w:r>
        <w:rPr>
          <w:rFonts w:cs="Times New Roman"/>
          <w:color w:val="000000"/>
          <w:kern w:val="0"/>
          <w:sz w:val="20"/>
          <w:szCs w:val="20"/>
        </w:rPr>
        <w:t xml:space="preserve"> </w:t>
      </w:r>
      <w:r>
        <w:rPr>
          <w:rFonts w:cs="Times New Roman"/>
          <w:b/>
          <w:bCs/>
          <w:color w:val="000000"/>
          <w:kern w:val="0"/>
          <w:sz w:val="20"/>
          <w:szCs w:val="20"/>
        </w:rPr>
        <w:t>229</w:t>
      </w:r>
      <w:r>
        <w:rPr>
          <w:rFonts w:cs="Times New Roman"/>
          <w:color w:val="000000"/>
          <w:kern w:val="0"/>
          <w:sz w:val="20"/>
          <w:szCs w:val="20"/>
        </w:rPr>
        <w:t>, 117458 (2020).</w:t>
      </w:r>
      <w:bookmarkEnd w:id="40"/>
    </w:p>
    <w:p w14:paraId="42C35CB3"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25.</w:t>
      </w:r>
      <w:r>
        <w:rPr>
          <w:rFonts w:cs="Times New Roman"/>
          <w:color w:val="000000"/>
          <w:kern w:val="0"/>
          <w:sz w:val="20"/>
          <w:szCs w:val="20"/>
        </w:rPr>
        <w:tab/>
      </w:r>
      <w:bookmarkStart w:id="41" w:name="_nebD8EE9026_B35D_4858_B855_0DFB45BE5B2A"/>
      <w:r>
        <w:rPr>
          <w:rFonts w:cs="Times New Roman"/>
          <w:color w:val="000000"/>
          <w:kern w:val="0"/>
          <w:sz w:val="20"/>
          <w:szCs w:val="20"/>
        </w:rPr>
        <w:t>Ren, C.</w:t>
      </w:r>
      <w:r>
        <w:rPr>
          <w:rFonts w:cs="Times New Roman"/>
          <w:i/>
          <w:iCs/>
          <w:color w:val="000000"/>
          <w:kern w:val="0"/>
          <w:sz w:val="20"/>
          <w:szCs w:val="20"/>
        </w:rPr>
        <w:t>, et al</w:t>
      </w:r>
      <w:r>
        <w:rPr>
          <w:rFonts w:cs="Times New Roman"/>
          <w:color w:val="000000"/>
          <w:kern w:val="0"/>
          <w:sz w:val="20"/>
          <w:szCs w:val="20"/>
        </w:rPr>
        <w:t xml:space="preserve">. Fertilizer overuse in Chinese smallholders due to lack of fixed inputs. </w:t>
      </w:r>
      <w:r>
        <w:rPr>
          <w:rFonts w:cs="Times New Roman"/>
          <w:i/>
          <w:iCs/>
          <w:color w:val="000000"/>
          <w:kern w:val="0"/>
          <w:sz w:val="20"/>
          <w:szCs w:val="20"/>
        </w:rPr>
        <w:t>J Environ Manage</w:t>
      </w:r>
      <w:r>
        <w:rPr>
          <w:rFonts w:cs="Times New Roman"/>
          <w:color w:val="000000"/>
          <w:kern w:val="0"/>
          <w:sz w:val="20"/>
          <w:szCs w:val="20"/>
        </w:rPr>
        <w:t xml:space="preserve"> </w:t>
      </w:r>
      <w:r>
        <w:rPr>
          <w:rFonts w:cs="Times New Roman"/>
          <w:b/>
          <w:bCs/>
          <w:color w:val="000000"/>
          <w:kern w:val="0"/>
          <w:sz w:val="20"/>
          <w:szCs w:val="20"/>
        </w:rPr>
        <w:t>293</w:t>
      </w:r>
      <w:r>
        <w:rPr>
          <w:rFonts w:cs="Times New Roman"/>
          <w:color w:val="000000"/>
          <w:kern w:val="0"/>
          <w:sz w:val="20"/>
          <w:szCs w:val="20"/>
        </w:rPr>
        <w:t>, 112913 (2021).</w:t>
      </w:r>
      <w:bookmarkEnd w:id="41"/>
    </w:p>
    <w:p w14:paraId="5BC80C0D"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26.</w:t>
      </w:r>
      <w:r>
        <w:rPr>
          <w:rFonts w:cs="Times New Roman"/>
          <w:color w:val="000000"/>
          <w:kern w:val="0"/>
          <w:sz w:val="20"/>
          <w:szCs w:val="20"/>
        </w:rPr>
        <w:tab/>
      </w:r>
      <w:bookmarkStart w:id="42" w:name="_neb8C072809_E925_42E6_BB29_28208D5163B3"/>
      <w:r>
        <w:rPr>
          <w:rFonts w:cs="Times New Roman"/>
          <w:color w:val="000000"/>
          <w:kern w:val="0"/>
          <w:sz w:val="20"/>
          <w:szCs w:val="20"/>
        </w:rPr>
        <w:t xml:space="preserve">Gu, B., Song, Y., Yu, C. &amp; Ju, X. Overcoming socioeconomic barriers to reduce agricultural ammonia emission in China. </w:t>
      </w:r>
      <w:r>
        <w:rPr>
          <w:rFonts w:cs="Times New Roman"/>
          <w:i/>
          <w:iCs/>
          <w:color w:val="000000"/>
          <w:kern w:val="0"/>
          <w:sz w:val="20"/>
          <w:szCs w:val="20"/>
        </w:rPr>
        <w:t>Environ Sci Pollut Res Int</w:t>
      </w:r>
      <w:r>
        <w:rPr>
          <w:rFonts w:cs="Times New Roman"/>
          <w:color w:val="000000"/>
          <w:kern w:val="0"/>
          <w:sz w:val="20"/>
          <w:szCs w:val="20"/>
        </w:rPr>
        <w:t xml:space="preserve"> </w:t>
      </w:r>
      <w:r>
        <w:rPr>
          <w:rFonts w:cs="Times New Roman"/>
          <w:b/>
          <w:bCs/>
          <w:color w:val="000000"/>
          <w:kern w:val="0"/>
          <w:sz w:val="20"/>
          <w:szCs w:val="20"/>
        </w:rPr>
        <w:t>27</w:t>
      </w:r>
      <w:r>
        <w:rPr>
          <w:rFonts w:cs="Times New Roman"/>
          <w:color w:val="000000"/>
          <w:kern w:val="0"/>
          <w:sz w:val="20"/>
          <w:szCs w:val="20"/>
        </w:rPr>
        <w:t>, 25813-25817 (2020).</w:t>
      </w:r>
      <w:bookmarkEnd w:id="42"/>
    </w:p>
    <w:p w14:paraId="24834470"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27.</w:t>
      </w:r>
      <w:r>
        <w:rPr>
          <w:rFonts w:cs="Times New Roman"/>
          <w:color w:val="000000"/>
          <w:kern w:val="0"/>
          <w:sz w:val="20"/>
          <w:szCs w:val="20"/>
        </w:rPr>
        <w:tab/>
      </w:r>
      <w:bookmarkStart w:id="43" w:name="_neb49E325C3_9F26_47C8_B004_0FEAB126979A"/>
      <w:r>
        <w:rPr>
          <w:rFonts w:cs="Times New Roman"/>
          <w:color w:val="000000"/>
          <w:kern w:val="0"/>
          <w:sz w:val="20"/>
          <w:szCs w:val="20"/>
        </w:rPr>
        <w:t>Zeng, M.</w:t>
      </w:r>
      <w:r>
        <w:rPr>
          <w:rFonts w:cs="Times New Roman"/>
          <w:i/>
          <w:iCs/>
          <w:color w:val="000000"/>
          <w:kern w:val="0"/>
          <w:sz w:val="20"/>
          <w:szCs w:val="20"/>
        </w:rPr>
        <w:t>, et al</w:t>
      </w:r>
      <w:r>
        <w:rPr>
          <w:rFonts w:cs="Times New Roman"/>
          <w:color w:val="000000"/>
          <w:kern w:val="0"/>
          <w:sz w:val="20"/>
          <w:szCs w:val="20"/>
        </w:rPr>
        <w:t xml:space="preserve">. Model-Based Analysis of the Long-Term Effects of Fertilization Management on Cropland Soil Acidification. </w:t>
      </w:r>
      <w:r>
        <w:rPr>
          <w:rFonts w:cs="Times New Roman"/>
          <w:i/>
          <w:iCs/>
          <w:color w:val="000000"/>
          <w:kern w:val="0"/>
          <w:sz w:val="20"/>
          <w:szCs w:val="20"/>
        </w:rPr>
        <w:t>Environ Sci Technol</w:t>
      </w:r>
      <w:r>
        <w:rPr>
          <w:rFonts w:cs="Times New Roman"/>
          <w:color w:val="000000"/>
          <w:kern w:val="0"/>
          <w:sz w:val="20"/>
          <w:szCs w:val="20"/>
        </w:rPr>
        <w:t xml:space="preserve"> </w:t>
      </w:r>
      <w:r>
        <w:rPr>
          <w:rFonts w:cs="Times New Roman"/>
          <w:b/>
          <w:bCs/>
          <w:color w:val="000000"/>
          <w:kern w:val="0"/>
          <w:sz w:val="20"/>
          <w:szCs w:val="20"/>
        </w:rPr>
        <w:t>51</w:t>
      </w:r>
      <w:r>
        <w:rPr>
          <w:rFonts w:cs="Times New Roman"/>
          <w:color w:val="000000"/>
          <w:kern w:val="0"/>
          <w:sz w:val="20"/>
          <w:szCs w:val="20"/>
        </w:rPr>
        <w:t>, 3843-3851 (2017).</w:t>
      </w:r>
      <w:bookmarkEnd w:id="43"/>
    </w:p>
    <w:p w14:paraId="5AE53DE0"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28.</w:t>
      </w:r>
      <w:r>
        <w:rPr>
          <w:rFonts w:cs="Times New Roman"/>
          <w:color w:val="000000"/>
          <w:kern w:val="0"/>
          <w:sz w:val="20"/>
          <w:szCs w:val="20"/>
        </w:rPr>
        <w:tab/>
      </w:r>
      <w:bookmarkStart w:id="44" w:name="_nebA2582521_1EF8_4B9B_99B3_79CD9C4439DF"/>
      <w:r>
        <w:rPr>
          <w:rFonts w:cs="Times New Roman"/>
          <w:color w:val="000000"/>
          <w:kern w:val="0"/>
          <w:sz w:val="20"/>
          <w:szCs w:val="20"/>
        </w:rPr>
        <w:t>Liu, X.J.</w:t>
      </w:r>
      <w:r>
        <w:rPr>
          <w:rFonts w:cs="Times New Roman"/>
          <w:i/>
          <w:iCs/>
          <w:color w:val="000000"/>
          <w:kern w:val="0"/>
          <w:sz w:val="20"/>
          <w:szCs w:val="20"/>
        </w:rPr>
        <w:t>, et al</w:t>
      </w:r>
      <w:r>
        <w:rPr>
          <w:rFonts w:cs="Times New Roman"/>
          <w:color w:val="000000"/>
          <w:kern w:val="0"/>
          <w:sz w:val="20"/>
          <w:szCs w:val="20"/>
        </w:rPr>
        <w:t xml:space="preserve">. Environmental impacts of nitrogen emissions in China and the role of policies in emission reduction. </w:t>
      </w:r>
      <w:r>
        <w:rPr>
          <w:rFonts w:cs="Times New Roman"/>
          <w:i/>
          <w:iCs/>
          <w:color w:val="000000"/>
          <w:kern w:val="0"/>
          <w:sz w:val="20"/>
          <w:szCs w:val="20"/>
        </w:rPr>
        <w:t>Philos Trans A Math Phys Eng Sci</w:t>
      </w:r>
      <w:r>
        <w:rPr>
          <w:rFonts w:cs="Times New Roman"/>
          <w:color w:val="000000"/>
          <w:kern w:val="0"/>
          <w:sz w:val="20"/>
          <w:szCs w:val="20"/>
        </w:rPr>
        <w:t xml:space="preserve"> </w:t>
      </w:r>
      <w:r>
        <w:rPr>
          <w:rFonts w:cs="Times New Roman"/>
          <w:b/>
          <w:bCs/>
          <w:color w:val="000000"/>
          <w:kern w:val="0"/>
          <w:sz w:val="20"/>
          <w:szCs w:val="20"/>
        </w:rPr>
        <w:t>378</w:t>
      </w:r>
      <w:r>
        <w:rPr>
          <w:rFonts w:cs="Times New Roman"/>
          <w:color w:val="000000"/>
          <w:kern w:val="0"/>
          <w:sz w:val="20"/>
          <w:szCs w:val="20"/>
        </w:rPr>
        <w:t>, 20190324 (2020).</w:t>
      </w:r>
      <w:bookmarkEnd w:id="44"/>
    </w:p>
    <w:p w14:paraId="27839544"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29.</w:t>
      </w:r>
      <w:r>
        <w:rPr>
          <w:rFonts w:cs="Times New Roman"/>
          <w:color w:val="000000"/>
          <w:kern w:val="0"/>
          <w:sz w:val="20"/>
          <w:szCs w:val="20"/>
        </w:rPr>
        <w:tab/>
      </w:r>
      <w:bookmarkStart w:id="45" w:name="_nebFC18DC7D_EA24_4E2B_A274_FAA56C9BEE80"/>
      <w:r>
        <w:rPr>
          <w:rFonts w:cs="Times New Roman"/>
          <w:color w:val="000000"/>
          <w:kern w:val="0"/>
          <w:sz w:val="20"/>
          <w:szCs w:val="20"/>
        </w:rPr>
        <w:t xml:space="preserve">Zhang, X., Ren, C., Gu, B. &amp; Chen, D. Uncertainty of nitrogen budget in China. </w:t>
      </w:r>
      <w:r>
        <w:rPr>
          <w:rFonts w:cs="Times New Roman"/>
          <w:i/>
          <w:iCs/>
          <w:color w:val="000000"/>
          <w:kern w:val="0"/>
          <w:sz w:val="20"/>
          <w:szCs w:val="20"/>
        </w:rPr>
        <w:t>Environ Pollut</w:t>
      </w:r>
      <w:r>
        <w:rPr>
          <w:rFonts w:cs="Times New Roman"/>
          <w:color w:val="000000"/>
          <w:kern w:val="0"/>
          <w:sz w:val="20"/>
          <w:szCs w:val="20"/>
        </w:rPr>
        <w:t xml:space="preserve"> </w:t>
      </w:r>
      <w:r>
        <w:rPr>
          <w:rFonts w:cs="Times New Roman"/>
          <w:b/>
          <w:bCs/>
          <w:color w:val="000000"/>
          <w:kern w:val="0"/>
          <w:sz w:val="20"/>
          <w:szCs w:val="20"/>
        </w:rPr>
        <w:t>286</w:t>
      </w:r>
      <w:r>
        <w:rPr>
          <w:rFonts w:cs="Times New Roman"/>
          <w:color w:val="000000"/>
          <w:kern w:val="0"/>
          <w:sz w:val="20"/>
          <w:szCs w:val="20"/>
        </w:rPr>
        <w:t>, 117216 (2021).</w:t>
      </w:r>
      <w:bookmarkEnd w:id="45"/>
    </w:p>
    <w:p w14:paraId="7E0211D7" w14:textId="77777777" w:rsidR="00E02FEC" w:rsidRDefault="00E02FEC" w:rsidP="00E02FEC">
      <w:pPr>
        <w:autoSpaceDE w:val="0"/>
        <w:autoSpaceDN w:val="0"/>
        <w:adjustRightInd w:val="0"/>
        <w:rPr>
          <w:rFonts w:cs="Times New Roman"/>
          <w:kern w:val="0"/>
          <w:sz w:val="24"/>
          <w:szCs w:val="24"/>
        </w:rPr>
      </w:pPr>
      <w:r>
        <w:rPr>
          <w:rFonts w:cs="Times New Roman"/>
          <w:color w:val="000000"/>
          <w:kern w:val="0"/>
          <w:sz w:val="20"/>
          <w:szCs w:val="20"/>
        </w:rPr>
        <w:t>30.</w:t>
      </w:r>
      <w:r>
        <w:rPr>
          <w:rFonts w:cs="Times New Roman"/>
          <w:color w:val="000000"/>
          <w:kern w:val="0"/>
          <w:sz w:val="20"/>
          <w:szCs w:val="20"/>
        </w:rPr>
        <w:tab/>
      </w:r>
      <w:bookmarkStart w:id="46" w:name="_nebED1E6C4D_E02F_4334_B24C_52915123F016"/>
      <w:r>
        <w:rPr>
          <w:rFonts w:cs="Times New Roman"/>
          <w:color w:val="000000"/>
          <w:kern w:val="0"/>
          <w:sz w:val="20"/>
          <w:szCs w:val="20"/>
        </w:rPr>
        <w:t>Zhou, F.</w:t>
      </w:r>
      <w:r>
        <w:rPr>
          <w:rFonts w:cs="Times New Roman"/>
          <w:i/>
          <w:iCs/>
          <w:color w:val="000000"/>
          <w:kern w:val="0"/>
          <w:sz w:val="20"/>
          <w:szCs w:val="20"/>
        </w:rPr>
        <w:t>, et al</w:t>
      </w:r>
      <w:r>
        <w:rPr>
          <w:rFonts w:cs="Times New Roman"/>
          <w:color w:val="000000"/>
          <w:kern w:val="0"/>
          <w:sz w:val="20"/>
          <w:szCs w:val="20"/>
        </w:rPr>
        <w:t xml:space="preserve">. Re-estimating NH3 Emissions from Chinese Cropland by a New Nonlinear Model. </w:t>
      </w:r>
      <w:r>
        <w:rPr>
          <w:rFonts w:cs="Times New Roman"/>
          <w:i/>
          <w:iCs/>
          <w:color w:val="000000"/>
          <w:kern w:val="0"/>
          <w:sz w:val="20"/>
          <w:szCs w:val="20"/>
        </w:rPr>
        <w:t>Environ Sci Technol</w:t>
      </w:r>
      <w:r>
        <w:rPr>
          <w:rFonts w:cs="Times New Roman"/>
          <w:color w:val="000000"/>
          <w:kern w:val="0"/>
          <w:sz w:val="20"/>
          <w:szCs w:val="20"/>
        </w:rPr>
        <w:t xml:space="preserve"> </w:t>
      </w:r>
      <w:r>
        <w:rPr>
          <w:rFonts w:cs="Times New Roman"/>
          <w:b/>
          <w:bCs/>
          <w:color w:val="000000"/>
          <w:kern w:val="0"/>
          <w:sz w:val="20"/>
          <w:szCs w:val="20"/>
        </w:rPr>
        <w:t>50</w:t>
      </w:r>
      <w:r>
        <w:rPr>
          <w:rFonts w:cs="Times New Roman"/>
          <w:color w:val="000000"/>
          <w:kern w:val="0"/>
          <w:sz w:val="20"/>
          <w:szCs w:val="20"/>
        </w:rPr>
        <w:t>, 564-572 (2015).</w:t>
      </w:r>
      <w:bookmarkEnd w:id="46"/>
    </w:p>
    <w:p w14:paraId="78E78A01" w14:textId="2B44A281" w:rsidR="00A12511" w:rsidRPr="00D16080" w:rsidRDefault="00E02FEC" w:rsidP="00D16080">
      <w:pPr>
        <w:autoSpaceDE w:val="0"/>
        <w:autoSpaceDN w:val="0"/>
        <w:adjustRightInd w:val="0"/>
        <w:jc w:val="left"/>
        <w:rPr>
          <w:rFonts w:cs="Times New Roman"/>
          <w:kern w:val="0"/>
          <w:sz w:val="24"/>
          <w:szCs w:val="24"/>
        </w:rPr>
      </w:pPr>
      <w:r>
        <w:rPr>
          <w:rFonts w:cs="Times New Roman"/>
          <w:kern w:val="0"/>
          <w:sz w:val="24"/>
          <w:szCs w:val="24"/>
        </w:rPr>
        <w:fldChar w:fldCharType="end"/>
      </w:r>
    </w:p>
    <w:sectPr w:rsidR="00A12511" w:rsidRPr="00D16080" w:rsidSect="005C1BC4">
      <w:pgSz w:w="11906" w:h="16838"/>
      <w:pgMar w:top="1440" w:right="17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77D35" w14:textId="77777777" w:rsidR="00814C0B" w:rsidRDefault="00814C0B" w:rsidP="007869E8">
      <w:r>
        <w:separator/>
      </w:r>
    </w:p>
  </w:endnote>
  <w:endnote w:type="continuationSeparator" w:id="0">
    <w:p w14:paraId="61C5E494" w14:textId="77777777" w:rsidR="00814C0B" w:rsidRDefault="00814C0B" w:rsidP="00786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5AA53" w14:textId="77777777" w:rsidR="00814C0B" w:rsidRDefault="00814C0B" w:rsidP="007869E8">
      <w:r>
        <w:separator/>
      </w:r>
    </w:p>
  </w:footnote>
  <w:footnote w:type="continuationSeparator" w:id="0">
    <w:p w14:paraId="34525438" w14:textId="77777777" w:rsidR="00814C0B" w:rsidRDefault="00814C0B" w:rsidP="007869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Ref{034A5B45-52EC-4A57-AF74-C00232698F08}" w:val=" ADDIN NE.Ref.{034A5B45-52EC-4A57-AF74-C00232698F08}&lt;Citation&gt;&lt;Group&gt;&lt;References&gt;&lt;Item&gt;&lt;ID&gt;1019&lt;/ID&gt;&lt;UID&gt;{C8B6D50E-DBD9-4033-AD25-187845B471B9}&lt;/UID&gt;&lt;Title&gt;High-resolution assessment of ammonia emissions in China: Inventories, driving forces and mitigation&lt;/Title&gt;&lt;Template&gt;Journal Article&lt;/Template&gt;&lt;Star&gt;0&lt;/Star&gt;&lt;Tag&gt;0&lt;/Tag&gt;&lt;Author&gt;Ma, Shiyi&lt;/Author&gt;&lt;Year&gt;2020&lt;/Year&gt;&lt;Details&gt;&lt;_accessed&gt;64251002&lt;/_accessed&gt;&lt;_collection_scope&gt;SCI;SCIE;EI&lt;/_collection_scope&gt;&lt;_created&gt;63333618&lt;/_created&gt;&lt;_db_updated&gt;CrossRef&lt;/_db_updated&gt;&lt;_doi&gt;10.1016/j.atmosenv.2020.117458&lt;/_doi&gt;&lt;_impact_factor&gt;   5.755&lt;/_impact_factor&gt;&lt;_isbn&gt;13522310&lt;/_isbn&gt;&lt;_journal&gt;Atmospheric Environment&lt;/_journal&gt;&lt;_modified&gt;64604658&lt;/_modified&gt;&lt;_pages&gt;117458&lt;/_pages&gt;&lt;_social_category&gt;环境科学与生态学(3)&lt;/_social_category&gt;&lt;_tertiary_title&gt;Atmospheric Environment&lt;/_tertiary_title&gt;&lt;_url&gt;https://linkinghub.elsevier.com/retrieve/pii/S1352231020301953_x000d__x000a_https://api.elsevier.com/content/article/PII:S1352231020301953?httpAccept=text/xml&lt;/_url&gt;&lt;_volume&gt;229&lt;/_volume&gt;&lt;/Details&gt;&lt;Extra&gt;&lt;DBUID&gt;{18AB8B06-4DB5-4401-9BEF-0F1052EF7853}&lt;/DBUID&gt;&lt;/Extra&gt;&lt;/Item&gt;&lt;/References&gt;&lt;/Group&gt;&lt;/Citation&gt;_x000a_"/>
    <w:docVar w:name="NE.Ref{084D0B2B-6A5B-402C-9801-EB3EBCC002D0}" w:val=" ADDIN NE.Ref.{084D0B2B-6A5B-402C-9801-EB3EBCC002D0}&lt;Citation&gt;&lt;Group&gt;&lt;References&gt;&lt;Item&gt;&lt;ID&gt;2025&lt;/ID&gt;&lt;UID&gt;{8B4AB54E-59D8-46A3-9900-98DC78072BF5}&lt;/UID&gt;&lt;Title&gt;High resolution temporal profiles in the Emissions Database for Global Atmospheric Research&lt;/Title&gt;&lt;Template&gt;Journal Article&lt;/Template&gt;&lt;Star&gt;0&lt;/Star&gt;&lt;Tag&gt;0&lt;/Tag&gt;&lt;Author&gt;Crippa, Monica; Solazzo, Efisio; Huang, Ganlin; Guizzardi, Diego; Koffi, Ernest; Muntean, Marilena; Schieberle, Christian; Friedrich, Rainer; Janssens-Maenhout, Greet&lt;/Author&gt;&lt;Year&gt;2020&lt;/Year&gt;&lt;Details&gt;&lt;_doi&gt;10.1038/s41597-020-0462-2&lt;/_doi&gt;&lt;_created&gt;64658036&lt;/_created&gt;&lt;_modified&gt;64658036&lt;/_modified&gt;&lt;_url&gt;https://www.nature.com/articles/s41597-020-0462-2_x000d__x000a_https://www.nature.com/articles/s41597-020-0462-2.pdf&lt;/_url&gt;&lt;_journal&gt;Scientific Data&lt;/_journal&gt;&lt;_volume&gt;7&lt;/_volume&gt;&lt;_issue&gt;1&lt;/_issue&gt;&lt;_tertiary_title&gt;Sci Data&lt;/_tertiary_title&gt;&lt;_date&gt;63267840&lt;/_date&gt;&lt;_isbn&gt;2052-4463&lt;/_isbn&gt;&lt;_accessed&gt;64658036&lt;/_accessed&gt;&lt;_db_updated&gt;CrossRef&lt;/_db_updated&gt;&lt;_impact_factor&gt;   8.501&lt;/_impact_factor&gt;&lt;_social_category&gt;综合性期刊(2)&lt;/_social_category&gt;&lt;_collection_scope&gt;SCIE&lt;/_collection_scope&gt;&lt;/Details&gt;&lt;Extra&gt;&lt;DBUID&gt;{18AB8B06-4DB5-4401-9BEF-0F1052EF7853}&lt;/DBUID&gt;&lt;/Extra&gt;&lt;/Item&gt;&lt;/References&gt;&lt;/Group&gt;&lt;/Citation&gt;_x000a_"/>
    <w:docVar w:name="NE.Ref{1E7626EA-47AA-420C-ADB2-EE86DC0AB9AB}" w:val=" ADDIN NE.Ref.{1E7626EA-47AA-420C-ADB2-EE86DC0AB9AB}&lt;Citation&gt;&lt;Group&gt;&lt;References&gt;&lt;Item&gt;&lt;ID&gt;1765&lt;/ID&gt;&lt;UID&gt;{8634FE77-B960-4C6E-9ABA-6FCE78FB3A01}&lt;/UID&gt;&lt;Title&gt;An empirical model to estimate ammonia emission from cropland fertilization in China&lt;/Title&gt;&lt;Template&gt;Journal Article&lt;/Template&gt;&lt;Star&gt;0&lt;/Star&gt;&lt;Tag&gt;0&lt;/Tag&gt;&lt;Author&gt;Wang, Chen; Cheng, Kun; Ren, Chenchen; Liu, Hongbin; Sun, Jianfei; Reis, Stefan; Yin, Shasha; Xu, Jianming; Gu, Baojing&lt;/Author&gt;&lt;Year&gt;2021&lt;/Year&gt;&lt;Details&gt;&lt;_accessed&gt;64557337&lt;/_accessed&gt;&lt;_collection_scope&gt;SCI;SCIE;EI&lt;/_collection_scope&gt;&lt;_created&gt;64010104&lt;/_created&gt;&lt;_db_updated&gt;CrossRef&lt;/_db_updated&gt;&lt;_doi&gt;10.1016/j.envpol.2021.117982&lt;/_doi&gt;&lt;_impact_factor&gt;   9.988&lt;/_impact_factor&gt;&lt;_isbn&gt;02697491&lt;/_isbn&gt;&lt;_journal&gt;Environmental Pollution&lt;/_journal&gt;&lt;_modified&gt;64617757&lt;/_modified&gt;&lt;_pages&gt;117982&lt;/_pages&gt;&lt;_social_category&gt;环境科学与生态学(2)&lt;/_social_category&gt;&lt;_tertiary_title&gt;Environmental Pollution&lt;/_tertiary_title&gt;&lt;_url&gt;https://linkinghub.elsevier.com/retrieve/pii/S0269749121015645_x000d__x000a_https://api.elsevier.com/content/article/PII:S0269749121015645?httpAccept=text/xml&lt;/_url&gt;&lt;_volume&gt;288&lt;/_volume&gt;&lt;/Details&gt;&lt;Extra&gt;&lt;DBUID&gt;{18AB8B06-4DB5-4401-9BEF-0F1052EF7853}&lt;/DBUID&gt;&lt;/Extra&gt;&lt;/Item&gt;&lt;/References&gt;&lt;/Group&gt;&lt;/Citation&gt;_x000a_"/>
    <w:docVar w:name="NE.Ref{21973AF1-9B3B-4373-97C8-A92828BA6A6D}" w:val=" ADDIN NE.Ref.{21973AF1-9B3B-4373-97C8-A92828BA6A6D}&lt;Citation&gt;&lt;Group&gt;&lt;References&gt;&lt;Item&gt;&lt;ID&gt;32&lt;/ID&gt;&lt;UID&gt;{58DE96DB-A0EE-478E-B2CA-34B9DA80F7DB}&lt;/UID&gt;&lt;Title&gt;An inventory of the emission of ammonia from agricultural fertilizer application in China for 2010 and its high-resolution spatial distribution&lt;/Title&gt;&lt;Template&gt;Journal Article&lt;/Template&gt;&lt;Star&gt;1&lt;/Star&gt;&lt;Tag&gt;0&lt;/Tag&gt;&lt;Author&gt;Xu, Peng; Zhang, Yisheng; Gong, Weiwei; Hou, Xikang; Kroeze, Carolien; Gao, Wei; Luan, Shengji&lt;/Author&gt;&lt;Year&gt;2015&lt;/Year&gt;&lt;Details&gt;&lt;_accessed&gt;63759917&lt;/_accessed&gt;&lt;_collection_scope&gt;SCI;SCIE;EI&lt;/_collection_scope&gt;&lt;_created&gt;63329257&lt;/_created&gt;&lt;_db_updated&gt;CrossRef&lt;/_db_updated&gt;&lt;_doi&gt;10.1016/j.atmosenv.2015.05.020&lt;/_doi&gt;&lt;_impact_factor&gt;   5.755&lt;/_impact_factor&gt;&lt;_isbn&gt;13522310&lt;/_isbn&gt;&lt;_journal&gt;Atmospheric Environment&lt;/_journal&gt;&lt;_modified&gt;64657981&lt;/_modified&gt;&lt;_pages&gt;141-148&lt;/_pages&gt;&lt;_social_category&gt;环境科学与生态学(3)&lt;/_social_category&gt;&lt;_tertiary_title&gt;Atmospheric Environment&lt;/_tertiary_title&gt;&lt;_url&gt;https://linkinghub.elsevier.com/retrieve/pii/S1352231015300935_x000d__x000a_https://api.elsevier.com/content/article/PII:S1352231015300935?httpAccept=text/xml&lt;/_url&gt;&lt;_volume&gt;115&lt;/_volume&gt;&lt;/Details&gt;&lt;Extra&gt;&lt;DBUID&gt;{18AB8B06-4DB5-4401-9BEF-0F1052EF7853}&lt;/DBUID&gt;&lt;/Extra&gt;&lt;/Item&gt;&lt;/References&gt;&lt;/Group&gt;&lt;Group&gt;&lt;References&gt;&lt;Item&gt;&lt;ID&gt;25&lt;/ID&gt;&lt;UID&gt;{54E8A3C9-264D-46EB-9EB1-7BDB33F7E868}&lt;/UID&gt;&lt;Title&gt;A high-resolution ammonia emission inventory in China&lt;/Title&gt;&lt;Template&gt;Journal Article&lt;/Template&gt;&lt;Star&gt;0&lt;/Star&gt;&lt;Tag&gt;0&lt;/Tag&gt;&lt;Author&gt;Huang, Xin; Song, Yu; Li, Mengmeng; Li, Jianfeng; Huo, Qing; Cai, Xuhui; Zhu, Tong; Hu, Min; Zhang, Hongsheng&lt;/Author&gt;&lt;Year&gt;2012&lt;/Year&gt;&lt;Details&gt;&lt;_accessed&gt;63952824&lt;/_accessed&gt;&lt;_collection_scope&gt;SCI;SCIE&lt;/_collection_scope&gt;&lt;_created&gt;63329257&lt;/_created&gt;&lt;_db_updated&gt;CrossRef&lt;/_db_updated&gt;&lt;_doi&gt;10.1029/2011GB004161&lt;/_doi&gt;&lt;_impact_factor&gt;   6.500&lt;/_impact_factor&gt;&lt;_issue&gt;1&lt;/_issue&gt;&lt;_journal&gt;Global Biogeochemical Cycles&lt;/_journal&gt;&lt;_modified&gt;63952820&lt;/_modified&gt;&lt;_pages&gt;n/a-n/a&lt;/_pages&gt;&lt;_tertiary_title&gt;Global Biogeochem. Cycles&lt;/_tertiary_title&gt;&lt;_url&gt;http://doi.wiley.com/10.1029/2011GB004161_x000d__x000a_http://www.agu.org/journals/gb/gb1201/2011GB004161/2011GB004161.pdf&lt;/_url&gt;&lt;_volume&gt;26&lt;/_volume&gt;&lt;_social_category&gt;地球科学(1)&lt;/_social_category&gt;&lt;/Details&gt;&lt;Extra&gt;&lt;DBUID&gt;{18AB8B06-4DB5-4401-9BEF-0F1052EF7853}&lt;/DBUID&gt;&lt;/Extra&gt;&lt;/Item&gt;&lt;/References&gt;&lt;/Group&gt;&lt;Group&gt;&lt;References&gt;&lt;Item&gt;&lt;ID&gt;1178&lt;/ID&gt;&lt;UID&gt;{B5DC42DF-4766-472B-A863-9532C803C73B}&lt;/UID&gt;&lt;Title&gt;High-resolution ammonia emissions inventories in China from 1980 to 2012&lt;/Title&gt;&lt;Template&gt;Journal Article&lt;/Template&gt;&lt;Star&gt;1&lt;/Star&gt;&lt;Tag&gt;0&lt;/Tag&gt;&lt;Author&gt;Kang, Yaning; Liu, Mingxu; Song, Yu; Huang, Xin; Yao, Huan; Cai, Xuhui; Zhang, Hongsheng; Kang, Ling; Liu, Xuejun; Yan, Xiaoyuan&lt;/Author&gt;&lt;Year&gt;2016&lt;/Year&gt;&lt;Details&gt;&lt;_accessed&gt;63453142&lt;/_accessed&gt;&lt;_collection_scope&gt;SCI;SCIE&lt;/_collection_scope&gt;&lt;_created&gt;63360930&lt;/_created&gt;&lt;_impact_factor&gt;   7.197&lt;/_impact_factor&gt;&lt;_isbn&gt;1680-7316&lt;/_isbn&gt;&lt;_issue&gt;4&lt;/_issue&gt;&lt;_journal&gt;Atmospheric Chemistry and Physics&lt;/_journal&gt;&lt;_modified&gt;64657972&lt;/_modified&gt;&lt;_pages&gt;2043&lt;/_pages&gt;&lt;_volume&gt;16&lt;/_volume&gt;&lt;_social_category&gt;地球科学(1)&lt;/_social_category&gt;&lt;/Details&gt;&lt;Extra&gt;&lt;DBUID&gt;{18AB8B06-4DB5-4401-9BEF-0F1052EF7853}&lt;/DBUID&gt;&lt;/Extra&gt;&lt;/Item&gt;&lt;/References&gt;&lt;/Group&gt;&lt;/Citation&gt;_x000a_"/>
    <w:docVar w:name="NE.Ref{27AA59A0-52BC-4751-A65F-E1C157602AA4}" w:val=" ADDIN NE.Ref.{27AA59A0-52BC-4751-A65F-E1C157602AA4}&lt;Citation&gt;&lt;Group&gt;&lt;References&gt;&lt;Item&gt;&lt;ID&gt;32&lt;/ID&gt;&lt;UID&gt;{58DE96DB-A0EE-478E-B2CA-34B9DA80F7DB}&lt;/UID&gt;&lt;Title&gt;An inventory of the emission of ammonia from agricultural fertilizer application in China for 2010 and its high-resolution spatial distribution&lt;/Title&gt;&lt;Template&gt;Journal Article&lt;/Template&gt;&lt;Star&gt;1&lt;/Star&gt;&lt;Tag&gt;0&lt;/Tag&gt;&lt;Author&gt;Xu, Peng; Zhang, Yisheng; Gong, Weiwei; Hou, Xikang; Kroeze, Carolien; Gao, Wei; Luan, Shengji&lt;/Author&gt;&lt;Year&gt;2015&lt;/Year&gt;&lt;Details&gt;&lt;_accessed&gt;63759917&lt;/_accessed&gt;&lt;_collection_scope&gt;SCI;SCIE;EI&lt;/_collection_scope&gt;&lt;_created&gt;63329257&lt;/_created&gt;&lt;_db_updated&gt;CrossRef&lt;/_db_updated&gt;&lt;_doi&gt;10.1016/j.atmosenv.2015.05.020&lt;/_doi&gt;&lt;_impact_factor&gt;   5.755&lt;/_impact_factor&gt;&lt;_isbn&gt;13522310&lt;/_isbn&gt;&lt;_journal&gt;Atmospheric Environment&lt;/_journal&gt;&lt;_modified&gt;64657981&lt;/_modified&gt;&lt;_pages&gt;141-148&lt;/_pages&gt;&lt;_social_category&gt;环境科学与生态学(3)&lt;/_social_category&gt;&lt;_tertiary_title&gt;Atmospheric Environment&lt;/_tertiary_title&gt;&lt;_url&gt;https://linkinghub.elsevier.com/retrieve/pii/S1352231015300935_x000d__x000a_https://api.elsevier.com/content/article/PII:S1352231015300935?httpAccept=text/xml&lt;/_url&gt;&lt;_volume&gt;115&lt;/_volume&gt;&lt;/Details&gt;&lt;Extra&gt;&lt;DBUID&gt;{18AB8B06-4DB5-4401-9BEF-0F1052EF7853}&lt;/DBUID&gt;&lt;/Extra&gt;&lt;/Item&gt;&lt;/References&gt;&lt;/Group&gt;&lt;/Citation&gt;_x000a_"/>
    <w:docVar w:name="NE.Ref{2C0BC511-A464-4219-93CC-ED890DD09D5C}" w:val=" ADDIN NE.Ref.{2C0BC511-A464-4219-93CC-ED890DD09D5C}&lt;Citation&gt;&lt;Group&gt;&lt;References&gt;&lt;Item&gt;&lt;ID&gt;792&lt;/ID&gt;&lt;UID&gt;{A5E4F1F2-EBAA-4C3F-83A9-C99A32B1A0FD}&lt;/UID&gt;&lt;Title&gt;Agricultural ammonia emissions in China: reconciling bottom-up and top-down estimates&lt;/Title&gt;&lt;Template&gt;Journal Article&lt;/Template&gt;&lt;Star&gt;1&lt;/Star&gt;&lt;Tag&gt;0&lt;/Tag&gt;&lt;Author&gt;Zhang, Lin; Chen, Youfan; Zhao, Yuanhong; Henze, Daven K; Zhu, Liye; Song, Yu; Paulot, Fabien; Liu, Xuejun; Pan, Yuepeng; Lin, Yi; Huang, Binxiang&lt;/Author&gt;&lt;Year&gt;2018&lt;/Year&gt;&lt;Details&gt;&lt;_accessed&gt;63329608&lt;/_accessed&gt;&lt;_collection_scope&gt;SCI;SCIE&lt;/_collection_scope&gt;&lt;_created&gt;63329608&lt;/_created&gt;&lt;_date&gt;62078400&lt;/_date&gt;&lt;_db_updated&gt;CrossRef&lt;/_db_updated&gt;&lt;_doi&gt;10.5194/acp-18-339-2018&lt;/_doi&gt;&lt;_impact_factor&gt;   7.197&lt;/_impact_factor&gt;&lt;_isbn&gt;1680-7324&lt;/_isbn&gt;&lt;_issue&gt;1&lt;/_issue&gt;&lt;_journal&gt;Atmospheric Chemistry and Physics&lt;/_journal&gt;&lt;_modified&gt;64657972&lt;/_modified&gt;&lt;_pages&gt;339-355&lt;/_pages&gt;&lt;_tertiary_title&gt;Atmos. Chem. Phys.&lt;/_tertiary_title&gt;&lt;_url&gt;https://www.atmos-chem-phys.net/18/339/2018/_x000d__x000a_https://www.atmos-chem-phys.net/18/339/2018/acp-18-339-2018.pdf&lt;/_url&gt;&lt;_volume&gt;18&lt;/_volume&gt;&lt;_social_category&gt;地球科学(1)&lt;/_social_category&gt;&lt;/Details&gt;&lt;Extra&gt;&lt;DBUID&gt;{18AB8B06-4DB5-4401-9BEF-0F1052EF7853}&lt;/DBUID&gt;&lt;/Extra&gt;&lt;/Item&gt;&lt;/References&gt;&lt;/Group&gt;&lt;/Citation&gt;_x000a_"/>
    <w:docVar w:name="NE.Ref{2FC3B726-3B4C-4DA8-9019-D84108001C3B}" w:val=" ADDIN NE.Ref.{2FC3B726-3B4C-4DA8-9019-D84108001C3B}&lt;Citation&gt;&lt;Group&gt;&lt;References&gt;&lt;Item&gt;&lt;ID&gt;1852&lt;/ID&gt;&lt;UID&gt;{FE119C34-4627-47ED-8045-17CA3A00F5C4}&lt;/UID&gt;&lt;Title&gt;Rapid Increase in China’s Industrial Ammonia Emissions: Evidence from Unit-Based Mapping&lt;/Title&gt;&lt;Template&gt;Journal Article&lt;/Template&gt;&lt;Star&gt;1&lt;/Star&gt;&lt;Tag&gt;0&lt;/Tag&gt;&lt;Author&gt;Chen, Yuang; Zhang, Qianru; Cai, Xingrui; Zhang, Haoran; Lin, Huiming; Zheng, Chaoyue; Guo, Zhanqiang; Hu, Shanying; Chen, Long; Tao, Shu; Liu, Maodian; Wang, Xuejun&lt;/Author&gt;&lt;Year&gt;2022&lt;/Year&gt;&lt;Details&gt;&lt;_accessed&gt;64231858&lt;/_accessed&gt;&lt;_collection_scope&gt;SCI;SCIE;EI&lt;/_collection_scope&gt;&lt;_created&gt;64231858&lt;/_created&gt;&lt;_date&gt;64212480&lt;/_date&gt;&lt;_db_updated&gt;CrossRef&lt;/_db_updated&gt;&lt;_doi&gt;10.1021/acs.est.1c08369&lt;/_doi&gt;&lt;_impact_factor&gt;  11.357&lt;/_impact_factor&gt;&lt;_isbn&gt;0013-936X&lt;/_isbn&gt;&lt;_journal&gt;Environmental Science &amp;amp; Technology&lt;/_journal&gt;&lt;_modified&gt;64656625&lt;/_modified&gt;&lt;_social_category&gt;环境科学与生态学(1)&lt;/_social_category&gt;&lt;_tertiary_title&gt;Environ. Sci. Technol.&lt;/_tertiary_title&gt;&lt;_url&gt;https://pubs.acs.org/doi/10.1021/acs.est.1c08369_x000d__x000a_https://pubs.acs.org/doi/pdf/10.1021/acs.est.1c08369&lt;/_url&gt;&lt;/Details&gt;&lt;Extra&gt;&lt;DBUID&gt;{18AB8B06-4DB5-4401-9BEF-0F1052EF7853}&lt;/DBUID&gt;&lt;/Extra&gt;&lt;/Item&gt;&lt;/References&gt;&lt;/Group&gt;&lt;Group&gt;&lt;References&gt;&lt;Item&gt;&lt;ID&gt;939&lt;/ID&gt;&lt;UID&gt;{1655EC53-03AB-41B9-8A0D-CBD512AAB6F3}&lt;/UID&gt;&lt;Title&gt;Trends in ammonia emissions from light-duty gasoline vehicles in China, 1999–2017&lt;/Title&gt;&lt;Template&gt;Journal Article&lt;/Template&gt;&lt;Star&gt;0&lt;/Star&gt;&lt;Tag&gt;0&lt;/Tag&gt;&lt;Author&gt;Li, Shengyue; Lang, Jianlei; Zhou, Ying; Liang, Xiaoyu; Chen, Dongsheng; Wei, Peng&lt;/Author&gt;&lt;Year&gt;2020&lt;/Year&gt;&lt;Details&gt;&lt;_accessed&gt;63330409&lt;/_accessed&gt;&lt;_collection_scope&gt;SCI;SCIE;EI&lt;/_collection_scope&gt;&lt;_created&gt;63330409&lt;/_created&gt;&lt;_db_updated&gt;CrossRef&lt;/_db_updated&gt;&lt;_doi&gt;10.1016/j.scitotenv.2019.134359&lt;/_doi&gt;&lt;_impact_factor&gt;  10.753&lt;/_impact_factor&gt;&lt;_isbn&gt;00489697&lt;/_isbn&gt;&lt;_journal&gt;Science of The Total Environment&lt;/_journal&gt;&lt;_modified&gt;64654053&lt;/_modified&gt;&lt;_pages&gt;134359&lt;/_pages&gt;&lt;_social_category&gt;环境科学与生态学(2)&lt;/_social_category&gt;&lt;_tertiary_title&gt;Science of The Total Environment&lt;/_tertiary_title&gt;&lt;_url&gt;https://linkinghub.elsevier.com/retrieve/pii/S0048969719343505_x000d__x000a_https://api.elsevier.com/content/article/PII:S0048969719343505?httpAccept=text/xml&lt;/_url&gt;&lt;_volume&gt;700&lt;/_volume&gt;&lt;/Details&gt;&lt;Extra&gt;&lt;DBUID&gt;{18AB8B06-4DB5-4401-9BEF-0F1052EF7853}&lt;/DBUID&gt;&lt;/Extra&gt;&lt;/Item&gt;&lt;/References&gt;&lt;/Group&gt;&lt;Group&gt;&lt;References&gt;&lt;Item&gt;&lt;ID&gt;2013&lt;/ID&gt;&lt;UID&gt;{725DAF71-AFCB-4887-A80C-1A2291668B31}&lt;/UID&gt;&lt;Title&gt;Underestimated Ammonia Emissions from Road Vehicles&lt;/Title&gt;&lt;Template&gt;Journal Article&lt;/Template&gt;&lt;Star&gt;1&lt;/Star&gt;&lt;Tag&gt;0&lt;/Tag&gt;&lt;Author&gt;Farren, Naomi J; Davison, Jack; Rose, Rebecca A; Wagner, Rebecca L; Carslaw, David C&lt;/Author&gt;&lt;Year&gt;2020&lt;/Year&gt;&lt;Details&gt;&lt;_accessed&gt;64654053&lt;/_accessed&gt;&lt;_collection_scope&gt;SCIE;EI&lt;/_collection_scope&gt;&lt;_created&gt;64654053&lt;/_created&gt;&lt;_date&gt;63616320&lt;/_date&gt;&lt;_db_updated&gt;CrossRef&lt;/_db_updated&gt;&lt;_doi&gt;10.1021/acs.est.0c05839&lt;/_doi&gt;&lt;_impact_factor&gt;  11.357&lt;/_impact_factor&gt;&lt;_isbn&gt;0013-936X&lt;/_isbn&gt;&lt;_issue&gt;24&lt;/_issue&gt;&lt;_journal&gt;Environmental Science &amp;amp; Technology&lt;/_journal&gt;&lt;_modified&gt;64656625&lt;/_modified&gt;&lt;_pages&gt;15689-15697&lt;/_pages&gt;&lt;_social_category&gt;环境科学与生态学(1)&lt;/_social_category&gt;&lt;_tertiary_title&gt;Environ. Sci. Technol.&lt;/_tertiary_title&gt;&lt;_url&gt;https://pubs.acs.org/doi/10.1021/acs.est.0c05839_x000d__x000a_https://pubs.acs.org/doi/pdf/10.1021/acs.est.0c05839&lt;/_url&gt;&lt;_volume&gt;54&lt;/_volume&gt;&lt;/Details&gt;&lt;Extra&gt;&lt;DBUID&gt;{18AB8B06-4DB5-4401-9BEF-0F1052EF7853}&lt;/DBUID&gt;&lt;/Extra&gt;&lt;/Item&gt;&lt;/References&gt;&lt;/Group&gt;&lt;Group&gt;&lt;References&gt;&lt;Item&gt;&lt;ID&gt;2021&lt;/ID&gt;&lt;UID&gt;{53184CFF-3F08-4F5C-B93B-3C175CEA1599}&lt;/UID&gt;&lt;Title&gt;Vehicle Emissions as an Important Urban Ammonia Source in the United States and China&lt;/Title&gt;&lt;Template&gt;Journal Article&lt;/Template&gt;&lt;Star&gt;1&lt;/Star&gt;&lt;Tag&gt;0&lt;/Tag&gt;&lt;Author&gt;Sun, Kang; Tao, Lei; Miller, David J; Pan, Da; Golston, Levi M; Zondlo, Mark A; Griffin, Robert J; Wallace, H W; Leong, Yu Jun; Yang, M Melissa; Zhang, Yan; Mauzerall, Denise L; Zhu, Tong&lt;/Author&gt;&lt;Year&gt;2017&lt;/Year&gt;&lt;Details&gt;&lt;_accessed&gt;64656625&lt;/_accessed&gt;&lt;_collection_scope&gt;SCIE;EI&lt;/_collection_scope&gt;&lt;_created&gt;64656625&lt;/_created&gt;&lt;_date&gt;61610400&lt;/_date&gt;&lt;_db_updated&gt;CrossRef&lt;/_db_updated&gt;&lt;_doi&gt;10.1021/acs.est.6b02805&lt;/_doi&gt;&lt;_impact_factor&gt;  11.357&lt;/_impact_factor&gt;&lt;_isbn&gt;0013-936X&lt;/_isbn&gt;&lt;_issue&gt;4&lt;/_issue&gt;&lt;_journal&gt;Environmental Science &amp;amp; Technology&lt;/_journal&gt;&lt;_modified&gt;64656625&lt;/_modified&gt;&lt;_pages&gt;2472-2481&lt;/_pages&gt;&lt;_social_category&gt;环境科学与生态学(1)&lt;/_social_category&gt;&lt;_tertiary_title&gt;Environ. Sci. Technol.&lt;/_tertiary_title&gt;&lt;_url&gt;https://pubs.acs.org/doi/10.1021/acs.est.6b02805_x000d__x000a_https://pubs.acs.org/doi/pdf/10.1021/acs.est.6b02805&lt;/_url&gt;&lt;_volume&gt;51&lt;/_volume&gt;&lt;/Details&gt;&lt;Extra&gt;&lt;DBUID&gt;{18AB8B06-4DB5-4401-9BEF-0F1052EF7853}&lt;/DBUID&gt;&lt;/Extra&gt;&lt;/Item&gt;&lt;/References&gt;&lt;/Group&gt;&lt;/Citation&gt;_x000a_"/>
    <w:docVar w:name="NE.Ref{3AB36D76-DE12-413D-905B-257EE2BED06E}" w:val=" ADDIN NE.Ref.{3AB36D76-DE12-413D-905B-257EE2BED06E}&lt;Citation&gt;&lt;Group&gt;&lt;References&gt;&lt;Item&gt;&lt;ID&gt;1336&lt;/ID&gt;&lt;UID&gt;{B7BBFFC3-C876-4CE4-B339-4EAEED118898}&lt;/UID&gt;&lt;Title&gt;Societal benefits of halving agricultural ammonia emissions in China far exceed the abatement costs&lt;/Title&gt;&lt;Template&gt;Journal Article&lt;/Template&gt;&lt;Star&gt;0&lt;/Star&gt;&lt;Tag&gt;0&lt;/Tag&gt;&lt;Author&gt;Zhang, Xiuming; Gu, Baojing; van Grinsven, Hans; Lam, Shu Kee; Liang, Xia; Bai, Mei; Chen, Deli&lt;/Author&gt;&lt;Year&gt;2020&lt;/Year&gt;&lt;Details&gt;&lt;_accessed&gt;64534809&lt;/_accessed&gt;&lt;_collection_scope&gt;SCI;SCIE&lt;/_collection_scope&gt;&lt;_created&gt;63465705&lt;/_created&gt;&lt;_db_updated&gt;CrossRef&lt;/_db_updated&gt;&lt;_doi&gt;10.1038/s41467-020-18196-z&lt;/_doi&gt;&lt;_impact_factor&gt;  17.694&lt;/_impact_factor&gt;&lt;_isbn&gt;2041-1723&lt;/_isbn&gt;&lt;_issue&gt;1&lt;/_issue&gt;&lt;_journal&gt;Nature Communications&lt;/_journal&gt;&lt;_modified&gt;64654040&lt;/_modified&gt;&lt;_social_category&gt;综合性期刊(1)&lt;/_social_category&gt;&lt;_tertiary_title&gt;Nat Commun&lt;/_tertiary_title&gt;&lt;_url&gt;http://www.nature.com/articles/s41467-020-18196-z_x000d__x000a_http://www.nature.com/articles/s41467-020-18196-z.pdf&lt;/_url&gt;&lt;_volume&gt;11&lt;/_volume&gt;&lt;/Details&gt;&lt;Extra&gt;&lt;DBUID&gt;{18AB8B06-4DB5-4401-9BEF-0F1052EF7853}&lt;/DBUID&gt;&lt;/Extra&gt;&lt;/Item&gt;&lt;/References&gt;&lt;/Group&gt;&lt;/Citation&gt;_x000a_"/>
    <w:docVar w:name="NE.Ref{3E15146E-18D6-41B3-BD90-7C4BD0FDDBE5}" w:val=" ADDIN NE.Ref.{3E15146E-18D6-41B3-BD90-7C4BD0FDDBE5}&lt;Citation&gt;&lt;Group&gt;&lt;References&gt;&lt;Item&gt;&lt;ID&gt;1906&lt;/ID&gt;&lt;UID&gt;{49E325C3-9F26-47C8-B004-0FEAB126979A}&lt;/UID&gt;&lt;Title&gt;Model-Based Analysis of the Long-Term Effects of Fertilization Management on Cropland Soil Acidification&lt;/Title&gt;&lt;Template&gt;Journal Article&lt;/Template&gt;&lt;Star&gt;0&lt;/Star&gt;&lt;Tag&gt;0&lt;/Tag&gt;&lt;Author&gt;Zeng, Mufan; de Vries, Wim; Bonten, Luc T C; Zhu, Qichao; Hao, Tianxiang; Liu, Xuejun; Xu, Minggang; Shi, Xiaojun; Zhang, Fusuo; Shen, Jianbo&lt;/Author&gt;&lt;Year&gt;2017&lt;/Year&gt;&lt;Details&gt;&lt;_accessed&gt;64365641&lt;/_accessed&gt;&lt;_collection_scope&gt;SCI;SCIE;EI&lt;/_collection_scope&gt;&lt;_created&gt;64365641&lt;/_created&gt;&lt;_date&gt;61670880&lt;/_date&gt;&lt;_db_updated&gt;CrossRef&lt;/_db_updated&gt;&lt;_doi&gt;10.1021/acs.est.6b05491&lt;/_doi&gt;&lt;_impact_factor&gt;  11.357&lt;/_impact_factor&gt;&lt;_isbn&gt;0013-936X&lt;/_isbn&gt;&lt;_issue&gt;7&lt;/_issue&gt;&lt;_journal&gt;Environmental Science &amp;amp; Technology&lt;/_journal&gt;&lt;_modified&gt;64655512&lt;/_modified&gt;&lt;_pages&gt;3843-3851&lt;/_pages&gt;&lt;_social_category&gt;环境科学与生态学(1)&lt;/_social_category&gt;&lt;_tertiary_title&gt;Environ. Sci. Technol.&lt;/_tertiary_title&gt;&lt;_url&gt;https://pubs.acs.org/doi/10.1021/acs.est.6b05491_x000d__x000a_https://pubs.acs.org/doi/pdf/10.1021/acs.est.6b05491&lt;/_url&gt;&lt;_volume&gt;51&lt;/_volume&gt;&lt;/Details&gt;&lt;Extra&gt;&lt;DBUID&gt;{18AB8B06-4DB5-4401-9BEF-0F1052EF7853}&lt;/DBUID&gt;&lt;/Extra&gt;&lt;/Item&gt;&lt;/References&gt;&lt;/Group&gt;&lt;/Citation&gt;_x000a_"/>
    <w:docVar w:name="NE.Ref{3EBBC5C6-2608-42A5-8223-646059E0A1FC}" w:val=" ADDIN NE.Ref.{3EBBC5C6-2608-42A5-8223-646059E0A1FC}&lt;Citation&gt;&lt;Group&gt;&lt;References&gt;&lt;Item&gt;&lt;ID&gt;158&lt;/ID&gt;&lt;UID&gt;{BB58BF4B-8A48-4080-ACE3-A74AC0B8B17E}&lt;/UID&gt;&lt;Title&gt;Ammonia Emissions May Be Substantially Underestimated in China&lt;/Title&gt;&lt;Template&gt;Journal Article&lt;/Template&gt;&lt;Star&gt;0&lt;/Star&gt;&lt;Tag&gt;0&lt;/Tag&gt;&lt;Author&gt;Zhang, Xiuming; Wu, Yiyun; Liu, Xuejun; Reis, Stefan; Jin, Jiaxin; Dragosits, Ulrike; Van Damme, Martin; Clarisse, Lieven; Whitburn, Simon; Coheur, Pierre-François; Gu, Baojing&lt;/Author&gt;&lt;Year&gt;2017&lt;/Year&gt;&lt;Details&gt;&lt;_accessed&gt;63453371&lt;/_accessed&gt;&lt;_collection_scope&gt;SCI;SCIE;EI&lt;/_collection_scope&gt;&lt;_created&gt;63329265&lt;/_created&gt;&lt;_date&gt;61983360&lt;/_date&gt;&lt;_db_updated&gt;CrossRef&lt;/_db_updated&gt;&lt;_doi&gt;10.1021/acs.est.7b02171&lt;/_doi&gt;&lt;_impact_factor&gt;  11.357&lt;/_impact_factor&gt;&lt;_isbn&gt;0013-936X&lt;/_isbn&gt;&lt;_issue&gt;21&lt;/_issue&gt;&lt;_journal&gt;Environmental Science &amp;amp; Technology&lt;/_journal&gt;&lt;_modified&gt;64617759&lt;/_modified&gt;&lt;_pages&gt;12089-12096&lt;/_pages&gt;&lt;_social_category&gt;环境科学与生态学(1)&lt;/_social_category&gt;&lt;_tertiary_title&gt;Environ. Sci. Technol.&lt;/_tertiary_title&gt;&lt;_url&gt;https://pubs.acs.org/doi/10.1021/acs.est.7b02171_x000d__x000a_https://pubs.acs.org/doi/pdf/10.1021/acs.est.7b02171&lt;/_url&gt;&lt;_volume&gt;51&lt;/_volume&gt;&lt;/Details&gt;&lt;Extra&gt;&lt;DBUID&gt;{18AB8B06-4DB5-4401-9BEF-0F1052EF7853}&lt;/DBUID&gt;&lt;/Extra&gt;&lt;/Item&gt;&lt;/References&gt;&lt;/Group&gt;&lt;Group&gt;&lt;References&gt;&lt;Item&gt;&lt;ID&gt;1623&lt;/ID&gt;&lt;UID&gt;{FC18DC7D-EA24-4E2B-A274-FAA56C9BEE80}&lt;/UID&gt;&lt;Title&gt;Uncertainty of nitrogen budget in China&lt;/Title&gt;&lt;Template&gt;Journal Article&lt;/Template&gt;&lt;Star&gt;0&lt;/Star&gt;&lt;Tag&gt;0&lt;/Tag&gt;&lt;Author&gt;Zhang, Xiuming; Ren, Chenchen; Gu, Baojing; Chen, Deli&lt;/Author&gt;&lt;Year&gt;2021&lt;/Year&gt;&lt;Details&gt;&lt;_accessed&gt;64155489&lt;/_accessed&gt;&lt;_collection_scope&gt;SCI;SCIE;EI&lt;/_collection_scope&gt;&lt;_created&gt;63828588&lt;/_created&gt;&lt;_db_updated&gt;CrossRef&lt;/_db_updated&gt;&lt;_doi&gt;10.1016/j.envpol.2021.117216&lt;/_doi&gt;&lt;_impact_factor&gt;   9.988&lt;/_impact_factor&gt;&lt;_isbn&gt;02697491&lt;/_isbn&gt;&lt;_journal&gt;Environmental Pollution&lt;/_journal&gt;&lt;_modified&gt;64603325&lt;/_modified&gt;&lt;_pages&gt;117216&lt;/_pages&gt;&lt;_social_category&gt;环境科学与生态学(2)&lt;/_social_category&gt;&lt;_tertiary_title&gt;Environmental Pollution&lt;/_tertiary_title&gt;&lt;_url&gt;https://linkinghub.elsevier.com/retrieve/pii/S0269749121007983_x000d__x000a_https://api.elsevier.com/content/article/PII:S0269749121007983?httpAccept=text/xml&lt;/_url&gt;&lt;_volume&gt;286&lt;/_volume&gt;&lt;/Details&gt;&lt;Extra&gt;&lt;DBUID&gt;{18AB8B06-4DB5-4401-9BEF-0F1052EF7853}&lt;/DBUID&gt;&lt;/Extra&gt;&lt;/Item&gt;&lt;/References&gt;&lt;/Group&gt;&lt;Group&gt;&lt;References&gt;&lt;Item&gt;&lt;ID&gt;1765&lt;/ID&gt;&lt;UID&gt;{8634FE77-B960-4C6E-9ABA-6FCE78FB3A01}&lt;/UID&gt;&lt;Title&gt;An empirical model to estimate ammonia emission from cropland fertilization in China&lt;/Title&gt;&lt;Template&gt;Journal Article&lt;/Template&gt;&lt;Star&gt;0&lt;/Star&gt;&lt;Tag&gt;0&lt;/Tag&gt;&lt;Author&gt;Wang, Chen; Cheng, Kun; Ren, Chenchen; Liu, Hongbin; Sun, Jianfei; Reis, Stefan; Yin, Shasha; Xu, Jianming; Gu, Baojing&lt;/Author&gt;&lt;Year&gt;2021&lt;/Year&gt;&lt;Details&gt;&lt;_accessed&gt;64557337&lt;/_accessed&gt;&lt;_collection_scope&gt;SCI;SCIE;EI&lt;/_collection_scope&gt;&lt;_created&gt;64010104&lt;/_created&gt;&lt;_db_updated&gt;CrossRef&lt;/_db_updated&gt;&lt;_doi&gt;10.1016/j.envpol.2021.117982&lt;/_doi&gt;&lt;_impact_factor&gt;   9.988&lt;/_impact_factor&gt;&lt;_isbn&gt;02697491&lt;/_isbn&gt;&lt;_journal&gt;Environmental Pollution&lt;/_journal&gt;&lt;_modified&gt;64617757&lt;/_modified&gt;&lt;_pages&gt;117982&lt;/_pages&gt;&lt;_social_category&gt;环境科学与生态学(2)&lt;/_social_category&gt;&lt;_tertiary_title&gt;Environmental Pollution&lt;/_tertiary_title&gt;&lt;_url&gt;https://linkinghub.elsevier.com/retrieve/pii/S0269749121015645_x000d__x000a_https://api.elsevier.com/content/article/PII:S0269749121015645?httpAccept=text/xml&lt;/_url&gt;&lt;_volume&gt;288&lt;/_volume&gt;&lt;/Details&gt;&lt;Extra&gt;&lt;DBUID&gt;{18AB8B06-4DB5-4401-9BEF-0F1052EF7853}&lt;/DBUID&gt;&lt;/Extra&gt;&lt;/Item&gt;&lt;/References&gt;&lt;/Group&gt;&lt;Group&gt;&lt;References&gt;&lt;Item&gt;&lt;ID&gt;1110&lt;/ID&gt;&lt;UID&gt;{ED1E6C4D-E02F-4334-B24C-52915123F016}&lt;/UID&gt;&lt;Title&gt;Re-estimating NH3 Emissions from Chinese Cropland by a New Nonlinear Model&lt;/Title&gt;&lt;Template&gt;Journal Article&lt;/Template&gt;&lt;Star&gt;0&lt;/Star&gt;&lt;Tag&gt;0&lt;/Tag&gt;&lt;Author&gt;Zhou, Feng; Ciais, Philippe; Hayashi, Kentaro; Galloway, James; Kim, Dong-Gill; Yang, Changliang; Li, Shiyu; Liu, Bin; Shang, Ziyin; Gao, Shuoshuo&lt;/Author&gt;&lt;Year&gt;2015&lt;/Year&gt;&lt;Details&gt;&lt;_accessed&gt;63346752&lt;/_accessed&gt;&lt;_collection_scope&gt;SCI;SCIE;EI&lt;/_collection_scope&gt;&lt;_created&gt;63346751&lt;/_created&gt;&lt;_date&gt;61035840&lt;/_date&gt;&lt;_db_updated&gt;CrossRef&lt;/_db_updated&gt;&lt;_doi&gt;10.1021/acs.est.5b03156&lt;/_doi&gt;&lt;_impact_factor&gt;  11.357&lt;/_impact_factor&gt;&lt;_isbn&gt;0013-936X&lt;/_isbn&gt;&lt;_issue&gt;2&lt;/_issue&gt;&lt;_journal&gt;Environmental Science &amp;amp; Technology&lt;/_journal&gt;&lt;_modified&gt;63950234&lt;/_modified&gt;&lt;_pages&gt;564-572&lt;/_pages&gt;&lt;_tertiary_title&gt;Environ. Sci. Technol.&lt;/_tertiary_title&gt;&lt;_url&gt;https://pubs.acs.org/doi/10.1021/acs.est.5b03156_x000d__x000a_https://pubs.acs.org/doi/pdf/10.1021/acs.est.5b03156&lt;/_url&gt;&lt;_volume&gt;50&lt;/_volume&gt;&lt;_social_category&gt;环境科学与生态学(1)&lt;/_social_category&gt;&lt;/Details&gt;&lt;Extra&gt;&lt;DBUID&gt;{18AB8B06-4DB5-4401-9BEF-0F1052EF7853}&lt;/DBUID&gt;&lt;/Extra&gt;&lt;/Item&gt;&lt;/References&gt;&lt;/Group&gt;&lt;/Citation&gt;_x000a_"/>
    <w:docVar w:name="NE.Ref{40896F96-08CE-49CB-8054-86F415F9D9EB}" w:val=" ADDIN NE.Ref.{40896F96-08CE-49CB-8054-86F415F9D9EB}&lt;Citation&gt;&lt;Group&gt;&lt;References&gt;&lt;Item&gt;&lt;ID&gt;1982&lt;/ID&gt;&lt;UID&gt;{B8D9C600-7F90-4FB4-853D-72E72D8C0B62}&lt;/UID&gt;&lt;Title&gt;Improved gridded ammonia emission inventory in China&lt;/Title&gt;&lt;Template&gt;Journal Article&lt;/Template&gt;&lt;Star&gt;1&lt;/Star&gt;&lt;Tag&gt;0&lt;/Tag&gt;&lt;Author&gt;Li, Baojie; Chen, Lei; Shen, Weishou; Jin, Jianbing; Wang, Teng; Wang, Pinya; Yang, Yang; Liao, Hong&lt;/Author&gt;&lt;Year&gt;2021&lt;/Year&gt;&lt;Details&gt;&lt;_accessed&gt;64605116&lt;/_accessed&gt;&lt;_collection_scope&gt;SCIE&lt;/_collection_scope&gt;&lt;_created&gt;64605116&lt;/_created&gt;&lt;_date&gt;64068480&lt;/_date&gt;&lt;_db_updated&gt;CrossRef&lt;/_db_updated&gt;&lt;_doi&gt;10.5194/acp-21-15883-2021&lt;/_doi&gt;&lt;_impact_factor&gt;   7.197&lt;/_impact_factor&gt;&lt;_isbn&gt;1680-7324&lt;/_isbn&gt;&lt;_issue&gt;20&lt;/_issue&gt;&lt;_journal&gt;Atmospheric Chemistry and Physics&lt;/_journal&gt;&lt;_modified&gt;64605116&lt;/_modified&gt;&lt;_pages&gt;15883-15900&lt;/_pages&gt;&lt;_social_category&gt;地球科学(1)&lt;/_social_category&gt;&lt;_tertiary_title&gt;Atmos. Chem. Phys.&lt;/_tertiary_title&gt;&lt;_url&gt;https://acp.copernicus.org/articles/21/15883/2021/_x000d__x000a_https://acp.copernicus.org/articles/21/15883/2021/acp-21-15883-2021.pdf&lt;/_url&gt;&lt;_volume&gt;21&lt;/_volume&gt;&lt;/Details&gt;&lt;Extra&gt;&lt;DBUID&gt;{18AB8B06-4DB5-4401-9BEF-0F1052EF7853}&lt;/DBUID&gt;&lt;/Extra&gt;&lt;/Item&gt;&lt;/References&gt;&lt;/Group&gt;&lt;Group&gt;&lt;References&gt;&lt;Item&gt;&lt;ID&gt;528&lt;/ID&gt;&lt;UID&gt;{68C31C02-5597-4F77-9498-7C739B6AAA07}&lt;/UID&gt;&lt;Title&gt;Improved Inversion of Monthly Ammonia Emissions in China Based on the Chinese Ammonia Monitoring Network and Ensemble Kalman Filter&lt;/Title&gt;&lt;Template&gt;Journal Article&lt;/Template&gt;&lt;Star&gt;0&lt;/Star&gt;&lt;Tag&gt;0&lt;/Tag&gt;&lt;Author&gt;Kong, Lei; Tang, Xiao; Zhu, Jiang; Wang, Zifa; Pan, Yuepeng; Wu, Huangjian; Wu, Lin; Wu, Qizhong; He, Yuexin; Tian, Shili; Xie, Yuzhu; Liu, Zirui; Sui, Wenxuan; Han, Lina; Carmichael, Greg&lt;/Author&gt;&lt;Year&gt;2019&lt;/Year&gt;&lt;Details&gt;&lt;_accessed&gt;63329568&lt;/_accessed&gt;&lt;_collection_scope&gt;SCI;SCIE;EI&lt;/_collection_scope&gt;&lt;_created&gt;63329568&lt;/_created&gt;&lt;_date&gt;63031680&lt;/_date&gt;&lt;_db_updated&gt;CrossRef&lt;/_db_updated&gt;&lt;_doi&gt;10.1021/acs.est.9b02701&lt;/_doi&gt;&lt;_impact_factor&gt;  11.357&lt;/_impact_factor&gt;&lt;_isbn&gt;0013-936X&lt;/_isbn&gt;&lt;_issue&gt;21&lt;/_issue&gt;&lt;_journal&gt;Environmental Science &amp;amp; Technology&lt;/_journal&gt;&lt;_modified&gt;64655392&lt;/_modified&gt;&lt;_pages&gt;12529-12538&lt;/_pages&gt;&lt;_tertiary_title&gt;Environ. Sci. Technol.&lt;/_tertiary_title&gt;&lt;_url&gt;https://pubs.acs.org/doi/10.1021/acs.est.9b02701_x000d__x000a_http://pubs.acs.org/doi/pdf/10.1021/acs.est.9b02701&lt;/_url&gt;&lt;_volume&gt;53&lt;/_volume&gt;&lt;_social_category&gt;环境科学与生态学(1)&lt;/_social_category&gt;&lt;/Details&gt;&lt;Extra&gt;&lt;DBUID&gt;{18AB8B06-4DB5-4401-9BEF-0F1052EF7853}&lt;/DBUID&gt;&lt;/Extra&gt;&lt;/Item&gt;&lt;/References&gt;&lt;/Group&gt;&lt;Group&gt;&lt;References&gt;&lt;Item&gt;&lt;ID&gt;1336&lt;/ID&gt;&lt;UID&gt;{B7BBFFC3-C876-4CE4-B339-4EAEED118898}&lt;/UID&gt;&lt;Title&gt;Societal benefits of halving agricultural ammonia emissions in China far exceed the abatement costs&lt;/Title&gt;&lt;Template&gt;Journal Article&lt;/Template&gt;&lt;Star&gt;0&lt;/Star&gt;&lt;Tag&gt;0&lt;/Tag&gt;&lt;Author&gt;Zhang, Xiuming; Gu, Baojing; van Grinsven, Hans; Lam, Shu Kee; Liang, Xia; Bai, Mei; Chen, Deli&lt;/Author&gt;&lt;Year&gt;2020&lt;/Year&gt;&lt;Details&gt;&lt;_accessed&gt;64534809&lt;/_accessed&gt;&lt;_collection_scope&gt;SCI;SCIE&lt;/_collection_scope&gt;&lt;_created&gt;63465705&lt;/_created&gt;&lt;_db_updated&gt;CrossRef&lt;/_db_updated&gt;&lt;_doi&gt;10.1038/s41467-020-18196-z&lt;/_doi&gt;&lt;_impact_factor&gt;  17.694&lt;/_impact_factor&gt;&lt;_isbn&gt;2041-1723&lt;/_isbn&gt;&lt;_issue&gt;1&lt;/_issue&gt;&lt;_journal&gt;Nature Communications&lt;/_journal&gt;&lt;_modified&gt;64654040&lt;/_modified&gt;&lt;_social_category&gt;综合性期刊(1)&lt;/_social_category&gt;&lt;_tertiary_title&gt;Nat Commun&lt;/_tertiary_title&gt;&lt;_url&gt;http://www.nature.com/articles/s41467-020-18196-z_x000d__x000a_http://www.nature.com/articles/s41467-020-18196-z.pdf&lt;/_url&gt;&lt;_volume&gt;11&lt;/_volume&gt;&lt;/Details&gt;&lt;Extra&gt;&lt;DBUID&gt;{18AB8B06-4DB5-4401-9BEF-0F1052EF7853}&lt;/DBUID&gt;&lt;/Extra&gt;&lt;/Item&gt;&lt;/References&gt;&lt;/Group&gt;&lt;/Citation&gt;_x000a_"/>
    <w:docVar w:name="NE.Ref{518D8E13-F8AA-46D1-B452-8087E7DB37DE}" w:val=" ADDIN NE.Ref.{518D8E13-F8AA-46D1-B452-8087E7DB37DE}&lt;Citation&gt;&lt;Group&gt;&lt;References&gt;&lt;Item&gt;&lt;ID&gt;1178&lt;/ID&gt;&lt;UID&gt;{B5DC42DF-4766-472B-A863-9532C803C73B}&lt;/UID&gt;&lt;Title&gt;High-resolution ammonia emissions inventories in China from 1980 to 2012&lt;/Title&gt;&lt;Template&gt;Journal Article&lt;/Template&gt;&lt;Star&gt;1&lt;/Star&gt;&lt;Tag&gt;0&lt;/Tag&gt;&lt;Author&gt;Kang, Yaning; Liu, Mingxu; Song, Yu; Huang, Xin; Yao, Huan; Cai, Xuhui; Zhang, Hongsheng; Kang, Ling; Liu, Xuejun; Yan, Xiaoyuan&lt;/Author&gt;&lt;Year&gt;2016&lt;/Year&gt;&lt;Details&gt;&lt;_accessed&gt;63453142&lt;/_accessed&gt;&lt;_collection_scope&gt;SCI;SCIE&lt;/_collection_scope&gt;&lt;_created&gt;63360930&lt;/_created&gt;&lt;_impact_factor&gt;   7.197&lt;/_impact_factor&gt;&lt;_isbn&gt;1680-7316&lt;/_isbn&gt;&lt;_issue&gt;4&lt;/_issue&gt;&lt;_journal&gt;Atmospheric Chemistry and Physics&lt;/_journal&gt;&lt;_modified&gt;64657972&lt;/_modified&gt;&lt;_pages&gt;2043&lt;/_pages&gt;&lt;_volume&gt;16&lt;/_volume&gt;&lt;_social_category&gt;地球科学(1)&lt;/_social_category&gt;&lt;/Details&gt;&lt;Extra&gt;&lt;DBUID&gt;{18AB8B06-4DB5-4401-9BEF-0F1052EF7853}&lt;/DBUID&gt;&lt;/Extra&gt;&lt;/Item&gt;&lt;/References&gt;&lt;/Group&gt;&lt;/Citation&gt;_x000a_"/>
    <w:docVar w:name="NE.Ref{57E295A1-FB81-4C78-9A24-248EBF2308A5}" w:val=" ADDIN NE.Ref.{57E295A1-FB81-4C78-9A24-248EBF2308A5}&lt;Citation&gt;&lt;Group&gt;&lt;References&gt;&lt;Item&gt;&lt;ID&gt;528&lt;/ID&gt;&lt;UID&gt;{68C31C02-5597-4F77-9498-7C739B6AAA07}&lt;/UID&gt;&lt;Title&gt;Improved Inversion of Monthly Ammonia Emissions in China Based on the Chinese Ammonia Monitoring Network and Ensemble Kalman Filter&lt;/Title&gt;&lt;Template&gt;Journal Article&lt;/Template&gt;&lt;Star&gt;0&lt;/Star&gt;&lt;Tag&gt;0&lt;/Tag&gt;&lt;Author&gt;Kong, Lei; Tang, Xiao; Zhu, Jiang; Wang, Zifa; Pan, Yuepeng; Wu, Huangjian; Wu, Lin; Wu, Qizhong; He, Yuexin; Tian, Shili; Xie, Yuzhu; Liu, Zirui; Sui, Wenxuan; Han, Lina; Carmichael, Greg&lt;/Author&gt;&lt;Year&gt;2019&lt;/Year&gt;&lt;Details&gt;&lt;_accessed&gt;63329568&lt;/_accessed&gt;&lt;_collection_scope&gt;SCI;SCIE;EI&lt;/_collection_scope&gt;&lt;_created&gt;63329568&lt;/_created&gt;&lt;_date&gt;63031680&lt;/_date&gt;&lt;_db_updated&gt;CrossRef&lt;/_db_updated&gt;&lt;_doi&gt;10.1021/acs.est.9b02701&lt;/_doi&gt;&lt;_impact_factor&gt;  11.357&lt;/_impact_factor&gt;&lt;_isbn&gt;0013-936X&lt;/_isbn&gt;&lt;_issue&gt;21&lt;/_issue&gt;&lt;_journal&gt;Environmental Science &amp;amp; Technology&lt;/_journal&gt;&lt;_modified&gt;64655392&lt;/_modified&gt;&lt;_pages&gt;12529-12538&lt;/_pages&gt;&lt;_tertiary_title&gt;Environ. Sci. Technol.&lt;/_tertiary_title&gt;&lt;_url&gt;https://pubs.acs.org/doi/10.1021/acs.est.9b02701_x000d__x000a_http://pubs.acs.org/doi/pdf/10.1021/acs.est.9b02701&lt;/_url&gt;&lt;_volume&gt;53&lt;/_volume&gt;&lt;_social_category&gt;环境科学与生态学(1)&lt;/_social_category&gt;&lt;/Details&gt;&lt;Extra&gt;&lt;DBUID&gt;{18AB8B06-4DB5-4401-9BEF-0F1052EF7853}&lt;/DBUID&gt;&lt;/Extra&gt;&lt;/Item&gt;&lt;/References&gt;&lt;/Group&gt;&lt;/Citation&gt;_x000a_"/>
    <w:docVar w:name="NE.Ref{5C513101-917F-4F91-8405-276D5DF1041F}" w:val=" ADDIN NE.Ref.{5C513101-917F-4F91-8405-276D5DF1041F}&lt;Citation&gt;&lt;Group&gt;&lt;References&gt;&lt;Item&gt;&lt;ID&gt;158&lt;/ID&gt;&lt;UID&gt;{BB58BF4B-8A48-4080-ACE3-A74AC0B8B17E}&lt;/UID&gt;&lt;Title&gt;Ammonia Emissions May Be Substantially Underestimated in China&lt;/Title&gt;&lt;Template&gt;Journal Article&lt;/Template&gt;&lt;Star&gt;0&lt;/Star&gt;&lt;Tag&gt;0&lt;/Tag&gt;&lt;Author&gt;Zhang, Xiuming; Wu, Yiyun; Liu, Xuejun; Reis, Stefan; Jin, Jiaxin; Dragosits, Ulrike; Van Damme, Martin; Clarisse, Lieven; Whitburn, Simon; Coheur, Pierre-François; Gu, Baojing&lt;/Author&gt;&lt;Year&gt;2017&lt;/Year&gt;&lt;Details&gt;&lt;_accessed&gt;63453371&lt;/_accessed&gt;&lt;_collection_scope&gt;SCI;SCIE;EI&lt;/_collection_scope&gt;&lt;_created&gt;63329265&lt;/_created&gt;&lt;_date&gt;61983360&lt;/_date&gt;&lt;_db_updated&gt;CrossRef&lt;/_db_updated&gt;&lt;_doi&gt;10.1021/acs.est.7b02171&lt;/_doi&gt;&lt;_impact_factor&gt;  11.357&lt;/_impact_factor&gt;&lt;_isbn&gt;0013-936X&lt;/_isbn&gt;&lt;_issue&gt;21&lt;/_issue&gt;&lt;_journal&gt;Environmental Science &amp;amp; Technology&lt;/_journal&gt;&lt;_modified&gt;64617759&lt;/_modified&gt;&lt;_pages&gt;12089-12096&lt;/_pages&gt;&lt;_social_category&gt;环境科学与生态学(1)&lt;/_social_category&gt;&lt;_tertiary_title&gt;Environ. Sci. Technol.&lt;/_tertiary_title&gt;&lt;_url&gt;https://pubs.acs.org/doi/10.1021/acs.est.7b02171_x000d__x000a_https://pubs.acs.org/doi/pdf/10.1021/acs.est.7b02171&lt;/_url&gt;&lt;_volume&gt;51&lt;/_volume&gt;&lt;/Details&gt;&lt;Extra&gt;&lt;DBUID&gt;{18AB8B06-4DB5-4401-9BEF-0F1052EF7853}&lt;/DBUID&gt;&lt;/Extra&gt;&lt;/Item&gt;&lt;/References&gt;&lt;/Group&gt;&lt;Group&gt;&lt;References&gt;&lt;Item&gt;&lt;ID&gt;192&lt;/ID&gt;&lt;UID&gt;{FE8CBF58-E852-4A37-8B2C-9430CBB8CB6C}&lt;/UID&gt;&lt;Title&gt;A database of atmospheric nitrogen concentration and deposition from the nationwide monitoring network in China&lt;/Title&gt;&lt;Template&gt;Journal Article&lt;/Template&gt;&lt;Star&gt;1&lt;/Star&gt;&lt;Tag&gt;0&lt;/Tag&gt;&lt;Author&gt;Xu, Wen; Zhang, Lin; Liu, Xuejun&lt;/Author&gt;&lt;Year&gt;2019&lt;/Year&gt;&lt;Details&gt;&lt;_accessed&gt;63329268&lt;/_accessed&gt;&lt;_collection_scope&gt;SCIE&lt;/_collection_scope&gt;&lt;_created&gt;63329266&lt;/_created&gt;&lt;_date&gt;62588160&lt;/_date&gt;&lt;_date_display&gt;2019&lt;/_date_display&gt;&lt;_db_updated&gt;PKU Search&lt;/_db_updated&gt;&lt;_doi&gt;10.1038/s41597-019-0061-2&lt;/_doi&gt;&lt;_impact_factor&gt;   8.501&lt;/_impact_factor&gt;&lt;_isbn&gt;2052-4463&lt;/_isbn&gt;&lt;_issue&gt;1&lt;/_issue&gt;&lt;_journal&gt;Scientific data&lt;/_journal&gt;&lt;_keywords&gt;Ammonia; Grasslands; Databases; Nitrogen; Nitrogen dioxide&lt;/_keywords&gt;&lt;_modified&gt;64658054&lt;/_modified&gt;&lt;_number&gt;1&lt;/_number&gt;&lt;_ori_publication&gt;Nature Publishing Group&lt;/_ori_publication&gt;&lt;_pages&gt;51-6&lt;/_pages&gt;&lt;_place_published&gt;England&lt;/_place_published&gt;&lt;_social_category&gt;综合性期刊(2)&lt;/_social_category&gt;&lt;_url&gt;http://pku.summon.serialssolutions.com/2.0.0/link/0/eLvHCXMwtV1LaxRBEG5ivOSixkRdjaGPJjCmpx_zOIhEySKioGAgeGl6qqvDIplZdxP8-3b19GyIoDevy-w8-Kq_qq6u-ooxJV-L4g9OwM67tqq9qZGKKiGgUEGGAJ4EyiT1Kn__3Hz6Iudn5uMW-zq1xmS4J5ZM1O0HoKz5SfRssoomJdTb5c-C5kjRees0VMPlYQv-TalK6rG-Hzk6Ld36or7NwigKWDbHnao5WUePRgKl1NsTfV0h7zispOv_92A0OaX5w__w_o_Ygxyh8tPRpHbZFvaP2W7mgDV_lYWqj_bYcMqpwJQcIR8Cd9dXw5pUChbAI1GshmibHKgtss_avNz1nnucCsU49bbwGIHyMSX5a-GRXyWSoWwj78cSdb7oeRrzvc_O52ff3n8o8gCHIm7bTFm0zjuolNdBxv1u0FoAbSdLEQBrVXa1q8FXZae9BCPQi8aj1J2EqnGIJagnbLsfenxGFVima6umdBSQKOm6eDswJrINRi8M9YwdTyjZ5ajTYdP5umrsCKmNkFqC1MoZe0c4bi4kie30w7C6tHnFWtF51KqCtkLQ6F1nNOqAAdpWNsKZGTuYYLV53a_tLaYz9nS0jM1TYiAdP1qq5__-4wu2I5P1UZrngG1fr27wJbu3_HFzmGz3MKUNfgNqJAMm&lt;/_url&gt;&lt;_volume&gt;6&lt;/_volume&gt;&lt;/Details&gt;&lt;Extra&gt;&lt;DBUID&gt;{18AB8B06-4DB5-4401-9BEF-0F1052EF7853}&lt;/DBUID&gt;&lt;/Extra&gt;&lt;/Item&gt;&lt;/References&gt;&lt;/Group&gt;&lt;/Citation&gt;_x000a_"/>
    <w:docVar w:name="NE.Ref{6E8C9D73-DAC4-4685-9A46-30A5E2820FFF}" w:val=" ADDIN NE.Ref.{6E8C9D73-DAC4-4685-9A46-30A5E2820FFF}&lt;Citation&gt;&lt;Group&gt;&lt;References&gt;&lt;Item&gt;&lt;ID&gt;25&lt;/ID&gt;&lt;UID&gt;{54E8A3C9-264D-46EB-9EB1-7BDB33F7E868}&lt;/UID&gt;&lt;Title&gt;A high-resolution ammonia emission inventory in China&lt;/Title&gt;&lt;Template&gt;Journal Article&lt;/Template&gt;&lt;Star&gt;0&lt;/Star&gt;&lt;Tag&gt;0&lt;/Tag&gt;&lt;Author&gt;Huang, Xin; Song, Yu; Li, Mengmeng; Li, Jianfeng; Huo, Qing; Cai, Xuhui; Zhu, Tong; Hu, Min; Zhang, Hongsheng&lt;/Author&gt;&lt;Year&gt;2012&lt;/Year&gt;&lt;Details&gt;&lt;_accessed&gt;63952824&lt;/_accessed&gt;&lt;_collection_scope&gt;SCI;SCIE&lt;/_collection_scope&gt;&lt;_created&gt;63329257&lt;/_created&gt;&lt;_db_updated&gt;CrossRef&lt;/_db_updated&gt;&lt;_doi&gt;10.1029/2011GB004161&lt;/_doi&gt;&lt;_impact_factor&gt;   6.500&lt;/_impact_factor&gt;&lt;_issue&gt;1&lt;/_issue&gt;&lt;_journal&gt;Global Biogeochemical Cycles&lt;/_journal&gt;&lt;_modified&gt;63952820&lt;/_modified&gt;&lt;_pages&gt;n/a-n/a&lt;/_pages&gt;&lt;_tertiary_title&gt;Global Biogeochem. Cycles&lt;/_tertiary_title&gt;&lt;_url&gt;http://doi.wiley.com/10.1029/2011GB004161_x000d__x000a_http://www.agu.org/journals/gb/gb1201/2011GB004161/2011GB004161.pdf&lt;/_url&gt;&lt;_volume&gt;26&lt;/_volume&gt;&lt;_social_category&gt;地球科学(1)&lt;/_social_category&gt;&lt;/Details&gt;&lt;Extra&gt;&lt;DBUID&gt;{18AB8B06-4DB5-4401-9BEF-0F1052EF7853}&lt;/DBUID&gt;&lt;/Extra&gt;&lt;/Item&gt;&lt;/References&gt;&lt;/Group&gt;&lt;/Citation&gt;_x000a_"/>
    <w:docVar w:name="NE.Ref{7798F829-A671-481E-BB32-1484B1B3B55B}" w:val=" ADDIN NE.Ref.{7798F829-A671-481E-BB32-1484B1B3B55B}&lt;Citation&gt;&lt;Group&gt;&lt;References&gt;&lt;Item&gt;&lt;ID&gt;1859&lt;/ID&gt;&lt;UID&gt;{2321215B-F423-456B-B605-1E54A66B27A2}&lt;/UID&gt;&lt;Title&gt;Integrated livestock sector nitrogen pollution abatement measures could generate net benefits for human and ecosystem health in China&lt;/Title&gt;&lt;Template&gt;Journal Article&lt;/Template&gt;&lt;Star&gt;0&lt;/Star&gt;&lt;Tag&gt;0&lt;/Tag&gt;&lt;Author&gt;Zhu, Zhiping; Zhang, Xiuming; Dong, Hongmin; Wang, Sitong; Reis, Stefan; Li, Yue; Gu, Baojing&lt;/Author&gt;&lt;Year&gt;2022&lt;/Year&gt;&lt;Details&gt;&lt;_accessed&gt;64311390&lt;/_accessed&gt;&lt;_collection_scope&gt;SCIE&lt;/_collection_scope&gt;&lt;_created&gt;64252412&lt;/_created&gt;&lt;_db_updated&gt;CrossRef&lt;/_db_updated&gt;&lt;_doi&gt;10.1038/s43016-022-00462-6&lt;/_doi&gt;&lt;_impact_factor&gt;  20.430&lt;/_impact_factor&gt;&lt;_isbn&gt;2662-1355&lt;/_isbn&gt;&lt;_issue&gt;2&lt;/_issue&gt;&lt;_journal&gt;Nature Food&lt;/_journal&gt;&lt;_modified&gt;64603265&lt;/_modified&gt;&lt;_pages&gt;161-168&lt;/_pages&gt;&lt;_tertiary_title&gt;Nat Food&lt;/_tertiary_title&gt;&lt;_url&gt;https://www.nature.com/articles/s43016-022-00462-6_x000d__x000a_https://www.nature.com/articles/s43016-022-00462-6.pdf&lt;/_url&gt;&lt;_volume&gt;3&lt;/_volume&gt;&lt;/Details&gt;&lt;Extra&gt;&lt;DBUID&gt;{18AB8B06-4DB5-4401-9BEF-0F1052EF7853}&lt;/DBUID&gt;&lt;/Extra&gt;&lt;/Item&gt;&lt;/References&gt;&lt;/Group&gt;&lt;Group&gt;&lt;References&gt;&lt;Item&gt;&lt;ID&gt;1913&lt;/ID&gt;&lt;UID&gt;{0788F91D-68FD-4DAD-993A-E0019972F0D0}&lt;/UID&gt;&lt;Title&gt;Ammonia Emissions from Croplands Decrease with Farm Size in China&lt;/Title&gt;&lt;Template&gt;Journal Article&lt;/Template&gt;&lt;Star&gt;0&lt;/Star&gt;&lt;Tag&gt;0&lt;/Tag&gt;&lt;Author&gt;Wang, Chen; Duan, Jiakun; Ren, Chenchen; Liu, Hongbin; Reis, Stefan; Xu, Jianming; Gu, Baojing&lt;/Author&gt;&lt;Year&gt;2022&lt;/Year&gt;&lt;Details&gt;&lt;_accessed&gt;64605105&lt;/_accessed&gt;&lt;_collection_scope&gt;SCI;SCIE;EI&lt;/_collection_scope&gt;&lt;_created&gt;64379103&lt;/_created&gt;&lt;_date&gt;64376640&lt;/_date&gt;&lt;_db_updated&gt;CrossRef&lt;/_db_updated&gt;&lt;_doi&gt;10.1021/acs.est.2c01061&lt;/_doi&gt;&lt;_impact_factor&gt;  11.357&lt;/_impact_factor&gt;&lt;_isbn&gt;0013-936X&lt;/_isbn&gt;&lt;_journal&gt;Environmental Science &amp;amp; Technology&lt;/_journal&gt;&lt;_modified&gt;64604768&lt;/_modified&gt;&lt;_social_category&gt;环境科学与生态学(1)&lt;/_social_category&gt;&lt;_tertiary_title&gt;Environ. Sci. Technol.&lt;/_tertiary_title&gt;&lt;_url&gt;https://pubs.acs.org/doi/10.1021/acs.est.2c01061_x000d__x000a_https://pubs.acs.org/doi/pdf/10.1021/acs.est.2c01061&lt;/_url&gt;&lt;/Details&gt;&lt;Extra&gt;&lt;DBUID&gt;{18AB8B06-4DB5-4401-9BEF-0F1052EF7853}&lt;/DBUID&gt;&lt;/Extra&gt;&lt;/Item&gt;&lt;/References&gt;&lt;/Group&gt;&lt;/Citation&gt;_x000a_"/>
    <w:docVar w:name="NE.Ref{77A6AD7C-6855-4090-BA4A-8008CABB3C9E}" w:val=" ADDIN NE.Ref.{77A6AD7C-6855-4090-BA4A-8008CABB3C9E}&lt;Citation&gt;&lt;Group&gt;&lt;References&gt;&lt;Item&gt;&lt;ID&gt;25&lt;/ID&gt;&lt;UID&gt;{54E8A3C9-264D-46EB-9EB1-7BDB33F7E868}&lt;/UID&gt;&lt;Title&gt;A high-resolution ammonia emission inventory in China&lt;/Title&gt;&lt;Template&gt;Journal Article&lt;/Template&gt;&lt;Star&gt;0&lt;/Star&gt;&lt;Tag&gt;0&lt;/Tag&gt;&lt;Author&gt;Huang, Xin; Song, Yu; Li, Mengmeng; Li, Jianfeng; Huo, Qing; Cai, Xuhui; Zhu, Tong; Hu, Min; Zhang, Hongsheng&lt;/Author&gt;&lt;Year&gt;2012&lt;/Year&gt;&lt;Details&gt;&lt;_accessed&gt;63952824&lt;/_accessed&gt;&lt;_collection_scope&gt;SCI;SCIE&lt;/_collection_scope&gt;&lt;_created&gt;63329257&lt;/_created&gt;&lt;_db_updated&gt;CrossRef&lt;/_db_updated&gt;&lt;_doi&gt;10.1029/2011GB004161&lt;/_doi&gt;&lt;_impact_factor&gt;   6.500&lt;/_impact_factor&gt;&lt;_issue&gt;1&lt;/_issue&gt;&lt;_journal&gt;Global Biogeochemical Cycles&lt;/_journal&gt;&lt;_modified&gt;63952820&lt;/_modified&gt;&lt;_pages&gt;n/a-n/a&lt;/_pages&gt;&lt;_tertiary_title&gt;Global Biogeochem. Cycles&lt;/_tertiary_title&gt;&lt;_url&gt;http://doi.wiley.com/10.1029/2011GB004161_x000d__x000a_http://www.agu.org/journals/gb/gb1201/2011GB004161/2011GB004161.pdf&lt;/_url&gt;&lt;_volume&gt;26&lt;/_volume&gt;&lt;_social_category&gt;地球科学(1)&lt;/_social_category&gt;&lt;/Details&gt;&lt;Extra&gt;&lt;DBUID&gt;{18AB8B06-4DB5-4401-9BEF-0F1052EF7853}&lt;/DBUID&gt;&lt;/Extra&gt;&lt;/Item&gt;&lt;/References&gt;&lt;/Group&gt;&lt;Group&gt;&lt;References&gt;&lt;Item&gt;&lt;ID&gt;42&lt;/ID&gt;&lt;UID&gt;{3D62E5E2-2399-45B0-BED8-2EACE2F81D3F}&lt;/UID&gt;&lt;Title&gt;Agricultural ammonia emissions in China: reconciling bottom-up and top-down estimates&lt;/Title&gt;&lt;Template&gt;Journal Article&lt;/Template&gt;&lt;Star&gt;0&lt;/Star&gt;&lt;Tag&gt;0&lt;/Tag&gt;&lt;Author&gt;Zhang, Lin; Chen, Youfan; Zhao, Yuanhong; Henze, Daven K; Zhu, Liye; Song, Yu; Paulot, Fabien; Liu, Xuejun; Pan, Yuepeng; Lin, Yi; Huang, Binxiang&lt;/Author&gt;&lt;Year&gt;2018&lt;/Year&gt;&lt;Details&gt;&lt;_accessed&gt;64656877&lt;/_accessed&gt;&lt;_collection_scope&gt;SCI;SCIE&lt;/_collection_scope&gt;&lt;_created&gt;63329257&lt;/_created&gt;&lt;_date&gt;62078400&lt;/_date&gt;&lt;_db_updated&gt;CrossRef&lt;/_db_updated&gt;&lt;_doi&gt;10.5194/acp-18-339-2018&lt;/_doi&gt;&lt;_impact_factor&gt;   7.197&lt;/_impact_factor&gt;&lt;_isbn&gt;1680-7324&lt;/_isbn&gt;&lt;_issue&gt;1&lt;/_issue&gt;&lt;_journal&gt;Atmospheric Chemistry and Physics&lt;/_journal&gt;&lt;_modified&gt;64653655&lt;/_modified&gt;&lt;_pages&gt;339-355&lt;/_pages&gt;&lt;_social_category&gt;地球科学(1)&lt;/_social_category&gt;&lt;_tertiary_title&gt;Atmos. Chem. Phys.&lt;/_tertiary_title&gt;&lt;_url&gt;https://www.atmos-chem-phys.net/18/339/2018/_x000d__x000a_https://www.atmos-chem-phys.net/18/339/2018/acp-18-339-2018.pdf&lt;/_url&gt;&lt;_volume&gt;18&lt;/_volume&gt;&lt;/Details&gt;&lt;Extra&gt;&lt;DBUID&gt;{18AB8B06-4DB5-4401-9BEF-0F1052EF7853}&lt;/DBUID&gt;&lt;/Extra&gt;&lt;/Item&gt;&lt;/References&gt;&lt;/Group&gt;&lt;/Citation&gt;_x000a_"/>
    <w:docVar w:name="NE.Ref{932FDB18-9DDC-45EC-A394-7C396D63D3EE}" w:val=" ADDIN NE.Ref.{932FDB18-9DDC-45EC-A394-7C396D63D3EE}&lt;Citation&gt;&lt;Group&gt;&lt;References&gt;&lt;Item&gt;&lt;ID&gt;1623&lt;/ID&gt;&lt;UID&gt;{FC18DC7D-EA24-4E2B-A274-FAA56C9BEE80}&lt;/UID&gt;&lt;Title&gt;Uncertainty of nitrogen budget in China&lt;/Title&gt;&lt;Template&gt;Journal Article&lt;/Template&gt;&lt;Star&gt;0&lt;/Star&gt;&lt;Tag&gt;0&lt;/Tag&gt;&lt;Author&gt;Zhang, Xiuming; Ren, Chenchen; Gu, Baojing; Chen, Deli&lt;/Author&gt;&lt;Year&gt;2021&lt;/Year&gt;&lt;Details&gt;&lt;_accessed&gt;64155489&lt;/_accessed&gt;&lt;_collection_scope&gt;SCI;SCIE;EI&lt;/_collection_scope&gt;&lt;_created&gt;63828588&lt;/_created&gt;&lt;_db_updated&gt;CrossRef&lt;/_db_updated&gt;&lt;_doi&gt;10.1016/j.envpol.2021.117216&lt;/_doi&gt;&lt;_impact_factor&gt;   9.988&lt;/_impact_factor&gt;&lt;_isbn&gt;02697491&lt;/_isbn&gt;&lt;_journal&gt;Environmental Pollution&lt;/_journal&gt;&lt;_modified&gt;64603325&lt;/_modified&gt;&lt;_pages&gt;117216&lt;/_pages&gt;&lt;_social_category&gt;环境科学与生态学(2)&lt;/_social_category&gt;&lt;_tertiary_title&gt;Environmental Pollution&lt;/_tertiary_title&gt;&lt;_url&gt;https://linkinghub.elsevier.com/retrieve/pii/S0269749121007983_x000d__x000a_https://api.elsevier.com/content/article/PII:S0269749121007983?httpAccept=text/xml&lt;/_url&gt;&lt;_volume&gt;286&lt;/_volume&gt;&lt;/Details&gt;&lt;Extra&gt;&lt;DBUID&gt;{18AB8B06-4DB5-4401-9BEF-0F1052EF7853}&lt;/DBUID&gt;&lt;/Extra&gt;&lt;/Item&gt;&lt;/References&gt;&lt;/Group&gt;&lt;Group&gt;&lt;References&gt;&lt;Item&gt;&lt;ID&gt;1765&lt;/ID&gt;&lt;UID&gt;{8634FE77-B960-4C6E-9ABA-6FCE78FB3A01}&lt;/UID&gt;&lt;Title&gt;An empirical model to estimate ammonia emission from cropland fertilization in China&lt;/Title&gt;&lt;Template&gt;Journal Article&lt;/Template&gt;&lt;Star&gt;0&lt;/Star&gt;&lt;Tag&gt;0&lt;/Tag&gt;&lt;Author&gt;Wang, Chen; Cheng, Kun; Ren, Chenchen; Liu, Hongbin; Sun, Jianfei; Reis, Stefan; Yin, Shasha; Xu, Jianming; Gu, Baojing&lt;/Author&gt;&lt;Year&gt;2021&lt;/Year&gt;&lt;Details&gt;&lt;_accessed&gt;64557337&lt;/_accessed&gt;&lt;_collection_scope&gt;SCI;SCIE;EI&lt;/_collection_scope&gt;&lt;_created&gt;64010104&lt;/_created&gt;&lt;_db_updated&gt;CrossRef&lt;/_db_updated&gt;&lt;_doi&gt;10.1016/j.envpol.2021.117982&lt;/_doi&gt;&lt;_impact_factor&gt;   9.988&lt;/_impact_factor&gt;&lt;_isbn&gt;02697491&lt;/_isbn&gt;&lt;_journal&gt;Environmental Pollution&lt;/_journal&gt;&lt;_modified&gt;64617757&lt;/_modified&gt;&lt;_pages&gt;117982&lt;/_pages&gt;&lt;_social_category&gt;环境科学与生态学(2)&lt;/_social_category&gt;&lt;_tertiary_title&gt;Environmental Pollution&lt;/_tertiary_title&gt;&lt;_url&gt;https://linkinghub.elsevier.com/retrieve/pii/S0269749121015645_x000d__x000a_https://api.elsevier.com/content/article/PII:S0269749121015645?httpAccept=text/xml&lt;/_url&gt;&lt;_volume&gt;288&lt;/_volume&gt;&lt;/Details&gt;&lt;Extra&gt;&lt;DBUID&gt;{18AB8B06-4DB5-4401-9BEF-0F1052EF7853}&lt;/DBUID&gt;&lt;/Extra&gt;&lt;/Item&gt;&lt;/References&gt;&lt;/Group&gt;&lt;Group&gt;&lt;References&gt;&lt;Item&gt;&lt;ID&gt;159&lt;/ID&gt;&lt;UID&gt;{83C30222-FA5A-408F-9FD8-3E02F74C9465}&lt;/UID&gt;&lt;Title&gt;Ammonia Emissions May Be Substantially Underestimated in China&lt;/Title&gt;&lt;Template&gt;Journal Article&lt;/Template&gt;&lt;Star&gt;0&lt;/Star&gt;&lt;Tag&gt;0&lt;/Tag&gt;&lt;Author&gt;Zhang, Xiuming; Wu, Yiyun; Liu, Xuejun; Reis, Stefan; Jin, Jiaxin; Dragosits, Ulrike; Van Damme, Martin; Clarisse, Lieven; Whitburn, Simon; Coheur, Pierre-François; Gu, Baojing&lt;/Author&gt;&lt;Year&gt;2017&lt;/Year&gt;&lt;Details&gt;&lt;_accessed&gt;64334370&lt;/_accessed&gt;&lt;_collection_scope&gt;SCI;SCIE;EI&lt;/_collection_scope&gt;&lt;_created&gt;63329265&lt;/_created&gt;&lt;_date&gt;61536960&lt;/_date&gt;&lt;_date_display&gt;2017&lt;/_date_display&gt;&lt;_db_updated&gt;PKU Search&lt;/_db_updated&gt;&lt;_doi&gt;10.1021/acs.est.7b02171&lt;/_doi&gt;&lt;_impact_factor&gt;  11.357&lt;/_impact_factor&gt;&lt;_isbn&gt;0013-936X&lt;/_isbn&gt;&lt;_issue&gt;21&lt;/_issue&gt;&lt;_journal&gt;Environmental Science &amp;amp; Technology&lt;/_journal&gt;&lt;_keywords&gt;Ammonia; Environmental Monitoring; Nitrogen; Air Pollutants; China&lt;/_keywords&gt;&lt;_modified&gt;64617758&lt;/_modified&gt;&lt;_number&gt;1&lt;/_number&gt;&lt;_ori_publication&gt;American Chemical Society&lt;/_ori_publication&gt;&lt;_pages&gt;12089-12096&lt;/_pages&gt;&lt;_place_published&gt;United States&lt;/_place_published&gt;&lt;_social_category&gt;环境科学与生态学(1)&lt;/_social_category&gt;&lt;_url&gt;http://pku.summon.serialssolutions.com/2.0.0/link/0/eLvHCXMwlV1LSwMxEB60XvTgo77qixw8eNnaJN1HLkItW0QsCCqIlyWbnUBR1uLaQ_-9k-22tRVBr8vsJMzzy2sGQIpmy1uKCaH0lUTf-EqgVUYrjGya-RgEwqpUuXfDL_3o7l70Yv92Xjt6-UBf8EttiibFy2aYOjRN6541QYjZXebqdB9mMZiAdTTtXaBk8Dwr6vODgctKpljISgv4sswzva1_TGkbNiswyToT7e_ACuZ12PhWYrAO-_H8JRuRVq5c7MJVx1ngQLOYNO22zArW12N2jczFEtdbmCzzbczKxkiuFAdBW8zYIGdly-09eOrFj90br2qm4HEZ8MAjGBEYIw0nQIDW6kxbqcn9WqlRWhMIc9dJpUSeKW2ktMbPpNQma1nkAWIk96GWv-d4CAw5-vSX0taEbd1KiQm3bXfEx8OMGDfgnESSVM5QJOU5t-CJ-0jzTSo5NeBiKvNkOCmt8TvpwUQnM0JaJ0Yu_x79baxjWBcuH7v94PAEap8fIzyF1eHr6Kw0nC-Q08LR&lt;/_url&gt;&lt;_volume&gt;51&lt;/_volume&gt;&lt;/Details&gt;&lt;Extra&gt;&lt;DBUID&gt;{18AB8B06-4DB5-4401-9BEF-0F1052EF7853}&lt;/DBUID&gt;&lt;/Extra&gt;&lt;/Item&gt;&lt;/References&gt;&lt;/Group&gt;&lt;/Citation&gt;_x000a_"/>
    <w:docVar w:name="NE.Ref{945015BB-9CF0-47E3-BFC8-5ACB58BC78E1}" w:val=" ADDIN NE.Ref.{945015BB-9CF0-47E3-BFC8-5ACB58BC78E1}&lt;Citation&gt;&lt;Group&gt;&lt;References&gt;&lt;Item&gt;&lt;ID&gt;1981&lt;/ID&gt;&lt;UID&gt;{54038EAE-1129-4C5D-819C-D00711AABF24}&lt;/UID&gt;&lt;Title&gt;Long-term historical trends in air pollutant emissions in Asia: Regional Emission inventory in ASia (REAS) version 3&lt;/Title&gt;&lt;Template&gt;Journal Article&lt;/Template&gt;&lt;Star&gt;1&lt;/Star&gt;&lt;Tag&gt;0&lt;/Tag&gt;&lt;Author&gt;Kurokawa, Junichi; Ohara, Toshimasa&lt;/Author&gt;&lt;Year&gt;2020&lt;/Year&gt;&lt;Details&gt;&lt;_accessed&gt;64605109&lt;/_accessed&gt;&lt;_collection_scope&gt;SCIE&lt;/_collection_scope&gt;&lt;_created&gt;64605109&lt;/_created&gt;&lt;_date&gt;63557280&lt;/_date&gt;&lt;_db_updated&gt;CrossRef&lt;/_db_updated&gt;&lt;_doi&gt;10.5194/acp-20-12761-2020&lt;/_doi&gt;&lt;_impact_factor&gt;   7.197&lt;/_impact_factor&gt;&lt;_isbn&gt;1680-7324&lt;/_isbn&gt;&lt;_issue&gt;21&lt;/_issue&gt;&lt;_journal&gt;Atmospheric Chemistry and Physics&lt;/_journal&gt;&lt;_modified&gt;64605109&lt;/_modified&gt;&lt;_pages&gt;12761-12793&lt;/_pages&gt;&lt;_social_category&gt;地球科学(1)&lt;/_social_category&gt;&lt;_tertiary_title&gt;Atmos. Chem. Phys.&lt;/_tertiary_title&gt;&lt;_url&gt;https://acp.copernicus.org/articles/20/12761/2020/_x000d__x000a_https://acp.copernicus.org/articles/20/12761/2020/acp-20-12761-2020.pdf&lt;/_url&gt;&lt;_volume&gt;20&lt;/_volume&gt;&lt;/Details&gt;&lt;Extra&gt;&lt;DBUID&gt;{18AB8B06-4DB5-4401-9BEF-0F1052EF7853}&lt;/DBUID&gt;&lt;/Extra&gt;&lt;/Item&gt;&lt;/References&gt;&lt;/Group&gt;&lt;/Citation&gt;_x000a_"/>
    <w:docVar w:name="NE.Ref{94E5AC64-F48B-4529-A38E-EA243BDE4A5E}" w:val=" ADDIN NE.Ref.{94E5AC64-F48B-4529-A38E-EA243BDE4A5E}&lt;Citation&gt;&lt;Group&gt;&lt;References&gt;&lt;Item&gt;&lt;ID&gt;1982&lt;/ID&gt;&lt;UID&gt;{B8D9C600-7F90-4FB4-853D-72E72D8C0B62}&lt;/UID&gt;&lt;Title&gt;Improved gridded ammonia emission inventory in China&lt;/Title&gt;&lt;Template&gt;Journal Article&lt;/Template&gt;&lt;Star&gt;1&lt;/Star&gt;&lt;Tag&gt;0&lt;/Tag&gt;&lt;Author&gt;Li, Baojie; Chen, Lei; Shen, Weishou; Jin, Jianbing; Wang, Teng; Wang, Pinya; Yang, Yang; Liao, Hong&lt;/Author&gt;&lt;Year&gt;2021&lt;/Year&gt;&lt;Details&gt;&lt;_accessed&gt;64605116&lt;/_accessed&gt;&lt;_collection_scope&gt;SCIE&lt;/_collection_scope&gt;&lt;_created&gt;64605116&lt;/_created&gt;&lt;_date&gt;64068480&lt;/_date&gt;&lt;_db_updated&gt;CrossRef&lt;/_db_updated&gt;&lt;_doi&gt;10.5194/acp-21-15883-2021&lt;/_doi&gt;&lt;_impact_factor&gt;   7.197&lt;/_impact_factor&gt;&lt;_isbn&gt;1680-7324&lt;/_isbn&gt;&lt;_issue&gt;20&lt;/_issue&gt;&lt;_journal&gt;Atmospheric Chemistry and Physics&lt;/_journal&gt;&lt;_modified&gt;64605116&lt;/_modified&gt;&lt;_pages&gt;15883-15900&lt;/_pages&gt;&lt;_social_category&gt;地球科学(1)&lt;/_social_category&gt;&lt;_tertiary_title&gt;Atmos. Chem. Phys.&lt;/_tertiary_title&gt;&lt;_url&gt;https://acp.copernicus.org/articles/21/15883/2021/_x000d__x000a_https://acp.copernicus.org/articles/21/15883/2021/acp-21-15883-2021.pdf&lt;/_url&gt;&lt;_volume&gt;21&lt;/_volume&gt;&lt;/Details&gt;&lt;Extra&gt;&lt;DBUID&gt;{18AB8B06-4DB5-4401-9BEF-0F1052EF7853}&lt;/DBUID&gt;&lt;/Extra&gt;&lt;/Item&gt;&lt;/References&gt;&lt;/Group&gt;&lt;/Citation&gt;_x000a_"/>
    <w:docVar w:name="NE.Ref{98BCC528-B2A4-47ED-8701-317B03BB295E}" w:val=" ADDIN NE.Ref.{98BCC528-B2A4-47ED-8701-317B03BB295E}&lt;Citation&gt;&lt;Group&gt;&lt;References&gt;&lt;Item&gt;&lt;ID&gt;1913&lt;/ID&gt;&lt;UID&gt;{0788F91D-68FD-4DAD-993A-E0019972F0D0}&lt;/UID&gt;&lt;Title&gt;Ammonia Emissions from Croplands Decrease with Farm Size in China&lt;/Title&gt;&lt;Template&gt;Journal Article&lt;/Template&gt;&lt;Star&gt;0&lt;/Star&gt;&lt;Tag&gt;0&lt;/Tag&gt;&lt;Author&gt;Wang, Chen; Duan, Jiakun; Ren, Chenchen; Liu, Hongbin; Reis, Stefan; Xu, Jianming; Gu, Baojing&lt;/Author&gt;&lt;Year&gt;2022&lt;/Year&gt;&lt;Details&gt;&lt;_accessed&gt;64605105&lt;/_accessed&gt;&lt;_collection_scope&gt;SCI;SCIE;EI&lt;/_collection_scope&gt;&lt;_created&gt;64379103&lt;/_created&gt;&lt;_date&gt;64376640&lt;/_date&gt;&lt;_db_updated&gt;CrossRef&lt;/_db_updated&gt;&lt;_doi&gt;10.1021/acs.est.2c01061&lt;/_doi&gt;&lt;_impact_factor&gt;  11.357&lt;/_impact_factor&gt;&lt;_isbn&gt;0013-936X&lt;/_isbn&gt;&lt;_journal&gt;Environmental Science &amp;amp; Technology&lt;/_journal&gt;&lt;_modified&gt;64604768&lt;/_modified&gt;&lt;_social_category&gt;环境科学与生态学(1)&lt;/_social_category&gt;&lt;_tertiary_title&gt;Environ. Sci. Technol.&lt;/_tertiary_title&gt;&lt;_url&gt;https://pubs.acs.org/doi/10.1021/acs.est.2c01061_x000d__x000a_https://pubs.acs.org/doi/pdf/10.1021/acs.est.2c01061&lt;/_url&gt;&lt;/Details&gt;&lt;Extra&gt;&lt;DBUID&gt;{18AB8B06-4DB5-4401-9BEF-0F1052EF7853}&lt;/DBUID&gt;&lt;/Extra&gt;&lt;/Item&gt;&lt;/References&gt;&lt;/Group&gt;&lt;Group&gt;&lt;References&gt;&lt;Item&gt;&lt;ID&gt;1672&lt;/ID&gt;&lt;UID&gt;{D8EE9026-B35D-4858-B855-0DFB45BE5B2A}&lt;/UID&gt;&lt;Title&gt;Fertilizer overuse in Chinese smallholders due to lack of fixed inputs&lt;/Title&gt;&lt;Template&gt;Journal Article&lt;/Template&gt;&lt;Star&gt;0&lt;/Star&gt;&lt;Tag&gt;0&lt;/Tag&gt;&lt;Author&gt;Ren, Chenchen; Jin, Shuqin; Wu, Yiyun; Zhang, Bin; Kanter, David; Wu, Bi; Xi, Xican; Zhang, Xin; Chen, Deli; Xu, Jianming; Gu, Baojing&lt;/Author&gt;&lt;Year&gt;2021&lt;/Year&gt;&lt;Details&gt;&lt;_accessed&gt;64334378&lt;/_accessed&gt;&lt;_collection_scope&gt;SCI;SCIE&lt;/_collection_scope&gt;&lt;_created&gt;63875141&lt;/_created&gt;&lt;_db_updated&gt;CrossRef&lt;/_db_updated&gt;&lt;_doi&gt;10.1016/j.jenvman.2021.112913&lt;/_doi&gt;&lt;_impact_factor&gt;   8.910&lt;/_impact_factor&gt;&lt;_isbn&gt;03014797&lt;/_isbn&gt;&lt;_journal&gt;Journal of Environmental Management&lt;/_journal&gt;&lt;_modified&gt;64655623&lt;/_modified&gt;&lt;_pages&gt;112913&lt;/_pages&gt;&lt;_social_category&gt;环境科学与生态学(2)&lt;/_social_category&gt;&lt;_tertiary_title&gt;Journal of Environmental Management&lt;/_tertiary_title&gt;&lt;_url&gt;https://linkinghub.elsevier.com/retrieve/pii/S0301479721009750_x000d__x000a_https://api.elsevier.com/content/article/PII:S0301479721009750?httpAccept=text/xml&lt;/_url&gt;&lt;_volume&gt;293&lt;/_volume&gt;&lt;/Details&gt;&lt;Extra&gt;&lt;DBUID&gt;{18AB8B06-4DB5-4401-9BEF-0F1052EF7853}&lt;/DBUID&gt;&lt;/Extra&gt;&lt;/Item&gt;&lt;/References&gt;&lt;/Group&gt;&lt;Group&gt;&lt;References&gt;&lt;Item&gt;&lt;ID&gt;953&lt;/ID&gt;&lt;UID&gt;{8C072809-E925-42E6-BB29-28208D5163B3}&lt;/UID&gt;&lt;Title&gt;Overcoming socioeconomic barriers to reduce agricultural ammonia emission in China&lt;/Title&gt;&lt;Template&gt;Journal Article&lt;/Template&gt;&lt;Star&gt;0&lt;/Star&gt;&lt;Tag&gt;0&lt;/Tag&gt;&lt;Author&gt;Gu, Baojing; Song, Yu; Yu, Chaoqing; Ju, Xiaotang&lt;/Author&gt;&lt;Year&gt;2020&lt;/Year&gt;&lt;Details&gt;&lt;_accessed&gt;64334159&lt;/_accessed&gt;&lt;_collection_scope&gt;SCI;SCIE&lt;/_collection_scope&gt;&lt;_created&gt;63330450&lt;/_created&gt;&lt;_date&gt;63303840&lt;/_date&gt;&lt;_db_updated&gt;CrossRef&lt;/_db_updated&gt;&lt;_doi&gt;10.1007/s11356-020-09154-9&lt;/_doi&gt;&lt;_impact_factor&gt;   5.190&lt;/_impact_factor&gt;&lt;_isbn&gt;0944-1344&lt;/_isbn&gt;&lt;_journal&gt;Environmental Science and Pollution Research&lt;/_journal&gt;&lt;_modified&gt;64656948&lt;/_modified&gt;&lt;_pages&gt;25813–25817&lt;/_pages&gt;&lt;_social_category&gt;环境科学与生态学(3)&lt;/_social_category&gt;&lt;_tertiary_title&gt;Environ Sci Pollut Res&lt;/_tertiary_title&gt;&lt;_url&gt;http://link.springer.com/10.1007/s11356-020-09154-9_x000d__x000a_http://link.springer.com/content/pdf/10.1007/s11356-020-09154-9.pdf&lt;/_url&gt;&lt;_volume&gt;27&lt;/_volume&gt;&lt;/Details&gt;&lt;Extra&gt;&lt;DBUID&gt;{18AB8B06-4DB5-4401-9BEF-0F1052EF7853}&lt;/DBUID&gt;&lt;/Extra&gt;&lt;/Item&gt;&lt;/References&gt;&lt;/Group&gt;&lt;/Citation&gt;_x000a_"/>
    <w:docVar w:name="NE.Ref{98E328EF-95C4-49AF-9C53-3AFB4962817C}" w:val=" ADDIN NE.Ref.{98E328EF-95C4-49AF-9C53-3AFB4962817C}&lt;Citation&gt;&lt;Group&gt;&lt;References&gt;&lt;Item&gt;&lt;ID&gt;1859&lt;/ID&gt;&lt;UID&gt;{2321215B-F423-456B-B605-1E54A66B27A2}&lt;/UID&gt;&lt;Title&gt;Integrated livestock sector nitrogen pollution abatement measures could generate net benefits for human and ecosystem health in China&lt;/Title&gt;&lt;Template&gt;Journal Article&lt;/Template&gt;&lt;Star&gt;0&lt;/Star&gt;&lt;Tag&gt;0&lt;/Tag&gt;&lt;Author&gt;Zhu, Zhiping; Zhang, Xiuming; Dong, Hongmin; Wang, Sitong; Reis, Stefan; Li, Yue; Gu, Baojing&lt;/Author&gt;&lt;Year&gt;2022&lt;/Year&gt;&lt;Details&gt;&lt;_accessed&gt;64311390&lt;/_accessed&gt;&lt;_collection_scope&gt;SCIE&lt;/_collection_scope&gt;&lt;_created&gt;64252412&lt;/_created&gt;&lt;_db_updated&gt;CrossRef&lt;/_db_updated&gt;&lt;_doi&gt;10.1038/s43016-022-00462-6&lt;/_doi&gt;&lt;_impact_factor&gt;  20.430&lt;/_impact_factor&gt;&lt;_isbn&gt;2662-1355&lt;/_isbn&gt;&lt;_issue&gt;2&lt;/_issue&gt;&lt;_journal&gt;Nature Food&lt;/_journal&gt;&lt;_modified&gt;64603265&lt;/_modified&gt;&lt;_pages&gt;161-168&lt;/_pages&gt;&lt;_tertiary_title&gt;Nat Food&lt;/_tertiary_title&gt;&lt;_url&gt;https://www.nature.com/articles/s43016-022-00462-6_x000d__x000a_https://www.nature.com/articles/s43016-022-00462-6.pdf&lt;/_url&gt;&lt;_volume&gt;3&lt;/_volume&gt;&lt;/Details&gt;&lt;Extra&gt;&lt;DBUID&gt;{18AB8B06-4DB5-4401-9BEF-0F1052EF7853}&lt;/DBUID&gt;&lt;/Extra&gt;&lt;/Item&gt;&lt;/References&gt;&lt;/Group&gt;&lt;/Citation&gt;_x000a_"/>
    <w:docVar w:name="NE.Ref{B1660FAD-3051-4BCC-9BD5-C172163BC5FF}" w:val=" ADDIN NE.Ref.{B1660FAD-3051-4BCC-9BD5-C172163BC5FF}&lt;Citation&gt;&lt;Group&gt;&lt;References&gt;&lt;Item&gt;&lt;ID&gt;1859&lt;/ID&gt;&lt;UID&gt;{2321215B-F423-456B-B605-1E54A66B27A2}&lt;/UID&gt;&lt;Title&gt;Integrated livestock sector nitrogen pollution abatement measures could generate net benefits for human and ecosystem health in China&lt;/Title&gt;&lt;Template&gt;Journal Article&lt;/Template&gt;&lt;Star&gt;0&lt;/Star&gt;&lt;Tag&gt;0&lt;/Tag&gt;&lt;Author&gt;Zhu, Zhiping; Zhang, Xiuming; Dong, Hongmin; Wang, Sitong; Reis, Stefan; Li, Yue; Gu, Baojing&lt;/Author&gt;&lt;Year&gt;2022&lt;/Year&gt;&lt;Details&gt;&lt;_accessed&gt;64311390&lt;/_accessed&gt;&lt;_collection_scope&gt;SCIE&lt;/_collection_scope&gt;&lt;_created&gt;64252412&lt;/_created&gt;&lt;_db_updated&gt;CrossRef&lt;/_db_updated&gt;&lt;_doi&gt;10.1038/s43016-022-00462-6&lt;/_doi&gt;&lt;_impact_factor&gt;  20.430&lt;/_impact_factor&gt;&lt;_isbn&gt;2662-1355&lt;/_isbn&gt;&lt;_issue&gt;2&lt;/_issue&gt;&lt;_journal&gt;Nature Food&lt;/_journal&gt;&lt;_modified&gt;64603265&lt;/_modified&gt;&lt;_pages&gt;161-168&lt;/_pages&gt;&lt;_tertiary_title&gt;Nat Food&lt;/_tertiary_title&gt;&lt;_url&gt;https://www.nature.com/articles/s43016-022-00462-6_x000d__x000a_https://www.nature.com/articles/s43016-022-00462-6.pdf&lt;/_url&gt;&lt;_volume&gt;3&lt;/_volume&gt;&lt;/Details&gt;&lt;Extra&gt;&lt;DBUID&gt;{18AB8B06-4DB5-4401-9BEF-0F1052EF7853}&lt;/DBUID&gt;&lt;/Extra&gt;&lt;/Item&gt;&lt;/References&gt;&lt;/Group&gt;&lt;/Citation&gt;_x000a_"/>
    <w:docVar w:name="NE.Ref{C31AD7F8-EBA5-4207-AF96-716F44E39A15}" w:val=" ADDIN NE.Ref.{C31AD7F8-EBA5-4207-AF96-716F44E39A15}&lt;Citation&gt;&lt;Group&gt;&lt;References&gt;&lt;Item&gt;&lt;ID&gt;1251&lt;/ID&gt;&lt;UID&gt;{16365FF9-064A-4D1A-BF35-85527501180D}&lt;/UID&gt;&lt;Title&gt;A temporal-spatial analysis and future trends of ammonia emissions in China&lt;/Title&gt;&lt;Template&gt;Journal Article&lt;/Template&gt;&lt;Star&gt;0&lt;/Star&gt;&lt;Tag&gt;0&lt;/Tag&gt;&lt;Author&gt;Fu, Hang; Luo, Zhibo; Hu, Shanying&lt;/Author&gt;&lt;Year&gt;2020&lt;/Year&gt;&lt;Details&gt;&lt;_accessed&gt;63368215&lt;/_accessed&gt;&lt;_collection_scope&gt;SCI;SCIE;EI&lt;/_collection_scope&gt;&lt;_created&gt;63368215&lt;/_created&gt;&lt;_db_updated&gt;CrossRef&lt;/_db_updated&gt;&lt;_doi&gt;10.1016/j.scitotenv.2020.138897&lt;/_doi&gt;&lt;_impact_factor&gt;  10.753&lt;/_impact_factor&gt;&lt;_isbn&gt;00489697&lt;/_isbn&gt;&lt;_journal&gt;Science of The Total Environment&lt;/_journal&gt;&lt;_modified&gt;64063354&lt;/_modified&gt;&lt;_pages&gt;138897&lt;/_pages&gt;&lt;_tertiary_title&gt;Science of The Total Environment&lt;/_tertiary_title&gt;&lt;_url&gt;https://linkinghub.elsevier.com/retrieve/pii/S0048969720324141_x000d__x000a_https://api.elsevier.com/content/article/PII:S0048969720324141?httpAccept=text/xml&lt;/_url&gt;&lt;_volume&gt;731&lt;/_volume&gt;&lt;_social_category&gt;环境科学与生态学(2)&lt;/_social_category&gt;&lt;/Details&gt;&lt;Extra&gt;&lt;DBUID&gt;{18AB8B06-4DB5-4401-9BEF-0F1052EF7853}&lt;/DBUID&gt;&lt;/Extra&gt;&lt;/Item&gt;&lt;/References&gt;&lt;/Group&gt;&lt;/Citation&gt;_x000a_"/>
    <w:docVar w:name="NE.Ref{CDD0D6F8-8BCE-4276-8957-49A4682C6DF1}" w:val=" ADDIN NE.Ref.{CDD0D6F8-8BCE-4276-8957-49A4682C6DF1}&lt;Citation&gt;&lt;Group&gt;&lt;References&gt;&lt;Item&gt;&lt;ID&gt;1218&lt;/ID&gt;&lt;UID&gt;{9C918360-1D93-4259-93F2-6407904692CA}&lt;/UID&gt;&lt;Title&gt;Ammonia emissions in the United States, European Union, and China derived by high‐resolution inversion of ammonium wet deposition data: Interpretation with a new agricultural emissions inventory (MASAGE_NH3)&lt;/Title&gt;&lt;Template&gt;Journal Article&lt;/Template&gt;&lt;Star&gt;1&lt;/Star&gt;&lt;Tag&gt;0&lt;/Tag&gt;&lt;Author&gt;Paulot, F; Jacob, D J; Pinder, R W; Bash, J O; Travis, K; Henze, D K&lt;/Author&gt;&lt;Year&gt;2014&lt;/Year&gt;&lt;Details&gt;&lt;_accessed&gt;64604757&lt;/_accessed&gt;&lt;_created&gt;63365283&lt;/_created&gt;&lt;_date&gt;59958720&lt;/_date&gt;&lt;_date_display&gt;2014&lt;/_date_display&gt;&lt;_db_updated&gt;PKU Search&lt;/_db_updated&gt;&lt;_doi&gt;10.1002/2013JD021130&lt;/_doi&gt;&lt;_impact_factor&gt;   5.217&lt;/_impact_factor&gt;&lt;_isbn&gt;2169-897X&lt;/_isbn&gt;&lt;_issue&gt;7&lt;/_issue&gt;&lt;_journal&gt;Journal of Geophysical Research: Atmospheres&lt;/_journal&gt;&lt;_keywords&gt;agriculture; ammonia; emission inventory; inverse method&lt;/_keywords&gt;&lt;_modified&gt;64658046&lt;/_modified&gt;&lt;_number&gt;1&lt;/_number&gt;&lt;_pages&gt;4343-4364&lt;/_pages&gt;&lt;_social_category&gt;地球科学(2)&lt;/_social_category&gt;&lt;_url&gt;http://pku.summon.serialssolutions.com/2.0.0/link/0/eLvHCXMwpV3NbtQwEB615QIHfgqoy081FxBIG5TY2Y2DuKy2XaoVCwiBhLhEHsdBy09SbbtFvSAegVfjFXgSZpxste0BCXFM5Dge-fP4m_F4BkCrJ3F0QSd4R9qauCrZHqlIGZvkrkpVlVSUDlwu94Y_zMyL12qyP5huwLPV1Zg2XcSZ_00WSlDfst4tHXXH_IpN-ERP93i_YpW8CZck_6RA_HtnX31qqZFOQ1U0lQzzyOTZ-y4Q_mIH57aodcoa9pzJtf8b3nW42nFNHLXguAEbvt6GK6OPiy7fht-G3oxJc7MIvnV8iOMvc2aw4ekm_BoJRucWpSScONWOcF4jE0ZsiSq2RLWPK4--vG_qPtq6xFCXG0vG9wm3pFOUvMi_f_xk674DO3d20jrrsKnQhn8tv-I3f8yfrWLJUCJYn-L50EgU5zFaZIsA7Zk0LOn6QCWOs1mc4qPZSE7NipcH-vEteDfZfzs-iLoKEJHYfWlkyJEzSUbG5qyaMu-ZMPlMeWZ9pfIUV9mAdEpDH3u2rbzXLnbKuJisN4qUvg1bdVP7HUBlM6uSMieXUsrIM7pMnCZGYVZpGugePFhNenHYJvoo2pTOqlifvh70wzz_tVExff5mT6hUeuffmt-Fy0oEl2SSw3uwdbxY-vuwefh5ucvc_9V4N2D6D_CG_jw&lt;/_url&gt;&lt;_volume&gt;119&lt;/_volume&gt;&lt;/Details&gt;&lt;Extra&gt;&lt;DBUID&gt;{18AB8B06-4DB5-4401-9BEF-0F1052EF7853}&lt;/DBUID&gt;&lt;/Extra&gt;&lt;/Item&gt;&lt;/References&gt;&lt;/Group&gt;&lt;/Citation&gt;_x000a_"/>
    <w:docVar w:name="NE.Ref{D952C4E4-CD36-4C7A-9680-FDBCB97380B6}" w:val=" ADDIN NE.Ref.{D952C4E4-CD36-4C7A-9680-FDBCB97380B6}&lt;Citation&gt;&lt;Group&gt;&lt;References&gt;&lt;Item&gt;&lt;ID&gt;2017&lt;/ID&gt;&lt;UID&gt;{43B93BD9-B53E-492E-8F1F-9652AAD58705}&lt;/UID&gt;&lt;Title&gt;Chemical Method for Nitrogen Isotopic Analysis of Ammonium at Natural Abundance&lt;/Title&gt;&lt;Template&gt;Journal Article&lt;/Template&gt;&lt;Star&gt;1&lt;/Star&gt;&lt;Tag&gt;0&lt;/Tag&gt;&lt;Author&gt;Liu, Dongwei; Fang, Yunting; Tu, Ying; Pan, Yuepeng&lt;/Author&gt;&lt;Year&gt;2014&lt;/Year&gt;&lt;Details&gt;&lt;_doi&gt;10.1021/ac403756u&lt;/_doi&gt;&lt;_created&gt;64655463&lt;/_created&gt;&lt;_modified&gt;64655463&lt;/_modified&gt;&lt;_url&gt;https://pubs.acs.org/doi/10.1021/ac403756u_x000d__x000a_https://pubs.acs.org/doi/pdf/10.1021/ac403756u&lt;/_url&gt;&lt;_journal&gt;Analytical Chemistry&lt;/_journal&gt;&lt;_volume&gt;86&lt;/_volume&gt;&lt;_issue&gt;8&lt;/_issue&gt;&lt;_pages&gt;3787-3792&lt;/_pages&gt;&lt;_tertiary_title&gt;Anal. Chem.&lt;/_tertiary_title&gt;&lt;_date&gt;60108480&lt;/_date&gt;&lt;_isbn&gt;0003-2700&lt;/_isbn&gt;&lt;_accessed&gt;64655463&lt;/_accessed&gt;&lt;_db_updated&gt;CrossRef&lt;/_db_updated&gt;&lt;_impact_factor&gt;   8.008&lt;/_impact_factor&gt;&lt;_social_category&gt;化学(1)&lt;/_social_category&gt;&lt;_collection_scope&gt;SCIE;EI&lt;/_collection_scope&gt;&lt;/Details&gt;&lt;Extra&gt;&lt;DBUID&gt;{18AB8B06-4DB5-4401-9BEF-0F1052EF7853}&lt;/DBUID&gt;&lt;/Extra&gt;&lt;/Item&gt;&lt;/References&gt;&lt;/Group&gt;&lt;/Citation&gt;_x000a_"/>
    <w:docVar w:name="NE.Ref{ECBD8DCF-7531-4903-886E-21E61B5E421B}" w:val=" ADDIN NE.Ref.{ECBD8DCF-7531-4903-886E-21E61B5E421B}&lt;Citation&gt;&lt;Group&gt;&lt;References&gt;&lt;Item&gt;&lt;ID&gt;2018&lt;/ID&gt;&lt;UID&gt;{AFD4B022-D1C4-4B3A-A15B-AD220AC65D7C}&lt;/UID&gt;&lt;Title&gt;Isotopic characterization of NHx-N in deposition and major emission sources&lt;/Title&gt;&lt;Template&gt;Journal Article&lt;/Template&gt;&lt;Star&gt;1&lt;/Star&gt;&lt;Tag&gt;0&lt;/Tag&gt;&lt;Author&gt;Ti, Chaopu; Gao, Bo; Luo, Yongxia; Wang, Xi; Wang, Shuwei; Yan, Xiaoyuan&lt;/Author&gt;&lt;Year&gt;2018&lt;/Year&gt;&lt;Details&gt;&lt;_doi&gt;10.1007/s10533-018-0432-3&lt;/_doi&gt;&lt;_created&gt;64655464&lt;/_created&gt;&lt;_modified&gt;64655464&lt;/_modified&gt;&lt;_url&gt;http://link.springer.com/10.1007/s10533-018-0432-3_x000d__x000a_http://link.springer.com/content/pdf/10.1007/s10533-018-0432-3.pdf&lt;/_url&gt;&lt;_journal&gt;Biogeochemistry&lt;/_journal&gt;&lt;_volume&gt;138&lt;/_volume&gt;&lt;_issue&gt;1&lt;/_issue&gt;&lt;_pages&gt;85-102&lt;/_pages&gt;&lt;_tertiary_title&gt;Biogeochemistry&lt;/_tertiary_title&gt;&lt;_isbn&gt;0168-2563&lt;/_isbn&gt;&lt;_accessed&gt;64655464&lt;/_accessed&gt;&lt;_db_updated&gt;CrossRef&lt;/_db_updated&gt;&lt;_impact_factor&gt;   4.812&lt;/_impact_factor&gt;&lt;_social_category&gt;环境科学与生态学(2)&lt;/_social_category&gt;&lt;_collection_scope&gt;SCIE&lt;/_collection_scope&gt;&lt;/Details&gt;&lt;Extra&gt;&lt;DBUID&gt;{18AB8B06-4DB5-4401-9BEF-0F1052EF7853}&lt;/DBUID&gt;&lt;/Extra&gt;&lt;/Item&gt;&lt;/References&gt;&lt;/Group&gt;&lt;/Citation&gt;_x000a_"/>
    <w:docVar w:name="NE.Ref{F84B3CF6-378D-44FE-8B90-85686A620871}" w:val=" ADDIN NE.Ref.{F84B3CF6-378D-44FE-8B90-85686A620871}&lt;Citation&gt;&lt;Group&gt;&lt;References&gt;&lt;Item&gt;&lt;ID&gt;1383&lt;/ID&gt;&lt;UID&gt;{A2582521-1EF8-4B9B-99B3-79CD9C4439DF}&lt;/UID&gt;&lt;Title&gt;Environmental impacts of nitrogen emissions in China and the role of policies in emission reduction&lt;/Title&gt;&lt;Template&gt;Journal Article&lt;/Template&gt;&lt;Star&gt;1&lt;/Star&gt;&lt;Tag&gt;0&lt;/Tag&gt;&lt;Author&gt;Liu, X J; Xu, W; &amp;quot;Du EZ&amp;quot;; Tang, A H; Zhang, Y; Zhang, Y Y; Wen, Z; Hao, T X; Pan, Y P; Zhang, L; Gu, B J; Zhao, Y; Shen, J L; Zhou, F; Gao, Z L; Feng, Z Z; Chang, Y H; Goulding, K; Collett, JL Jr; Vitousek, P M; Zhang, F S&lt;/Author&gt;&lt;Year&gt;2020&lt;/Year&gt;&lt;Details&gt;&lt;_accessed&gt;64655629&lt;/_accessed&gt;&lt;_accession_num&gt;32981443&lt;/_accession_num&gt;&lt;_author_adr&gt;College of Resources and Environmental Sciences, National Academy of Agriculture  Green Development, School of Agriculture Green Development, China Agricultural University, Beijing 100193, People&amp;apos;s Republic of China.; College of Resources and Environmental Sciences, National Academy of Agriculture  Green Development, School of Agriculture Green Development, China Agricultural University, Beijing 100193, People&amp;apos;s Republic of China.; State Key Laboratory of Earth Surface Processes and Resource Ecology, and School  of Natural Resources, Faculty of Geographical Science, Beijing Normal University, Beijing 100875, People&amp;apos;s Republic of China.; College of Resources and Environmental Sciences, National Academy of Agriculture  Green Development, School of Agriculture Green Development, China Agricultural University, Beijing 100193, People&amp;apos;s Republic of China.; College of Resources and Environmental Sciences, National Academy of Agriculture  Green Development, School of Agriculture Green Development, China Agricultural University, Beijing 100193, People&amp;apos;s Republic of China.; College of Resources and Environmental Sciences, National Academy of Agriculture  Green Development, School of Agriculture Green Development, China Agricultural University, Beijing 100193, People&amp;apos;s Republic of China.; College of Resources and Environmental Sciences, National Academy of Agriculture  Green Development, School of Agriculture Green Development, China Agricultural University, Beijing 100193, People&amp;apos;s Republic of China.; College of Resources and Environmental Sciences, National Academy of Agriculture  Green Development, School of Agriculture Green Development, China Agricultural University, Beijing 100193, People&amp;apos;s Republic of China.; State Key Laboratory of Atmospheric Boundary Layer Physics and Atmospheric Chemistry (LAPC), Institute of Atmospheric Physics, Chinese Academy of Sciences,  Beijing 100029, People&amp;apos;s Republic of China.; Laboratory for Climate and Ocean-Atmosphere Studies, Department of Atmospheric and Oceanic Sciences, School of Physics, Peking University, Beijing 100871, People&amp;apos;s Republic of China.; College of Environmental and Resource Sciences, Zhejiang University, Hangzhou 310058, People&amp;apos;s Republic of China.; State Key Laboratory of Pollution Control and Resource Reuse and School of the Environment, Nanjing University, Nanjing 210023, People&amp;apos;s Republic of China.; Institute of Subtropical Agriculture, Chinese Academy of Sciences, Changsha 410125, People&amp;apos;s Republic of China.; Sino-France Institute of Earth Systems Science, Laboratory for Earth Surface Processes, College of Urban and Environmental Sciences, Peking University, Beijing 100871, People&amp;apos;s Republic of China.; College of Resources and Environmental Sciences, Hebei Agricultural University, Baoding 071000, People&amp;apos;s Republic of China.; School of Applied Meteorology, Nanjing University of Information Science and Technology, Nanjing 210044, People&amp;apos;s Republic of China.; Yale-NUIST Center on Atmospheric Environment, Nanjing University of Information Science and Technology, Nanjing 210044, People&amp;apos;s Republic of China.; Department of Sustainable Agricultural Sciences, Rothamsted Research, Harpenden AL5 2JQ, UK.; Department of Atmospheric Science, Colorado State University, Fort Collins, CO 80523, USA.; Department of Biology, Stanford University, Stanford, CA 94016, USA.; College of Resources and Environmental Sciences, National Academy of Agriculture  Green Development, School of Agriculture Green Development, China Agricultural University, Beijing 100193, People&amp;apos;s Republic of China.&lt;/_author_adr&gt;&lt;_collection_scope&gt;SCIE;EI&lt;/_collection_scope&gt;&lt;_created&gt;63586635&lt;/_created&gt;&lt;_date&gt;63550080&lt;/_date&gt;&lt;_date_display&gt;2020 Oct 30&lt;/_date_display&gt;&lt;_db_updated&gt;PubMed&lt;/_db_updated&gt;&lt;_doi&gt;10.1098/rsta.2019.0324&lt;/_doi&gt;&lt;_impact_factor&gt;   4.019&lt;/_impact_factor&gt;&lt;_isbn&gt;1471-2962 (Electronic); 1364-503X (Linking)&lt;/_isbn&gt;&lt;_issue&gt;2183&lt;/_issue&gt;&lt;_journal&gt;Philos Trans A Math Phys Eng Sci&lt;/_journal&gt;&lt;_keywords&gt;China; ammonia; eutrophication; integrated nitrogen management; nitrogen oxides; particulate pollution&lt;/_keywords&gt;&lt;_language&gt;eng&lt;/_language&gt;&lt;_modified&gt;64655630&lt;/_modified&gt;&lt;_pages&gt;20190324&lt;/_pages&gt;&lt;_social_category&gt;综合性期刊(3)&lt;/_social_category&gt;&lt;_tertiary_title&gt;Philosophical transactions. Series A, Mathematical, physical, and engineering_x000d__x000a_      sciences&lt;/_tertiary_title&gt;&lt;_type_work&gt;Journal Article&lt;/_type_work&gt;&lt;_url&gt;http://www.ncbi.nlm.nih.gov/entrez/query.fcgi?cmd=Retrieve&amp;amp;db=pubmed&amp;amp;dopt=Abstract&amp;amp;list_uids=32981443&amp;amp;query_hl=1&lt;/_url&gt;&lt;_volume&gt;378&lt;/_volume&gt;&lt;/Details&gt;&lt;Extra&gt;&lt;DBUID&gt;{18AB8B06-4DB5-4401-9BEF-0F1052EF7853}&lt;/DBUID&gt;&lt;/Extra&gt;&lt;/Item&gt;&lt;/References&gt;&lt;/Group&gt;&lt;/Citation&gt;_x000a_"/>
    <w:docVar w:name="ne_docsoft" w:val="MSWord"/>
    <w:docVar w:name="ne_docversion" w:val="NoteExpress 2.0"/>
    <w:docVar w:name="ne_stylename" w:val="Nature Commu"/>
  </w:docVars>
  <w:rsids>
    <w:rsidRoot w:val="00DB7734"/>
    <w:rsid w:val="00001FCA"/>
    <w:rsid w:val="00004D11"/>
    <w:rsid w:val="00007026"/>
    <w:rsid w:val="00010493"/>
    <w:rsid w:val="00013472"/>
    <w:rsid w:val="000174C1"/>
    <w:rsid w:val="00017CE9"/>
    <w:rsid w:val="00025C41"/>
    <w:rsid w:val="00026770"/>
    <w:rsid w:val="0004602B"/>
    <w:rsid w:val="00054B6A"/>
    <w:rsid w:val="0006104C"/>
    <w:rsid w:val="00063A9F"/>
    <w:rsid w:val="00063F4D"/>
    <w:rsid w:val="00073187"/>
    <w:rsid w:val="00073BC6"/>
    <w:rsid w:val="00086334"/>
    <w:rsid w:val="000A4071"/>
    <w:rsid w:val="000B2D05"/>
    <w:rsid w:val="000C21BB"/>
    <w:rsid w:val="000C3846"/>
    <w:rsid w:val="000D11A5"/>
    <w:rsid w:val="000E34E2"/>
    <w:rsid w:val="000E3CF3"/>
    <w:rsid w:val="000E583E"/>
    <w:rsid w:val="000E6C5C"/>
    <w:rsid w:val="000F6859"/>
    <w:rsid w:val="00100573"/>
    <w:rsid w:val="00104109"/>
    <w:rsid w:val="00130543"/>
    <w:rsid w:val="001448F7"/>
    <w:rsid w:val="001550F7"/>
    <w:rsid w:val="001775B4"/>
    <w:rsid w:val="0018007E"/>
    <w:rsid w:val="00192915"/>
    <w:rsid w:val="001A4BC1"/>
    <w:rsid w:val="001B5B14"/>
    <w:rsid w:val="001C4F57"/>
    <w:rsid w:val="001D4DE4"/>
    <w:rsid w:val="001E1804"/>
    <w:rsid w:val="001E6107"/>
    <w:rsid w:val="0020190E"/>
    <w:rsid w:val="00204622"/>
    <w:rsid w:val="00206CB9"/>
    <w:rsid w:val="0021009D"/>
    <w:rsid w:val="002230D2"/>
    <w:rsid w:val="00224515"/>
    <w:rsid w:val="00225894"/>
    <w:rsid w:val="002319D0"/>
    <w:rsid w:val="002337BE"/>
    <w:rsid w:val="002343A7"/>
    <w:rsid w:val="002346AC"/>
    <w:rsid w:val="00237761"/>
    <w:rsid w:val="00256DBA"/>
    <w:rsid w:val="00285483"/>
    <w:rsid w:val="0028695C"/>
    <w:rsid w:val="002A6B29"/>
    <w:rsid w:val="002B3234"/>
    <w:rsid w:val="002B3A57"/>
    <w:rsid w:val="002E0B3C"/>
    <w:rsid w:val="002E6846"/>
    <w:rsid w:val="002F51FF"/>
    <w:rsid w:val="00300871"/>
    <w:rsid w:val="00314032"/>
    <w:rsid w:val="0032333E"/>
    <w:rsid w:val="00334107"/>
    <w:rsid w:val="003421B4"/>
    <w:rsid w:val="00351AE1"/>
    <w:rsid w:val="003556BF"/>
    <w:rsid w:val="0035747D"/>
    <w:rsid w:val="00360926"/>
    <w:rsid w:val="00361A5C"/>
    <w:rsid w:val="00375719"/>
    <w:rsid w:val="0038262E"/>
    <w:rsid w:val="00382CA7"/>
    <w:rsid w:val="003949AB"/>
    <w:rsid w:val="00394AE6"/>
    <w:rsid w:val="003A6B52"/>
    <w:rsid w:val="003B2A14"/>
    <w:rsid w:val="003B653C"/>
    <w:rsid w:val="003F49B5"/>
    <w:rsid w:val="00405D52"/>
    <w:rsid w:val="00413655"/>
    <w:rsid w:val="00417ACE"/>
    <w:rsid w:val="00421E0E"/>
    <w:rsid w:val="004252AD"/>
    <w:rsid w:val="00430ACD"/>
    <w:rsid w:val="0043362F"/>
    <w:rsid w:val="00436317"/>
    <w:rsid w:val="00460C5C"/>
    <w:rsid w:val="004731F8"/>
    <w:rsid w:val="0047617D"/>
    <w:rsid w:val="004775AD"/>
    <w:rsid w:val="00490282"/>
    <w:rsid w:val="004B567C"/>
    <w:rsid w:val="004C2045"/>
    <w:rsid w:val="004C2838"/>
    <w:rsid w:val="004C3573"/>
    <w:rsid w:val="004C5EEA"/>
    <w:rsid w:val="004C6753"/>
    <w:rsid w:val="004C7A6D"/>
    <w:rsid w:val="004D11AB"/>
    <w:rsid w:val="004D7B05"/>
    <w:rsid w:val="004F6885"/>
    <w:rsid w:val="004F7A55"/>
    <w:rsid w:val="004F7C96"/>
    <w:rsid w:val="00505146"/>
    <w:rsid w:val="0051329D"/>
    <w:rsid w:val="00520DFF"/>
    <w:rsid w:val="0057061F"/>
    <w:rsid w:val="005751B0"/>
    <w:rsid w:val="00597EF4"/>
    <w:rsid w:val="005A4048"/>
    <w:rsid w:val="005A6E0D"/>
    <w:rsid w:val="005B62F1"/>
    <w:rsid w:val="005C1BC4"/>
    <w:rsid w:val="005C7EF8"/>
    <w:rsid w:val="005D1776"/>
    <w:rsid w:val="005D1C7F"/>
    <w:rsid w:val="005E1143"/>
    <w:rsid w:val="005E6BC7"/>
    <w:rsid w:val="005F6D3C"/>
    <w:rsid w:val="006014D9"/>
    <w:rsid w:val="00604A12"/>
    <w:rsid w:val="00612388"/>
    <w:rsid w:val="00637718"/>
    <w:rsid w:val="0065107C"/>
    <w:rsid w:val="00657CEA"/>
    <w:rsid w:val="0066384E"/>
    <w:rsid w:val="00666AA9"/>
    <w:rsid w:val="0067747E"/>
    <w:rsid w:val="00677745"/>
    <w:rsid w:val="006809B3"/>
    <w:rsid w:val="00685B91"/>
    <w:rsid w:val="006A3116"/>
    <w:rsid w:val="006A5348"/>
    <w:rsid w:val="006A5FD5"/>
    <w:rsid w:val="006B2FBC"/>
    <w:rsid w:val="006D1425"/>
    <w:rsid w:val="006D29B1"/>
    <w:rsid w:val="006F62A2"/>
    <w:rsid w:val="00701578"/>
    <w:rsid w:val="007055D8"/>
    <w:rsid w:val="00705CBD"/>
    <w:rsid w:val="00715CF1"/>
    <w:rsid w:val="00717A51"/>
    <w:rsid w:val="00726C4C"/>
    <w:rsid w:val="007301A4"/>
    <w:rsid w:val="00745B9D"/>
    <w:rsid w:val="00763985"/>
    <w:rsid w:val="00770B35"/>
    <w:rsid w:val="007760BA"/>
    <w:rsid w:val="007869E8"/>
    <w:rsid w:val="007941F1"/>
    <w:rsid w:val="007B1AB5"/>
    <w:rsid w:val="007C0B05"/>
    <w:rsid w:val="007C0B80"/>
    <w:rsid w:val="007C3F6F"/>
    <w:rsid w:val="007C458D"/>
    <w:rsid w:val="007D0634"/>
    <w:rsid w:val="007E5E52"/>
    <w:rsid w:val="007F1AAC"/>
    <w:rsid w:val="007F3A78"/>
    <w:rsid w:val="007F7389"/>
    <w:rsid w:val="00814C0B"/>
    <w:rsid w:val="008205C6"/>
    <w:rsid w:val="00853BE4"/>
    <w:rsid w:val="00887070"/>
    <w:rsid w:val="00895E45"/>
    <w:rsid w:val="008B4636"/>
    <w:rsid w:val="008D1733"/>
    <w:rsid w:val="008E1E64"/>
    <w:rsid w:val="008E22B4"/>
    <w:rsid w:val="008E59FB"/>
    <w:rsid w:val="008F34C6"/>
    <w:rsid w:val="008F7189"/>
    <w:rsid w:val="0090246D"/>
    <w:rsid w:val="00906DF1"/>
    <w:rsid w:val="00907807"/>
    <w:rsid w:val="00914A9A"/>
    <w:rsid w:val="009200A9"/>
    <w:rsid w:val="009239A5"/>
    <w:rsid w:val="00926F29"/>
    <w:rsid w:val="009456BB"/>
    <w:rsid w:val="009460C2"/>
    <w:rsid w:val="00953CFA"/>
    <w:rsid w:val="00965872"/>
    <w:rsid w:val="00966ACA"/>
    <w:rsid w:val="00971458"/>
    <w:rsid w:val="0097223A"/>
    <w:rsid w:val="0097428D"/>
    <w:rsid w:val="009749D0"/>
    <w:rsid w:val="009757D2"/>
    <w:rsid w:val="009779AB"/>
    <w:rsid w:val="0098432F"/>
    <w:rsid w:val="00990503"/>
    <w:rsid w:val="009970A3"/>
    <w:rsid w:val="009C1EE4"/>
    <w:rsid w:val="009F77D5"/>
    <w:rsid w:val="00A06652"/>
    <w:rsid w:val="00A12511"/>
    <w:rsid w:val="00A14450"/>
    <w:rsid w:val="00A23EAF"/>
    <w:rsid w:val="00A52400"/>
    <w:rsid w:val="00A5458C"/>
    <w:rsid w:val="00A57E74"/>
    <w:rsid w:val="00A708FE"/>
    <w:rsid w:val="00A70F7C"/>
    <w:rsid w:val="00A74154"/>
    <w:rsid w:val="00A74228"/>
    <w:rsid w:val="00A976CE"/>
    <w:rsid w:val="00AA1B15"/>
    <w:rsid w:val="00AA4E7B"/>
    <w:rsid w:val="00AB366A"/>
    <w:rsid w:val="00AC0DC0"/>
    <w:rsid w:val="00AD1B51"/>
    <w:rsid w:val="00AE6D8B"/>
    <w:rsid w:val="00AE711F"/>
    <w:rsid w:val="00AE7C63"/>
    <w:rsid w:val="00AF39AD"/>
    <w:rsid w:val="00B0172E"/>
    <w:rsid w:val="00B07B82"/>
    <w:rsid w:val="00B10D4F"/>
    <w:rsid w:val="00B1380A"/>
    <w:rsid w:val="00B32676"/>
    <w:rsid w:val="00B40A5F"/>
    <w:rsid w:val="00B53A38"/>
    <w:rsid w:val="00B66405"/>
    <w:rsid w:val="00B70057"/>
    <w:rsid w:val="00B73D02"/>
    <w:rsid w:val="00B95B51"/>
    <w:rsid w:val="00BA40F6"/>
    <w:rsid w:val="00BA583D"/>
    <w:rsid w:val="00BB131B"/>
    <w:rsid w:val="00BD0DE3"/>
    <w:rsid w:val="00BD6A73"/>
    <w:rsid w:val="00BF1712"/>
    <w:rsid w:val="00C00FEA"/>
    <w:rsid w:val="00C03977"/>
    <w:rsid w:val="00C15269"/>
    <w:rsid w:val="00C209A4"/>
    <w:rsid w:val="00C27227"/>
    <w:rsid w:val="00C27926"/>
    <w:rsid w:val="00C91707"/>
    <w:rsid w:val="00C93395"/>
    <w:rsid w:val="00CB2FE7"/>
    <w:rsid w:val="00CB4E20"/>
    <w:rsid w:val="00CC0C8B"/>
    <w:rsid w:val="00CC1FC1"/>
    <w:rsid w:val="00CD150E"/>
    <w:rsid w:val="00CE1FBF"/>
    <w:rsid w:val="00CE39EA"/>
    <w:rsid w:val="00D020F3"/>
    <w:rsid w:val="00D0371E"/>
    <w:rsid w:val="00D16080"/>
    <w:rsid w:val="00D26A96"/>
    <w:rsid w:val="00D3629E"/>
    <w:rsid w:val="00D366F4"/>
    <w:rsid w:val="00D7308F"/>
    <w:rsid w:val="00DA5659"/>
    <w:rsid w:val="00DB49B7"/>
    <w:rsid w:val="00DB7734"/>
    <w:rsid w:val="00DC1ECF"/>
    <w:rsid w:val="00DE56A6"/>
    <w:rsid w:val="00DF14A5"/>
    <w:rsid w:val="00E00F33"/>
    <w:rsid w:val="00E02FEC"/>
    <w:rsid w:val="00E1355B"/>
    <w:rsid w:val="00E15C80"/>
    <w:rsid w:val="00E15F8C"/>
    <w:rsid w:val="00E272A1"/>
    <w:rsid w:val="00E4605C"/>
    <w:rsid w:val="00E47DEF"/>
    <w:rsid w:val="00E576BA"/>
    <w:rsid w:val="00E611F0"/>
    <w:rsid w:val="00E63E33"/>
    <w:rsid w:val="00E651DD"/>
    <w:rsid w:val="00E66F92"/>
    <w:rsid w:val="00E94D3A"/>
    <w:rsid w:val="00EA1717"/>
    <w:rsid w:val="00EA34DC"/>
    <w:rsid w:val="00EB2C84"/>
    <w:rsid w:val="00EB3164"/>
    <w:rsid w:val="00EB3B15"/>
    <w:rsid w:val="00EB71E7"/>
    <w:rsid w:val="00EC125C"/>
    <w:rsid w:val="00EC3DF9"/>
    <w:rsid w:val="00EE1805"/>
    <w:rsid w:val="00EE3100"/>
    <w:rsid w:val="00EF0DA8"/>
    <w:rsid w:val="00F05B9D"/>
    <w:rsid w:val="00F1649D"/>
    <w:rsid w:val="00F32DD6"/>
    <w:rsid w:val="00F46505"/>
    <w:rsid w:val="00F5645C"/>
    <w:rsid w:val="00F6457C"/>
    <w:rsid w:val="00F6704D"/>
    <w:rsid w:val="00F67D22"/>
    <w:rsid w:val="00F80822"/>
    <w:rsid w:val="00F824B6"/>
    <w:rsid w:val="00F86AD4"/>
    <w:rsid w:val="00FA176A"/>
    <w:rsid w:val="00FC5403"/>
    <w:rsid w:val="00FD2108"/>
    <w:rsid w:val="00FD6651"/>
    <w:rsid w:val="00FE1BDF"/>
    <w:rsid w:val="00FE307E"/>
    <w:rsid w:val="00FF59EE"/>
    <w:rsid w:val="00FF72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58CBE9"/>
  <w15:chartTrackingRefBased/>
  <w15:docId w15:val="{B94BF987-0982-4E6D-9BE4-8EB6E90D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0F33"/>
    <w:pPr>
      <w:widowControl w:val="0"/>
      <w:jc w:val="both"/>
    </w:pPr>
    <w:rPr>
      <w:rFonts w:ascii="Times New Roman" w:hAnsi="Times New Roman"/>
    </w:rPr>
  </w:style>
  <w:style w:type="paragraph" w:styleId="1">
    <w:name w:val="heading 1"/>
    <w:basedOn w:val="a"/>
    <w:next w:val="a"/>
    <w:link w:val="10"/>
    <w:uiPriority w:val="9"/>
    <w:qFormat/>
    <w:rsid w:val="00971458"/>
    <w:pPr>
      <w:keepNext/>
      <w:keepLines/>
      <w:spacing w:line="578" w:lineRule="auto"/>
      <w:jc w:val="left"/>
      <w:outlineLvl w:val="0"/>
    </w:pPr>
    <w:rPr>
      <w:b/>
      <w:bCs/>
      <w:kern w:val="44"/>
      <w:sz w:val="36"/>
      <w:szCs w:val="44"/>
    </w:rPr>
  </w:style>
  <w:style w:type="paragraph" w:styleId="2">
    <w:name w:val="heading 2"/>
    <w:basedOn w:val="a"/>
    <w:next w:val="a"/>
    <w:link w:val="20"/>
    <w:autoRedefine/>
    <w:uiPriority w:val="9"/>
    <w:unhideWhenUsed/>
    <w:qFormat/>
    <w:rsid w:val="00C93395"/>
    <w:pPr>
      <w:keepNext/>
      <w:keepLines/>
      <w:spacing w:line="360" w:lineRule="auto"/>
      <w:jc w:val="left"/>
      <w:outlineLvl w:val="1"/>
    </w:pPr>
    <w:rPr>
      <w:rFonts w:eastAsiaTheme="majorEastAsia" w:cstheme="majorBidi"/>
      <w:b/>
      <w:bCs/>
      <w:sz w:val="28"/>
      <w:szCs w:val="32"/>
    </w:rPr>
  </w:style>
  <w:style w:type="paragraph" w:styleId="3">
    <w:name w:val="heading 3"/>
    <w:basedOn w:val="a"/>
    <w:next w:val="a"/>
    <w:link w:val="30"/>
    <w:uiPriority w:val="9"/>
    <w:unhideWhenUsed/>
    <w:qFormat/>
    <w:rsid w:val="00FE307E"/>
    <w:pPr>
      <w:keepNext/>
      <w:keepLines/>
      <w:spacing w:line="288" w:lineRule="auto"/>
      <w:outlineLvl w:val="2"/>
    </w:pPr>
    <w:rPr>
      <w:b/>
      <w:bCs/>
      <w:sz w:val="24"/>
      <w:szCs w:val="32"/>
    </w:rPr>
  </w:style>
  <w:style w:type="paragraph" w:styleId="4">
    <w:name w:val="heading 4"/>
    <w:basedOn w:val="a"/>
    <w:next w:val="a"/>
    <w:link w:val="40"/>
    <w:autoRedefine/>
    <w:uiPriority w:val="9"/>
    <w:unhideWhenUsed/>
    <w:qFormat/>
    <w:rsid w:val="00E611F0"/>
    <w:pPr>
      <w:keepNext/>
      <w:keepLines/>
      <w:spacing w:before="120" w:after="80" w:line="360" w:lineRule="auto"/>
      <w:jc w:val="left"/>
      <w:outlineLvl w:val="3"/>
    </w:pPr>
    <w:rPr>
      <w:rFonts w:eastAsiaTheme="majorEastAsia" w:cstheme="majorBidi"/>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69E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869E8"/>
    <w:rPr>
      <w:sz w:val="18"/>
      <w:szCs w:val="18"/>
    </w:rPr>
  </w:style>
  <w:style w:type="paragraph" w:styleId="a5">
    <w:name w:val="footer"/>
    <w:basedOn w:val="a"/>
    <w:link w:val="a6"/>
    <w:uiPriority w:val="99"/>
    <w:unhideWhenUsed/>
    <w:rsid w:val="007869E8"/>
    <w:pPr>
      <w:tabs>
        <w:tab w:val="center" w:pos="4153"/>
        <w:tab w:val="right" w:pos="8306"/>
      </w:tabs>
      <w:snapToGrid w:val="0"/>
      <w:jc w:val="left"/>
    </w:pPr>
    <w:rPr>
      <w:sz w:val="18"/>
      <w:szCs w:val="18"/>
    </w:rPr>
  </w:style>
  <w:style w:type="character" w:customStyle="1" w:styleId="a6">
    <w:name w:val="页脚 字符"/>
    <w:basedOn w:val="a0"/>
    <w:link w:val="a5"/>
    <w:uiPriority w:val="99"/>
    <w:rsid w:val="007869E8"/>
    <w:rPr>
      <w:sz w:val="18"/>
      <w:szCs w:val="18"/>
    </w:rPr>
  </w:style>
  <w:style w:type="character" w:styleId="a7">
    <w:name w:val="Hyperlink"/>
    <w:rsid w:val="007869E8"/>
    <w:rPr>
      <w:strike w:val="0"/>
      <w:dstrike w:val="0"/>
      <w:color w:val="000000"/>
      <w:u w:val="none"/>
    </w:rPr>
  </w:style>
  <w:style w:type="paragraph" w:styleId="a8">
    <w:name w:val="caption"/>
    <w:basedOn w:val="a"/>
    <w:next w:val="a"/>
    <w:qFormat/>
    <w:rsid w:val="007869E8"/>
    <w:rPr>
      <w:rFonts w:ascii="Cambria" w:eastAsia="黑体" w:hAnsi="Cambria" w:cs="Times New Roman"/>
      <w:sz w:val="20"/>
      <w:szCs w:val="20"/>
    </w:rPr>
  </w:style>
  <w:style w:type="paragraph" w:customStyle="1" w:styleId="31">
    <w:name w:val="标题3"/>
    <w:basedOn w:val="a"/>
    <w:next w:val="a"/>
    <w:link w:val="32"/>
    <w:qFormat/>
    <w:rsid w:val="00CE39EA"/>
    <w:pPr>
      <w:spacing w:line="360" w:lineRule="auto"/>
      <w:outlineLvl w:val="2"/>
    </w:pPr>
    <w:rPr>
      <w:rFonts w:eastAsia="宋体" w:cs="Times New Roman"/>
      <w:b/>
      <w:sz w:val="24"/>
      <w:szCs w:val="24"/>
    </w:rPr>
  </w:style>
  <w:style w:type="character" w:customStyle="1" w:styleId="32">
    <w:name w:val="标题3 字符"/>
    <w:basedOn w:val="a0"/>
    <w:link w:val="31"/>
    <w:rsid w:val="00CE39EA"/>
    <w:rPr>
      <w:rFonts w:ascii="Times New Roman" w:eastAsia="宋体" w:hAnsi="Times New Roman" w:cs="Times New Roman"/>
      <w:b/>
      <w:sz w:val="24"/>
      <w:szCs w:val="24"/>
    </w:rPr>
  </w:style>
  <w:style w:type="paragraph" w:styleId="a9">
    <w:name w:val="List Paragraph"/>
    <w:basedOn w:val="a"/>
    <w:uiPriority w:val="34"/>
    <w:qFormat/>
    <w:rsid w:val="001C4F57"/>
    <w:pPr>
      <w:spacing w:line="360" w:lineRule="auto"/>
      <w:ind w:firstLineChars="200" w:firstLine="420"/>
    </w:pPr>
    <w:rPr>
      <w:rFonts w:eastAsia="宋体" w:cs="Times New Roman"/>
      <w:sz w:val="24"/>
      <w:szCs w:val="24"/>
    </w:rPr>
  </w:style>
  <w:style w:type="paragraph" w:styleId="aa">
    <w:name w:val="Body Text"/>
    <w:basedOn w:val="a"/>
    <w:link w:val="ab"/>
    <w:uiPriority w:val="1"/>
    <w:qFormat/>
    <w:rsid w:val="001C4F57"/>
    <w:pPr>
      <w:spacing w:before="135"/>
      <w:ind w:left="118"/>
      <w:jc w:val="left"/>
    </w:pPr>
    <w:rPr>
      <w:rFonts w:ascii="宋体" w:eastAsia="宋体" w:hAnsi="宋体"/>
      <w:kern w:val="0"/>
      <w:sz w:val="24"/>
      <w:szCs w:val="24"/>
      <w:lang w:eastAsia="en-US"/>
    </w:rPr>
  </w:style>
  <w:style w:type="character" w:customStyle="1" w:styleId="ab">
    <w:name w:val="正文文本 字符"/>
    <w:basedOn w:val="a0"/>
    <w:link w:val="aa"/>
    <w:uiPriority w:val="1"/>
    <w:rsid w:val="001C4F57"/>
    <w:rPr>
      <w:rFonts w:ascii="宋体" w:eastAsia="宋体" w:hAnsi="宋体"/>
      <w:kern w:val="0"/>
      <w:sz w:val="24"/>
      <w:szCs w:val="24"/>
      <w:lang w:eastAsia="en-US"/>
    </w:rPr>
  </w:style>
  <w:style w:type="character" w:customStyle="1" w:styleId="10">
    <w:name w:val="标题 1 字符"/>
    <w:basedOn w:val="a0"/>
    <w:link w:val="1"/>
    <w:uiPriority w:val="9"/>
    <w:rsid w:val="00971458"/>
    <w:rPr>
      <w:rFonts w:ascii="Times New Roman" w:hAnsi="Times New Roman"/>
      <w:b/>
      <w:bCs/>
      <w:kern w:val="44"/>
      <w:sz w:val="36"/>
      <w:szCs w:val="44"/>
    </w:rPr>
  </w:style>
  <w:style w:type="character" w:customStyle="1" w:styleId="20">
    <w:name w:val="标题 2 字符"/>
    <w:basedOn w:val="a0"/>
    <w:link w:val="2"/>
    <w:uiPriority w:val="9"/>
    <w:rsid w:val="00C93395"/>
    <w:rPr>
      <w:rFonts w:ascii="Times New Roman" w:eastAsiaTheme="majorEastAsia" w:hAnsi="Times New Roman" w:cstheme="majorBidi"/>
      <w:b/>
      <w:bCs/>
      <w:sz w:val="28"/>
      <w:szCs w:val="32"/>
    </w:rPr>
  </w:style>
  <w:style w:type="character" w:customStyle="1" w:styleId="30">
    <w:name w:val="标题 3 字符"/>
    <w:basedOn w:val="a0"/>
    <w:link w:val="3"/>
    <w:uiPriority w:val="9"/>
    <w:rsid w:val="00FE307E"/>
    <w:rPr>
      <w:rFonts w:ascii="Times New Roman" w:hAnsi="Times New Roman"/>
      <w:b/>
      <w:bCs/>
      <w:sz w:val="24"/>
      <w:szCs w:val="32"/>
    </w:rPr>
  </w:style>
  <w:style w:type="paragraph" w:styleId="ac">
    <w:name w:val="Balloon Text"/>
    <w:basedOn w:val="a"/>
    <w:link w:val="ad"/>
    <w:uiPriority w:val="99"/>
    <w:semiHidden/>
    <w:unhideWhenUsed/>
    <w:rsid w:val="00971458"/>
    <w:rPr>
      <w:sz w:val="18"/>
      <w:szCs w:val="18"/>
    </w:rPr>
  </w:style>
  <w:style w:type="character" w:customStyle="1" w:styleId="ad">
    <w:name w:val="批注框文本 字符"/>
    <w:basedOn w:val="a0"/>
    <w:link w:val="ac"/>
    <w:uiPriority w:val="99"/>
    <w:semiHidden/>
    <w:rsid w:val="00971458"/>
    <w:rPr>
      <w:rFonts w:ascii="Times New Roman" w:hAnsi="Times New Roman"/>
      <w:sz w:val="18"/>
      <w:szCs w:val="18"/>
    </w:rPr>
  </w:style>
  <w:style w:type="character" w:customStyle="1" w:styleId="40">
    <w:name w:val="标题 4 字符"/>
    <w:basedOn w:val="a0"/>
    <w:link w:val="4"/>
    <w:uiPriority w:val="9"/>
    <w:rsid w:val="00E611F0"/>
    <w:rPr>
      <w:rFonts w:ascii="Times New Roman" w:eastAsiaTheme="majorEastAsia" w:hAnsi="Times New Roman" w:cstheme="majorBidi"/>
      <w:b/>
      <w:b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657746">
      <w:bodyDiv w:val="1"/>
      <w:marLeft w:val="0"/>
      <w:marRight w:val="0"/>
      <w:marTop w:val="0"/>
      <w:marBottom w:val="0"/>
      <w:divBdr>
        <w:top w:val="none" w:sz="0" w:space="0" w:color="auto"/>
        <w:left w:val="none" w:sz="0" w:space="0" w:color="auto"/>
        <w:bottom w:val="none" w:sz="0" w:space="0" w:color="auto"/>
        <w:right w:val="none" w:sz="0" w:space="0" w:color="auto"/>
      </w:divBdr>
    </w:div>
    <w:div w:id="805583601">
      <w:bodyDiv w:val="1"/>
      <w:marLeft w:val="0"/>
      <w:marRight w:val="0"/>
      <w:marTop w:val="0"/>
      <w:marBottom w:val="0"/>
      <w:divBdr>
        <w:top w:val="none" w:sz="0" w:space="0" w:color="auto"/>
        <w:left w:val="none" w:sz="0" w:space="0" w:color="auto"/>
        <w:bottom w:val="none" w:sz="0" w:space="0" w:color="auto"/>
        <w:right w:val="none" w:sz="0" w:space="0" w:color="auto"/>
      </w:divBdr>
    </w:div>
    <w:div w:id="1172377972">
      <w:bodyDiv w:val="1"/>
      <w:marLeft w:val="0"/>
      <w:marRight w:val="0"/>
      <w:marTop w:val="0"/>
      <w:marBottom w:val="0"/>
      <w:divBdr>
        <w:top w:val="none" w:sz="0" w:space="0" w:color="auto"/>
        <w:left w:val="none" w:sz="0" w:space="0" w:color="auto"/>
        <w:bottom w:val="none" w:sz="0" w:space="0" w:color="auto"/>
        <w:right w:val="none" w:sz="0" w:space="0" w:color="auto"/>
      </w:divBdr>
    </w:div>
    <w:div w:id="1442644201">
      <w:bodyDiv w:val="1"/>
      <w:marLeft w:val="0"/>
      <w:marRight w:val="0"/>
      <w:marTop w:val="0"/>
      <w:marBottom w:val="0"/>
      <w:divBdr>
        <w:top w:val="none" w:sz="0" w:space="0" w:color="auto"/>
        <w:left w:val="none" w:sz="0" w:space="0" w:color="auto"/>
        <w:bottom w:val="none" w:sz="0" w:space="0" w:color="auto"/>
        <w:right w:val="none" w:sz="0" w:space="0" w:color="auto"/>
      </w:divBdr>
    </w:div>
    <w:div w:id="1478380433">
      <w:bodyDiv w:val="1"/>
      <w:marLeft w:val="0"/>
      <w:marRight w:val="0"/>
      <w:marTop w:val="0"/>
      <w:marBottom w:val="0"/>
      <w:divBdr>
        <w:top w:val="none" w:sz="0" w:space="0" w:color="auto"/>
        <w:left w:val="none" w:sz="0" w:space="0" w:color="auto"/>
        <w:bottom w:val="none" w:sz="0" w:space="0" w:color="auto"/>
        <w:right w:val="none" w:sz="0" w:space="0" w:color="auto"/>
      </w:divBdr>
    </w:div>
    <w:div w:id="1698460807">
      <w:bodyDiv w:val="1"/>
      <w:marLeft w:val="0"/>
      <w:marRight w:val="0"/>
      <w:marTop w:val="0"/>
      <w:marBottom w:val="0"/>
      <w:divBdr>
        <w:top w:val="none" w:sz="0" w:space="0" w:color="auto"/>
        <w:left w:val="none" w:sz="0" w:space="0" w:color="auto"/>
        <w:bottom w:val="none" w:sz="0" w:space="0" w:color="auto"/>
        <w:right w:val="none" w:sz="0" w:space="0" w:color="auto"/>
      </w:divBdr>
    </w:div>
    <w:div w:id="1823891433">
      <w:bodyDiv w:val="1"/>
      <w:marLeft w:val="0"/>
      <w:marRight w:val="0"/>
      <w:marTop w:val="0"/>
      <w:marBottom w:val="0"/>
      <w:divBdr>
        <w:top w:val="none" w:sz="0" w:space="0" w:color="auto"/>
        <w:left w:val="none" w:sz="0" w:space="0" w:color="auto"/>
        <w:bottom w:val="none" w:sz="0" w:space="0" w:color="auto"/>
        <w:right w:val="none" w:sz="0" w:space="0" w:color="auto"/>
      </w:divBdr>
    </w:div>
    <w:div w:id="213485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png"/><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CAE71-DF9A-4435-B722-74D44A74F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3933</Words>
  <Characters>22424</Characters>
  <Application>Microsoft Office Word</Application>
  <DocSecurity>0</DocSecurity>
  <Lines>186</Lines>
  <Paragraphs>52</Paragraphs>
  <ScaleCrop>false</ScaleCrop>
  <Company/>
  <LinksUpToDate>false</LinksUpToDate>
  <CharactersWithSpaces>26305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Chen</dc:creator>
  <cp:keywords/>
  <dc:description>NE.Bib</dc:description>
  <cp:lastModifiedBy>Wang Chen</cp:lastModifiedBy>
  <cp:revision>5</cp:revision>
  <dcterms:created xsi:type="dcterms:W3CDTF">2022-12-09T00:38:00Z</dcterms:created>
  <dcterms:modified xsi:type="dcterms:W3CDTF">2022-12-20T02:10:00Z</dcterms:modified>
</cp:coreProperties>
</file>