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3983" w14:textId="292A8EF1" w:rsidR="00C54BBB" w:rsidRDefault="00A670D6" w:rsidP="00E61818">
      <w:pPr>
        <w:pStyle w:val="Heading1"/>
        <w:rPr>
          <w:rFonts w:ascii="Times New Roman" w:hAnsi="Times New Roman" w:cs="Times New Roman"/>
        </w:rPr>
      </w:pPr>
      <w:bookmarkStart w:id="0" w:name="_Toc121731907"/>
      <w:r w:rsidRPr="00A670D6">
        <w:rPr>
          <w:rFonts w:ascii="Times New Roman" w:hAnsi="Times New Roman" w:cs="Times New Roman"/>
        </w:rPr>
        <w:t>Supplementary file 1: Supplementary tables and figures</w:t>
      </w:r>
      <w:r>
        <w:rPr>
          <w:rFonts w:ascii="Times New Roman" w:hAnsi="Times New Roman" w:cs="Times New Roman"/>
        </w:rPr>
        <w:t xml:space="preserve"> for </w:t>
      </w:r>
      <w:r w:rsidR="00C54BBB" w:rsidRPr="00D96847">
        <w:rPr>
          <w:rFonts w:ascii="Times New Roman" w:hAnsi="Times New Roman" w:cs="Times New Roman"/>
        </w:rPr>
        <w:t>Comparison of statistical methods used to meta-analyse results from interrupted time series studies: an empirical study</w:t>
      </w:r>
      <w:bookmarkEnd w:id="0"/>
    </w:p>
    <w:p w14:paraId="59F306B1" w14:textId="08D8F6E2" w:rsidR="00C54BBB" w:rsidRDefault="00C54BBB" w:rsidP="00E61818"/>
    <w:p w14:paraId="7CA554E0" w14:textId="77777777" w:rsidR="00A670D6" w:rsidRDefault="00A670D6" w:rsidP="00A670D6">
      <w:pPr>
        <w:spacing w:line="480" w:lineRule="auto"/>
        <w:rPr>
          <w:rFonts w:ascii="Times" w:hAnsi="Times" w:cs="Times"/>
          <w:sz w:val="24"/>
          <w:szCs w:val="24"/>
        </w:rPr>
      </w:pPr>
      <w:r>
        <w:rPr>
          <w:rFonts w:ascii="Times" w:hAnsi="Times" w:cs="Times"/>
          <w:sz w:val="24"/>
          <w:szCs w:val="24"/>
        </w:rPr>
        <w:t>Appendix 1 – Example ITS study and descriptions of meta-analysis modifications</w:t>
      </w:r>
    </w:p>
    <w:p w14:paraId="1690C824" w14:textId="77777777" w:rsidR="00A670D6" w:rsidRDefault="00A670D6" w:rsidP="00A670D6">
      <w:pPr>
        <w:spacing w:line="480" w:lineRule="auto"/>
        <w:rPr>
          <w:rFonts w:ascii="Times" w:hAnsi="Times" w:cs="Times"/>
          <w:sz w:val="24"/>
          <w:szCs w:val="24"/>
        </w:rPr>
      </w:pPr>
      <w:r>
        <w:rPr>
          <w:rFonts w:ascii="Times" w:hAnsi="Times" w:cs="Times"/>
          <w:sz w:val="24"/>
          <w:szCs w:val="24"/>
        </w:rPr>
        <w:t>Appendix 2 – Additional results tables and figures</w:t>
      </w:r>
    </w:p>
    <w:p w14:paraId="14215D70" w14:textId="77777777" w:rsidR="00A670D6" w:rsidRDefault="00A670D6" w:rsidP="00A670D6">
      <w:pPr>
        <w:spacing w:line="480" w:lineRule="auto"/>
        <w:rPr>
          <w:rFonts w:ascii="Times" w:hAnsi="Times" w:cs="Times"/>
          <w:sz w:val="24"/>
          <w:szCs w:val="24"/>
        </w:rPr>
      </w:pPr>
      <w:r>
        <w:rPr>
          <w:rFonts w:ascii="Times" w:hAnsi="Times" w:cs="Times"/>
          <w:sz w:val="24"/>
          <w:szCs w:val="24"/>
        </w:rPr>
        <w:t>Appendix 3 – Sensitivity analysis results</w:t>
      </w:r>
    </w:p>
    <w:p w14:paraId="0683E83D" w14:textId="5F0A4862" w:rsidR="00A670D6" w:rsidRPr="00A670D6" w:rsidRDefault="00A670D6" w:rsidP="00A670D6">
      <w:pPr>
        <w:spacing w:line="480" w:lineRule="auto"/>
        <w:rPr>
          <w:rFonts w:ascii="Times" w:hAnsi="Times" w:cs="Times"/>
          <w:sz w:val="24"/>
          <w:szCs w:val="24"/>
        </w:rPr>
      </w:pPr>
      <w:r>
        <w:rPr>
          <w:rFonts w:ascii="Times" w:hAnsi="Times" w:cs="Times"/>
          <w:sz w:val="24"/>
          <w:szCs w:val="24"/>
        </w:rPr>
        <w:t>Appendix 4 – Reviews that contributed data.</w:t>
      </w:r>
    </w:p>
    <w:p w14:paraId="5B54A5AA" w14:textId="77777777" w:rsidR="00C54BBB" w:rsidRPr="00D96847" w:rsidRDefault="00C54BBB" w:rsidP="00CC5E74">
      <w:pPr>
        <w:pStyle w:val="Heading2"/>
        <w:rPr>
          <w:rFonts w:ascii="Times New Roman" w:hAnsi="Times New Roman" w:cs="Times New Roman"/>
        </w:rPr>
      </w:pPr>
      <w:bookmarkStart w:id="1" w:name="_Toc121731908"/>
      <w:r w:rsidRPr="00D96847">
        <w:rPr>
          <w:rFonts w:ascii="Times New Roman" w:hAnsi="Times New Roman" w:cs="Times New Roman"/>
        </w:rPr>
        <w:t xml:space="preserve">Appendix 1 – </w:t>
      </w:r>
      <w:r>
        <w:rPr>
          <w:rFonts w:ascii="Times New Roman" w:hAnsi="Times New Roman" w:cs="Times New Roman"/>
        </w:rPr>
        <w:t>Example ITS study and descriptions of meta-analysis modifications</w:t>
      </w:r>
      <w:bookmarkEnd w:id="1"/>
    </w:p>
    <w:p w14:paraId="59646424" w14:textId="77777777" w:rsidR="00C54BBB" w:rsidRPr="00D96847" w:rsidRDefault="00C54BBB" w:rsidP="002C71CC">
      <w:pPr>
        <w:pStyle w:val="Heading3"/>
        <w:rPr>
          <w:rFonts w:ascii="Times New Roman" w:hAnsi="Times New Roman" w:cs="Times New Roman"/>
        </w:rPr>
      </w:pPr>
      <w:bookmarkStart w:id="2" w:name="_Toc121731909"/>
      <w:r w:rsidRPr="00D96847">
        <w:rPr>
          <w:rFonts w:ascii="Times New Roman" w:hAnsi="Times New Roman" w:cs="Times New Roman"/>
        </w:rPr>
        <w:t>Appendix Figure S1</w:t>
      </w:r>
      <w:r w:rsidRPr="00340629">
        <w:rPr>
          <w:rFonts w:ascii="Times New Roman" w:hAnsi="Times New Roman" w:cs="Times New Roman"/>
          <w:color w:val="222222"/>
          <w:shd w:val="clear" w:color="auto" w:fill="FFFFFF"/>
        </w:rPr>
        <w:t xml:space="preserve"> </w:t>
      </w:r>
      <w:r w:rsidRPr="00D96847">
        <w:rPr>
          <w:rFonts w:ascii="Times New Roman" w:hAnsi="Times New Roman" w:cs="Times New Roman"/>
          <w:color w:val="222222"/>
          <w:shd w:val="clear" w:color="auto" w:fill="FFFFFF"/>
        </w:rPr>
        <w:t>Example of interrupted time series data</w:t>
      </w:r>
      <w:bookmarkEnd w:id="2"/>
      <w:r w:rsidRPr="00D96847">
        <w:rPr>
          <w:rFonts w:ascii="Times New Roman" w:hAnsi="Times New Roman" w:cs="Times New Roman"/>
          <w:color w:val="222222"/>
          <w:shd w:val="clear" w:color="auto" w:fill="FFFFFF"/>
        </w:rPr>
        <w:t xml:space="preserve"> </w:t>
      </w:r>
    </w:p>
    <w:p w14:paraId="7B629CCE" w14:textId="77777777" w:rsidR="00C54BBB" w:rsidRPr="00D96847" w:rsidRDefault="00C54BBB" w:rsidP="002C71CC">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54BBB" w:rsidRPr="00D96847" w14:paraId="0D55001B" w14:textId="77777777" w:rsidTr="00897B62">
        <w:trPr>
          <w:jc w:val="center"/>
        </w:trPr>
        <w:tc>
          <w:tcPr>
            <w:tcW w:w="12044" w:type="dxa"/>
          </w:tcPr>
          <w:p w14:paraId="112681FA" w14:textId="77777777" w:rsidR="00C54BBB" w:rsidRPr="00D96847" w:rsidRDefault="00C54BBB" w:rsidP="00D96847">
            <w:pPr>
              <w:jc w:val="center"/>
              <w:rPr>
                <w:rFonts w:ascii="Times New Roman" w:hAnsi="Times New Roman" w:cs="Times New Roman"/>
              </w:rPr>
            </w:pPr>
            <w:r w:rsidRPr="00D96847">
              <w:rPr>
                <w:rFonts w:ascii="Times New Roman" w:hAnsi="Times New Roman" w:cs="Times New Roman"/>
                <w:noProof/>
              </w:rPr>
              <w:drawing>
                <wp:inline distT="0" distB="0" distL="0" distR="0" wp14:anchorId="1AA0F53B" wp14:editId="2BEC9042">
                  <wp:extent cx="4598046" cy="32305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3391" cy="3234349"/>
                          </a:xfrm>
                          <a:prstGeom prst="rect">
                            <a:avLst/>
                          </a:prstGeom>
                          <a:noFill/>
                          <a:ln>
                            <a:noFill/>
                          </a:ln>
                        </pic:spPr>
                      </pic:pic>
                    </a:graphicData>
                  </a:graphic>
                </wp:inline>
              </w:drawing>
            </w:r>
          </w:p>
        </w:tc>
      </w:tr>
      <w:tr w:rsidR="00C54BBB" w:rsidRPr="00D96847" w14:paraId="2746AE0B" w14:textId="77777777" w:rsidTr="00897B62">
        <w:trPr>
          <w:jc w:val="center"/>
        </w:trPr>
        <w:tc>
          <w:tcPr>
            <w:tcW w:w="12044" w:type="dxa"/>
          </w:tcPr>
          <w:p w14:paraId="10F1CCB3" w14:textId="77777777" w:rsidR="00C54BBB" w:rsidRPr="00D96847" w:rsidRDefault="00C54BBB" w:rsidP="00897B62">
            <w:pPr>
              <w:spacing w:after="160" w:line="360" w:lineRule="auto"/>
              <w:rPr>
                <w:rFonts w:ascii="Times New Roman" w:hAnsi="Times New Roman" w:cs="Times New Roman"/>
              </w:rPr>
            </w:pPr>
            <w:r w:rsidRPr="00897B62">
              <w:rPr>
                <w:rFonts w:ascii="Times" w:hAnsi="Times" w:cs="Times"/>
                <w:sz w:val="24"/>
                <w:szCs w:val="24"/>
              </w:rPr>
              <w:t>Appendix Figure S1. Example of interrupted time series data plotted for Study 2; shows the purchased of common checkout foods over time (months) before (left of the vertical green dashed line) and after (right) the introduction of supermarket policies for checkout food items</w:t>
            </w:r>
            <w:r w:rsidRPr="00430885">
              <w:rPr>
                <w:rFonts w:ascii="Times" w:hAnsi="Times" w:cs="Times"/>
                <w:sz w:val="24"/>
                <w:szCs w:val="24"/>
                <w:vertAlign w:val="superscript"/>
              </w:rPr>
              <w:t>1</w:t>
            </w:r>
            <w:r w:rsidRPr="00897B62">
              <w:rPr>
                <w:rFonts w:ascii="Times" w:hAnsi="Times" w:cs="Times"/>
                <w:sz w:val="24"/>
                <w:szCs w:val="24"/>
              </w:rPr>
              <w:t>. The crosses represent data points, the solid black lines represent the pre- and post-interruption trend lines and the dashed black line represents the counterfactual trend line.</w:t>
            </w:r>
          </w:p>
        </w:tc>
      </w:tr>
    </w:tbl>
    <w:p w14:paraId="5D8FAC9E" w14:textId="77777777" w:rsidR="00C54BBB" w:rsidRPr="00D96847" w:rsidRDefault="00C54BBB" w:rsidP="002C71CC">
      <w:pPr>
        <w:rPr>
          <w:rFonts w:ascii="Times New Roman" w:hAnsi="Times New Roman" w:cs="Times New Roman"/>
        </w:rPr>
      </w:pPr>
    </w:p>
    <w:p w14:paraId="54B14ADD" w14:textId="77777777" w:rsidR="004311FF" w:rsidRDefault="004311FF" w:rsidP="00340629">
      <w:pPr>
        <w:pStyle w:val="Heading3"/>
        <w:rPr>
          <w:rFonts w:ascii="Times New Roman" w:hAnsi="Times New Roman" w:cs="Times New Roman"/>
        </w:rPr>
        <w:sectPr w:rsidR="004311FF" w:rsidSect="002D745A">
          <w:pgSz w:w="11906" w:h="16838"/>
          <w:pgMar w:top="1440" w:right="1440" w:bottom="1440" w:left="1440" w:header="708" w:footer="708" w:gutter="0"/>
          <w:cols w:space="708"/>
          <w:docGrid w:linePitch="360"/>
        </w:sectPr>
      </w:pPr>
      <w:bookmarkStart w:id="3" w:name="_Toc121731910"/>
    </w:p>
    <w:p w14:paraId="6BDE1452" w14:textId="36DCEE5E" w:rsidR="00C54BBB" w:rsidRPr="00D96847" w:rsidRDefault="00C54BBB" w:rsidP="00340629">
      <w:pPr>
        <w:pStyle w:val="Heading3"/>
        <w:rPr>
          <w:rFonts w:ascii="Times New Roman" w:hAnsi="Times New Roman" w:cs="Times New Roman"/>
        </w:rPr>
      </w:pPr>
      <w:r w:rsidRPr="00D96847">
        <w:rPr>
          <w:rFonts w:ascii="Times New Roman" w:hAnsi="Times New Roman" w:cs="Times New Roman"/>
        </w:rPr>
        <w:lastRenderedPageBreak/>
        <w:t xml:space="preserve">Appendix Table S1. Description and justification of the modifications </w:t>
      </w:r>
      <w:r>
        <w:rPr>
          <w:rFonts w:ascii="Times New Roman" w:hAnsi="Times New Roman" w:cs="Times New Roman"/>
        </w:rPr>
        <w:t>to the original meta-analysis and our assumptions/modifications to the included ITS studies</w:t>
      </w:r>
      <w:bookmarkEnd w:id="3"/>
    </w:p>
    <w:tbl>
      <w:tblPr>
        <w:tblStyle w:val="TableGrid"/>
        <w:tblW w:w="140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2075"/>
        <w:gridCol w:w="3562"/>
        <w:gridCol w:w="3570"/>
        <w:gridCol w:w="3402"/>
      </w:tblGrid>
      <w:tr w:rsidR="00C54BBB" w:rsidRPr="00D96847" w14:paraId="43844FDF" w14:textId="77777777" w:rsidTr="00A20892">
        <w:trPr>
          <w:cantSplit/>
          <w:tblHeader/>
          <w:jc w:val="center"/>
        </w:trPr>
        <w:tc>
          <w:tcPr>
            <w:tcW w:w="1418" w:type="dxa"/>
            <w:tcBorders>
              <w:top w:val="single" w:sz="4" w:space="0" w:color="auto"/>
              <w:bottom w:val="single" w:sz="4" w:space="0" w:color="auto"/>
            </w:tcBorders>
            <w:shd w:val="clear" w:color="auto" w:fill="E7E6E6" w:themeFill="background2"/>
          </w:tcPr>
          <w:p w14:paraId="41BE6F59"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Modification reference number</w:t>
            </w:r>
          </w:p>
          <w:p w14:paraId="41C26FFD"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A indicates meta-analysis modification,</w:t>
            </w:r>
          </w:p>
          <w:p w14:paraId="5B4F21C3"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B indicates ITS study modification</w:t>
            </w:r>
          </w:p>
        </w:tc>
        <w:tc>
          <w:tcPr>
            <w:tcW w:w="2080" w:type="dxa"/>
            <w:tcBorders>
              <w:top w:val="single" w:sz="4" w:space="0" w:color="auto"/>
              <w:bottom w:val="single" w:sz="4" w:space="0" w:color="auto"/>
            </w:tcBorders>
            <w:shd w:val="clear" w:color="auto" w:fill="E7E6E6" w:themeFill="background2"/>
          </w:tcPr>
          <w:p w14:paraId="05CF226A"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Modification topic</w:t>
            </w:r>
          </w:p>
        </w:tc>
        <w:tc>
          <w:tcPr>
            <w:tcW w:w="3576" w:type="dxa"/>
            <w:tcBorders>
              <w:top w:val="single" w:sz="4" w:space="0" w:color="auto"/>
              <w:bottom w:val="single" w:sz="4" w:space="0" w:color="auto"/>
            </w:tcBorders>
            <w:shd w:val="clear" w:color="auto" w:fill="E7E6E6" w:themeFill="background2"/>
          </w:tcPr>
          <w:p w14:paraId="7667F78C"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Original analysis</w:t>
            </w:r>
          </w:p>
        </w:tc>
        <w:tc>
          <w:tcPr>
            <w:tcW w:w="3576" w:type="dxa"/>
            <w:tcBorders>
              <w:top w:val="single" w:sz="4" w:space="0" w:color="auto"/>
              <w:bottom w:val="single" w:sz="4" w:space="0" w:color="auto"/>
            </w:tcBorders>
            <w:shd w:val="clear" w:color="auto" w:fill="E7E6E6" w:themeFill="background2"/>
          </w:tcPr>
          <w:p w14:paraId="0D90BB29"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Modification description</w:t>
            </w:r>
          </w:p>
        </w:tc>
        <w:tc>
          <w:tcPr>
            <w:tcW w:w="3416" w:type="dxa"/>
            <w:tcBorders>
              <w:top w:val="single" w:sz="4" w:space="0" w:color="auto"/>
              <w:bottom w:val="single" w:sz="4" w:space="0" w:color="auto"/>
            </w:tcBorders>
            <w:shd w:val="clear" w:color="auto" w:fill="E7E6E6" w:themeFill="background2"/>
          </w:tcPr>
          <w:p w14:paraId="0468CCC5" w14:textId="77777777" w:rsidR="00C54BBB" w:rsidRPr="00A20892" w:rsidRDefault="00C54BBB" w:rsidP="00EA1C37">
            <w:pPr>
              <w:rPr>
                <w:rFonts w:ascii="Times New Roman" w:hAnsi="Times New Roman" w:cs="Times New Roman"/>
                <w:b/>
                <w:bCs/>
              </w:rPr>
            </w:pPr>
            <w:r w:rsidRPr="00A20892">
              <w:rPr>
                <w:rFonts w:ascii="Times New Roman" w:hAnsi="Times New Roman" w:cs="Times New Roman"/>
                <w:b/>
                <w:bCs/>
              </w:rPr>
              <w:t>Justification</w:t>
            </w:r>
          </w:p>
        </w:tc>
      </w:tr>
      <w:tr w:rsidR="00C54BBB" w:rsidRPr="00D96847" w14:paraId="391B8927" w14:textId="77777777" w:rsidTr="00A20892">
        <w:trPr>
          <w:cantSplit/>
          <w:jc w:val="center"/>
        </w:trPr>
        <w:tc>
          <w:tcPr>
            <w:tcW w:w="1418" w:type="dxa"/>
            <w:tcBorders>
              <w:top w:val="single" w:sz="4" w:space="0" w:color="auto"/>
            </w:tcBorders>
          </w:tcPr>
          <w:p w14:paraId="45F90197" w14:textId="77777777" w:rsidR="00C54BBB" w:rsidRPr="00D96847" w:rsidRDefault="00C54BBB" w:rsidP="00EA1C37">
            <w:pPr>
              <w:rPr>
                <w:rFonts w:ascii="Times New Roman" w:hAnsi="Times New Roman" w:cs="Times New Roman"/>
              </w:rPr>
            </w:pPr>
            <w:r>
              <w:rPr>
                <w:rFonts w:ascii="Times New Roman" w:hAnsi="Times New Roman" w:cs="Times New Roman"/>
              </w:rPr>
              <w:t>A1</w:t>
            </w:r>
          </w:p>
        </w:tc>
        <w:tc>
          <w:tcPr>
            <w:tcW w:w="2080" w:type="dxa"/>
            <w:tcBorders>
              <w:top w:val="single" w:sz="4" w:space="0" w:color="auto"/>
            </w:tcBorders>
          </w:tcPr>
          <w:p w14:paraId="7CBEE70D"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ITS definition</w:t>
            </w:r>
          </w:p>
        </w:tc>
        <w:tc>
          <w:tcPr>
            <w:tcW w:w="3576" w:type="dxa"/>
            <w:tcBorders>
              <w:top w:val="single" w:sz="4" w:space="0" w:color="auto"/>
            </w:tcBorders>
          </w:tcPr>
          <w:p w14:paraId="42B2DED3"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authors of the original studies may have used a different definition of an ITS; for example, the series may not have had any requirements on the minimum number of data points to be considered an ITS.</w:t>
            </w:r>
          </w:p>
        </w:tc>
        <w:tc>
          <w:tcPr>
            <w:tcW w:w="3576" w:type="dxa"/>
            <w:tcBorders>
              <w:top w:val="single" w:sz="4" w:space="0" w:color="auto"/>
            </w:tcBorders>
          </w:tcPr>
          <w:p w14:paraId="631B1D4A"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Series that did not meet the series inclusion criteria (Section 2.1) were excluded from the meta-analysis:</w:t>
            </w:r>
          </w:p>
          <w:p w14:paraId="223F9B84" w14:textId="77777777" w:rsidR="00C54BBB" w:rsidRPr="00D96847" w:rsidRDefault="00C54BBB" w:rsidP="00C54BBB">
            <w:pPr>
              <w:pStyle w:val="ListParagraph"/>
              <w:numPr>
                <w:ilvl w:val="0"/>
                <w:numId w:val="1"/>
              </w:numPr>
              <w:rPr>
                <w:rFonts w:ascii="Times New Roman" w:hAnsi="Times New Roman" w:cs="Times New Roman"/>
              </w:rPr>
            </w:pPr>
            <w:r w:rsidRPr="00D96847">
              <w:rPr>
                <w:rFonts w:ascii="Times New Roman" w:hAnsi="Times New Roman" w:cs="Times New Roman"/>
              </w:rPr>
              <w:t>a series of datapoints collected on a group of individuals</w:t>
            </w:r>
          </w:p>
          <w:p w14:paraId="7D3DE58D" w14:textId="77777777" w:rsidR="00C54BBB" w:rsidRPr="00D96847" w:rsidRDefault="00C54BBB" w:rsidP="00C54BBB">
            <w:pPr>
              <w:pStyle w:val="ListParagraph"/>
              <w:numPr>
                <w:ilvl w:val="0"/>
                <w:numId w:val="1"/>
              </w:numPr>
              <w:rPr>
                <w:rFonts w:ascii="Times New Roman" w:hAnsi="Times New Roman" w:cs="Times New Roman"/>
              </w:rPr>
            </w:pPr>
            <w:r w:rsidRPr="00D96847">
              <w:rPr>
                <w:rFonts w:ascii="Times New Roman" w:hAnsi="Times New Roman" w:cs="Times New Roman"/>
              </w:rPr>
              <w:t>the series contained at least three datapoints before and after an interruption with a clearly defined timepoint</w:t>
            </w:r>
          </w:p>
          <w:p w14:paraId="4A9C40D1" w14:textId="77777777" w:rsidR="00C54BBB" w:rsidRPr="00D96847" w:rsidRDefault="00C54BBB" w:rsidP="00EA1C37">
            <w:pPr>
              <w:rPr>
                <w:rFonts w:ascii="Times New Roman" w:hAnsi="Times New Roman" w:cs="Times New Roman"/>
              </w:rPr>
            </w:pPr>
          </w:p>
        </w:tc>
        <w:tc>
          <w:tcPr>
            <w:tcW w:w="3416" w:type="dxa"/>
            <w:tcBorders>
              <w:top w:val="single" w:sz="4" w:space="0" w:color="auto"/>
            </w:tcBorders>
          </w:tcPr>
          <w:p w14:paraId="676F6FA9"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There is a lack of consensus on the minimum number of data points required for appropriate statistical analysis, however, we chose to follow the EPOC guidelines, which state a minimum number of three datapoints before and after an interruption are required.</w:t>
            </w:r>
          </w:p>
        </w:tc>
      </w:tr>
      <w:tr w:rsidR="00C54BBB" w:rsidRPr="00D96847" w14:paraId="3D8A603A" w14:textId="77777777" w:rsidTr="00A20892">
        <w:trPr>
          <w:cantSplit/>
          <w:jc w:val="center"/>
        </w:trPr>
        <w:tc>
          <w:tcPr>
            <w:tcW w:w="1418" w:type="dxa"/>
          </w:tcPr>
          <w:p w14:paraId="70696014" w14:textId="77777777" w:rsidR="00C54BBB" w:rsidRPr="00D96847" w:rsidRDefault="00C54BBB" w:rsidP="00EA1C37">
            <w:pPr>
              <w:rPr>
                <w:rFonts w:ascii="Times New Roman" w:hAnsi="Times New Roman" w:cs="Times New Roman"/>
              </w:rPr>
            </w:pPr>
            <w:r>
              <w:rPr>
                <w:rFonts w:ascii="Times New Roman" w:hAnsi="Times New Roman" w:cs="Times New Roman"/>
              </w:rPr>
              <w:t>A2</w:t>
            </w:r>
          </w:p>
        </w:tc>
        <w:tc>
          <w:tcPr>
            <w:tcW w:w="2080" w:type="dxa"/>
          </w:tcPr>
          <w:p w14:paraId="1597C0FA"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Control series</w:t>
            </w:r>
          </w:p>
        </w:tc>
        <w:tc>
          <w:tcPr>
            <w:tcW w:w="3576" w:type="dxa"/>
          </w:tcPr>
          <w:p w14:paraId="79D2E4E6"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original meta-analyses may have included control series in their statistical analysis (e.g., an effect estimate may have been adjusted for any difference observed in a control series).</w:t>
            </w:r>
          </w:p>
        </w:tc>
        <w:tc>
          <w:tcPr>
            <w:tcW w:w="3576" w:type="dxa"/>
          </w:tcPr>
          <w:p w14:paraId="2AA44098"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We included analysis of interrupted series only. We did not incorporate any information from control series (i.e. if control series were provided, they were not included in the meta-analysis in any way).</w:t>
            </w:r>
          </w:p>
        </w:tc>
        <w:tc>
          <w:tcPr>
            <w:tcW w:w="3416" w:type="dxa"/>
          </w:tcPr>
          <w:p w14:paraId="7A4ED691"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Statistical methods for the inclusion of control series in a meta-analysis are beyond the scope of this study.</w:t>
            </w:r>
          </w:p>
        </w:tc>
      </w:tr>
      <w:tr w:rsidR="00C54BBB" w:rsidRPr="00D96847" w14:paraId="14AB827D" w14:textId="77777777" w:rsidTr="00A20892">
        <w:trPr>
          <w:cantSplit/>
          <w:jc w:val="center"/>
        </w:trPr>
        <w:tc>
          <w:tcPr>
            <w:tcW w:w="1418" w:type="dxa"/>
          </w:tcPr>
          <w:p w14:paraId="009A6C1D" w14:textId="77777777" w:rsidR="00C54BBB" w:rsidRPr="00D96847" w:rsidRDefault="00C54BBB" w:rsidP="00EA1C37">
            <w:pPr>
              <w:rPr>
                <w:rFonts w:ascii="Times New Roman" w:hAnsi="Times New Roman" w:cs="Times New Roman"/>
              </w:rPr>
            </w:pPr>
            <w:r>
              <w:rPr>
                <w:rFonts w:ascii="Times New Roman" w:hAnsi="Times New Roman" w:cs="Times New Roman"/>
              </w:rPr>
              <w:lastRenderedPageBreak/>
              <w:t>A3</w:t>
            </w:r>
          </w:p>
        </w:tc>
        <w:tc>
          <w:tcPr>
            <w:tcW w:w="2080" w:type="dxa"/>
          </w:tcPr>
          <w:p w14:paraId="3F323C3F"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Multiple units of time within a meta-analysis</w:t>
            </w:r>
          </w:p>
        </w:tc>
        <w:tc>
          <w:tcPr>
            <w:tcW w:w="3576" w:type="dxa"/>
          </w:tcPr>
          <w:p w14:paraId="053E2112"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original study included ITS studies have different data points aggregated at different units of time (e.g., some ITS with weekly datapoints and other with monthly datapoints).</w:t>
            </w:r>
          </w:p>
        </w:tc>
        <w:tc>
          <w:tcPr>
            <w:tcW w:w="3576" w:type="dxa"/>
          </w:tcPr>
          <w:p w14:paraId="3B8768DC"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We included series using the most common aggregation period in the meta-analysis (i.e., if 5 ITS had weekly datapoints and 6 had monthly datapoints, we would include only the 6 with monthly datapoints).</w:t>
            </w:r>
          </w:p>
        </w:tc>
        <w:tc>
          <w:tcPr>
            <w:tcW w:w="3416" w:type="dxa"/>
          </w:tcPr>
          <w:p w14:paraId="54CE9809"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We ensured that the same unit of time between datapoints was consistent within each meta-analysis, to ensure comparability of all effect estimates being meta-analysed. Conversion to different time unit aggregations was not considered as this </w:t>
            </w:r>
            <w:r>
              <w:rPr>
                <w:rFonts w:ascii="Times New Roman" w:hAnsi="Times New Roman" w:cs="Times New Roman"/>
              </w:rPr>
              <w:t xml:space="preserve">may </w:t>
            </w:r>
            <w:r w:rsidRPr="00D96847">
              <w:rPr>
                <w:rFonts w:ascii="Times New Roman" w:hAnsi="Times New Roman" w:cs="Times New Roman"/>
              </w:rPr>
              <w:t>present more complications than it resolves.</w:t>
            </w:r>
          </w:p>
        </w:tc>
      </w:tr>
      <w:tr w:rsidR="00C54BBB" w:rsidRPr="00D96847" w14:paraId="622CD1F4" w14:textId="77777777" w:rsidTr="00A20892">
        <w:trPr>
          <w:cantSplit/>
          <w:jc w:val="center"/>
        </w:trPr>
        <w:tc>
          <w:tcPr>
            <w:tcW w:w="1418" w:type="dxa"/>
          </w:tcPr>
          <w:p w14:paraId="12B9BA7F" w14:textId="77777777" w:rsidR="00C54BBB" w:rsidRPr="00D96847" w:rsidRDefault="00C54BBB" w:rsidP="00EA1C37">
            <w:pPr>
              <w:ind w:left="28"/>
              <w:rPr>
                <w:rFonts w:ascii="Times New Roman" w:hAnsi="Times New Roman" w:cs="Times New Roman"/>
              </w:rPr>
            </w:pPr>
            <w:r>
              <w:rPr>
                <w:rFonts w:ascii="Times New Roman" w:hAnsi="Times New Roman" w:cs="Times New Roman"/>
              </w:rPr>
              <w:t>A4</w:t>
            </w:r>
          </w:p>
        </w:tc>
        <w:tc>
          <w:tcPr>
            <w:tcW w:w="2080" w:type="dxa"/>
          </w:tcPr>
          <w:p w14:paraId="7A345FBE" w14:textId="77777777" w:rsidR="00C54BBB" w:rsidRPr="00D96847" w:rsidRDefault="00C54BBB" w:rsidP="00EA1C37">
            <w:pPr>
              <w:ind w:left="28"/>
              <w:rPr>
                <w:rFonts w:ascii="Times New Roman" w:hAnsi="Times New Roman" w:cs="Times New Roman"/>
              </w:rPr>
            </w:pPr>
            <w:r w:rsidRPr="00D96847">
              <w:rPr>
                <w:rFonts w:ascii="Times New Roman" w:hAnsi="Times New Roman" w:cs="Times New Roman"/>
              </w:rPr>
              <w:t xml:space="preserve">Outcome types </w:t>
            </w:r>
            <w:r>
              <w:rPr>
                <w:rFonts w:ascii="Times New Roman" w:hAnsi="Times New Roman" w:cs="Times New Roman"/>
              </w:rPr>
              <w:t>–</w:t>
            </w:r>
            <w:r w:rsidRPr="00D96847">
              <w:rPr>
                <w:rFonts w:ascii="Times New Roman" w:hAnsi="Times New Roman" w:cs="Times New Roman"/>
              </w:rPr>
              <w:t xml:space="preserve"> </w:t>
            </w:r>
            <w:r>
              <w:rPr>
                <w:rFonts w:ascii="Times New Roman" w:hAnsi="Times New Roman" w:cs="Times New Roman"/>
              </w:rPr>
              <w:t>observations at or near upper or lower limits</w:t>
            </w:r>
          </w:p>
        </w:tc>
        <w:tc>
          <w:tcPr>
            <w:tcW w:w="3576" w:type="dxa"/>
          </w:tcPr>
          <w:p w14:paraId="4649F269"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The original study may include ITS with </w:t>
            </w:r>
            <w:r>
              <w:rPr>
                <w:rFonts w:ascii="Times New Roman" w:hAnsi="Times New Roman" w:cs="Times New Roman"/>
              </w:rPr>
              <w:t xml:space="preserve">observed </w:t>
            </w:r>
            <w:r w:rsidRPr="00D96847">
              <w:rPr>
                <w:rFonts w:ascii="Times New Roman" w:hAnsi="Times New Roman" w:cs="Times New Roman"/>
              </w:rPr>
              <w:t xml:space="preserve">datapoints at or </w:t>
            </w:r>
            <w:r>
              <w:rPr>
                <w:rFonts w:ascii="Times New Roman" w:hAnsi="Times New Roman" w:cs="Times New Roman"/>
              </w:rPr>
              <w:t>near</w:t>
            </w:r>
            <w:r w:rsidRPr="00D96847">
              <w:rPr>
                <w:rFonts w:ascii="Times New Roman" w:hAnsi="Times New Roman" w:cs="Times New Roman"/>
              </w:rPr>
              <w:t xml:space="preserve"> </w:t>
            </w:r>
            <w:r>
              <w:rPr>
                <w:rFonts w:ascii="Times New Roman" w:hAnsi="Times New Roman" w:cs="Times New Roman"/>
              </w:rPr>
              <w:t xml:space="preserve">an upper or lower limit, such as </w:t>
            </w:r>
            <w:r w:rsidRPr="00D96847">
              <w:rPr>
                <w:rFonts w:ascii="Times New Roman" w:hAnsi="Times New Roman" w:cs="Times New Roman"/>
              </w:rPr>
              <w:t>zero</w:t>
            </w:r>
            <w:r>
              <w:rPr>
                <w:rFonts w:ascii="Times New Roman" w:hAnsi="Times New Roman" w:cs="Times New Roman"/>
              </w:rPr>
              <w:t>s</w:t>
            </w:r>
            <w:r w:rsidRPr="00D96847">
              <w:rPr>
                <w:rFonts w:ascii="Times New Roman" w:hAnsi="Times New Roman" w:cs="Times New Roman"/>
              </w:rPr>
              <w:t xml:space="preserve"> (or </w:t>
            </w:r>
            <w:r>
              <w:rPr>
                <w:rFonts w:ascii="Times New Roman" w:hAnsi="Times New Roman" w:cs="Times New Roman"/>
              </w:rPr>
              <w:t>1 in the case of proportions</w:t>
            </w:r>
            <w:r w:rsidRPr="00D96847">
              <w:rPr>
                <w:rFonts w:ascii="Times New Roman" w:hAnsi="Times New Roman" w:cs="Times New Roman"/>
              </w:rPr>
              <w:t xml:space="preserve">). </w:t>
            </w:r>
          </w:p>
        </w:tc>
        <w:tc>
          <w:tcPr>
            <w:tcW w:w="3576" w:type="dxa"/>
          </w:tcPr>
          <w:p w14:paraId="1DE57FB0" w14:textId="77777777" w:rsidR="00C54BBB" w:rsidRPr="00D96847" w:rsidRDefault="00C54BBB" w:rsidP="00EA1C37">
            <w:pPr>
              <w:rPr>
                <w:rFonts w:ascii="Times New Roman" w:hAnsi="Times New Roman" w:cs="Times New Roman"/>
              </w:rPr>
            </w:pPr>
            <w:r>
              <w:rPr>
                <w:rFonts w:ascii="Times New Roman" w:hAnsi="Times New Roman" w:cs="Times New Roman"/>
              </w:rPr>
              <w:t xml:space="preserve">We excluded ITS studies </w:t>
            </w:r>
            <w:r w:rsidRPr="00D96847">
              <w:rPr>
                <w:rFonts w:ascii="Times New Roman" w:hAnsi="Times New Roman" w:cs="Times New Roman"/>
              </w:rPr>
              <w:t>that had a high proportion of zeros (or ones) were excluded from the analysis.</w:t>
            </w:r>
          </w:p>
          <w:p w14:paraId="086038BD"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All </w:t>
            </w:r>
            <w:r>
              <w:rPr>
                <w:rFonts w:ascii="Times New Roman" w:hAnsi="Times New Roman" w:cs="Times New Roman"/>
              </w:rPr>
              <w:t>studies</w:t>
            </w:r>
            <w:r w:rsidRPr="00D96847">
              <w:rPr>
                <w:rFonts w:ascii="Times New Roman" w:hAnsi="Times New Roman" w:cs="Times New Roman"/>
              </w:rPr>
              <w:t xml:space="preserve"> with zeros were discussed by the </w:t>
            </w:r>
            <w:r>
              <w:rPr>
                <w:rFonts w:ascii="Times New Roman" w:hAnsi="Times New Roman" w:cs="Times New Roman"/>
              </w:rPr>
              <w:t>authors</w:t>
            </w:r>
            <w:r w:rsidRPr="00D96847">
              <w:rPr>
                <w:rFonts w:ascii="Times New Roman" w:hAnsi="Times New Roman" w:cs="Times New Roman"/>
              </w:rPr>
              <w:t xml:space="preserve">. Where the review team could not determine whether the proportion of zeros in a particular </w:t>
            </w:r>
            <w:r>
              <w:rPr>
                <w:rFonts w:ascii="Times New Roman" w:hAnsi="Times New Roman" w:cs="Times New Roman"/>
              </w:rPr>
              <w:t>study</w:t>
            </w:r>
            <w:r w:rsidRPr="00D96847">
              <w:rPr>
                <w:rFonts w:ascii="Times New Roman" w:hAnsi="Times New Roman" w:cs="Times New Roman"/>
              </w:rPr>
              <w:t xml:space="preserve"> would violate the assumptions of the continuous outcome model, we included the series in the </w:t>
            </w:r>
            <w:r>
              <w:rPr>
                <w:rFonts w:ascii="Times New Roman" w:hAnsi="Times New Roman" w:cs="Times New Roman"/>
              </w:rPr>
              <w:t>primary</w:t>
            </w:r>
            <w:r w:rsidRPr="00D96847">
              <w:rPr>
                <w:rFonts w:ascii="Times New Roman" w:hAnsi="Times New Roman" w:cs="Times New Roman"/>
              </w:rPr>
              <w:t xml:space="preserve"> but excluded it </w:t>
            </w:r>
            <w:r>
              <w:rPr>
                <w:rFonts w:ascii="Times New Roman" w:hAnsi="Times New Roman" w:cs="Times New Roman"/>
              </w:rPr>
              <w:t>from the</w:t>
            </w:r>
            <w:r w:rsidRPr="00D96847">
              <w:rPr>
                <w:rFonts w:ascii="Times New Roman" w:hAnsi="Times New Roman" w:cs="Times New Roman"/>
              </w:rPr>
              <w:t xml:space="preserve"> sensitivity analysis.</w:t>
            </w:r>
          </w:p>
        </w:tc>
        <w:tc>
          <w:tcPr>
            <w:tcW w:w="3416" w:type="dxa"/>
          </w:tcPr>
          <w:p w14:paraId="6E6D6E2B"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The </w:t>
            </w:r>
            <w:r w:rsidRPr="002C4218">
              <w:rPr>
                <w:rFonts w:ascii="Times New Roman" w:hAnsi="Times New Roman" w:cs="Times New Roman"/>
              </w:rPr>
              <w:t>continuous outcome model in Section 2.4.1</w:t>
            </w:r>
            <w:r w:rsidRPr="00D96847">
              <w:rPr>
                <w:rFonts w:ascii="Times New Roman" w:hAnsi="Times New Roman" w:cs="Times New Roman"/>
              </w:rPr>
              <w:t xml:space="preserve"> cannot be reasonably applied to series with an excess of observations at an upper or lower cap (i.e., the assumption of normally distributed data would </w:t>
            </w:r>
            <w:r>
              <w:rPr>
                <w:rFonts w:ascii="Times New Roman" w:hAnsi="Times New Roman" w:cs="Times New Roman"/>
              </w:rPr>
              <w:t>be violated</w:t>
            </w:r>
            <w:r w:rsidRPr="00D96847">
              <w:rPr>
                <w:rFonts w:ascii="Times New Roman" w:hAnsi="Times New Roman" w:cs="Times New Roman"/>
              </w:rPr>
              <w:t>).</w:t>
            </w:r>
          </w:p>
          <w:p w14:paraId="77285AB5"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The discussion among the </w:t>
            </w:r>
            <w:r>
              <w:rPr>
                <w:rFonts w:ascii="Times New Roman" w:hAnsi="Times New Roman" w:cs="Times New Roman"/>
              </w:rPr>
              <w:t xml:space="preserve">authors </w:t>
            </w:r>
            <w:r w:rsidRPr="00D96847">
              <w:rPr>
                <w:rFonts w:ascii="Times New Roman" w:hAnsi="Times New Roman" w:cs="Times New Roman"/>
              </w:rPr>
              <w:t>concluded that an “excess” of zeros was defined as greater than 40% of the total number of datapoints, while series with greater than 30% of the total number of datapoints would be excluded in the sensitivity analysis.</w:t>
            </w:r>
          </w:p>
        </w:tc>
      </w:tr>
      <w:tr w:rsidR="00C54BBB" w:rsidRPr="00D96847" w14:paraId="3A58E660" w14:textId="77777777" w:rsidTr="00A20892">
        <w:trPr>
          <w:cantSplit/>
          <w:jc w:val="center"/>
        </w:trPr>
        <w:tc>
          <w:tcPr>
            <w:tcW w:w="1418" w:type="dxa"/>
          </w:tcPr>
          <w:p w14:paraId="6C7F75C0" w14:textId="77777777" w:rsidR="00C54BBB" w:rsidRPr="00D96847" w:rsidRDefault="00C54BBB" w:rsidP="00EA1C37">
            <w:pPr>
              <w:rPr>
                <w:rFonts w:ascii="Times New Roman" w:hAnsi="Times New Roman" w:cs="Times New Roman"/>
              </w:rPr>
            </w:pPr>
            <w:r>
              <w:rPr>
                <w:rFonts w:ascii="Times New Roman" w:hAnsi="Times New Roman" w:cs="Times New Roman"/>
              </w:rPr>
              <w:lastRenderedPageBreak/>
              <w:t>B5</w:t>
            </w:r>
          </w:p>
        </w:tc>
        <w:tc>
          <w:tcPr>
            <w:tcW w:w="2080" w:type="dxa"/>
          </w:tcPr>
          <w:p w14:paraId="70D5271B"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Multiple study designs within a meta-analysis</w:t>
            </w:r>
          </w:p>
        </w:tc>
        <w:tc>
          <w:tcPr>
            <w:tcW w:w="3576" w:type="dxa"/>
          </w:tcPr>
          <w:p w14:paraId="3C4A276D"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original study included multiple study design in the meta-analysis (e.g., combining the effect estimates extraction from RCT and ITS studies).</w:t>
            </w:r>
          </w:p>
        </w:tc>
        <w:tc>
          <w:tcPr>
            <w:tcW w:w="3576" w:type="dxa"/>
          </w:tcPr>
          <w:p w14:paraId="03D75ABE"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Only studies with ITS designs were included, i.e. we excluded studies with other designs, such as RCTs.</w:t>
            </w:r>
          </w:p>
        </w:tc>
        <w:tc>
          <w:tcPr>
            <w:tcW w:w="3416" w:type="dxa"/>
          </w:tcPr>
          <w:p w14:paraId="77C0CBD7" w14:textId="77777777" w:rsidR="00C54BBB" w:rsidRPr="00D96847" w:rsidRDefault="00C54BBB" w:rsidP="00EA1C37">
            <w:pPr>
              <w:rPr>
                <w:rFonts w:ascii="Times New Roman" w:hAnsi="Times New Roman" w:cs="Times New Roman"/>
              </w:rPr>
            </w:pPr>
            <w:r>
              <w:rPr>
                <w:rFonts w:ascii="Times New Roman" w:hAnsi="Times New Roman" w:cs="Times New Roman"/>
              </w:rPr>
              <w:t>Our interest was</w:t>
            </w:r>
            <w:r w:rsidRPr="00D96847">
              <w:rPr>
                <w:rFonts w:ascii="Times New Roman" w:hAnsi="Times New Roman" w:cs="Times New Roman"/>
              </w:rPr>
              <w:t xml:space="preserve"> in ITS studies only.</w:t>
            </w:r>
          </w:p>
        </w:tc>
      </w:tr>
      <w:tr w:rsidR="00C54BBB" w:rsidRPr="00D96847" w14:paraId="3792FEF6" w14:textId="77777777" w:rsidTr="00A20892">
        <w:trPr>
          <w:cantSplit/>
          <w:jc w:val="center"/>
        </w:trPr>
        <w:tc>
          <w:tcPr>
            <w:tcW w:w="1418" w:type="dxa"/>
          </w:tcPr>
          <w:p w14:paraId="7F8AC0AC" w14:textId="77777777" w:rsidR="00C54BBB" w:rsidRPr="00D96847" w:rsidRDefault="00C54BBB" w:rsidP="00EA1C37">
            <w:pPr>
              <w:rPr>
                <w:rFonts w:ascii="Times New Roman" w:hAnsi="Times New Roman" w:cs="Times New Roman"/>
              </w:rPr>
            </w:pPr>
            <w:r>
              <w:rPr>
                <w:rFonts w:ascii="Times New Roman" w:hAnsi="Times New Roman" w:cs="Times New Roman"/>
              </w:rPr>
              <w:t>A6</w:t>
            </w:r>
          </w:p>
        </w:tc>
        <w:tc>
          <w:tcPr>
            <w:tcW w:w="2080" w:type="dxa"/>
          </w:tcPr>
          <w:p w14:paraId="090E717C"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Subgroup analysis</w:t>
            </w:r>
          </w:p>
        </w:tc>
        <w:tc>
          <w:tcPr>
            <w:tcW w:w="3576" w:type="dxa"/>
          </w:tcPr>
          <w:p w14:paraId="0A246436"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original study conducted a subgroup meta-analysis.</w:t>
            </w:r>
          </w:p>
        </w:tc>
        <w:tc>
          <w:tcPr>
            <w:tcW w:w="3576" w:type="dxa"/>
          </w:tcPr>
          <w:p w14:paraId="31252E01"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We included all studies, from all subgroups in the same meta-analysis. No subgroup analysis was performed.</w:t>
            </w:r>
          </w:p>
        </w:tc>
        <w:tc>
          <w:tcPr>
            <w:tcW w:w="3416" w:type="dxa"/>
          </w:tcPr>
          <w:p w14:paraId="7A62B3A7"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Our interest was not to reproduce the original meta-analyses.</w:t>
            </w:r>
          </w:p>
        </w:tc>
      </w:tr>
      <w:tr w:rsidR="00C54BBB" w:rsidRPr="00D96847" w14:paraId="502E3449" w14:textId="77777777" w:rsidTr="00A20892">
        <w:trPr>
          <w:cantSplit/>
          <w:jc w:val="center"/>
        </w:trPr>
        <w:tc>
          <w:tcPr>
            <w:tcW w:w="1418" w:type="dxa"/>
          </w:tcPr>
          <w:p w14:paraId="1D4BEF6C" w14:textId="77777777" w:rsidR="00C54BBB" w:rsidRPr="00D96847" w:rsidRDefault="00C54BBB" w:rsidP="00EA1C37">
            <w:pPr>
              <w:rPr>
                <w:rFonts w:ascii="Times New Roman" w:hAnsi="Times New Roman" w:cs="Times New Roman"/>
              </w:rPr>
            </w:pPr>
            <w:r>
              <w:rPr>
                <w:rFonts w:ascii="Times New Roman" w:hAnsi="Times New Roman" w:cs="Times New Roman"/>
              </w:rPr>
              <w:t>A7</w:t>
            </w:r>
          </w:p>
        </w:tc>
        <w:tc>
          <w:tcPr>
            <w:tcW w:w="2080" w:type="dxa"/>
          </w:tcPr>
          <w:p w14:paraId="052CC3BA"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Network meta-analysis</w:t>
            </w:r>
          </w:p>
        </w:tc>
        <w:tc>
          <w:tcPr>
            <w:tcW w:w="3576" w:type="dxa"/>
          </w:tcPr>
          <w:p w14:paraId="215D609B"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The original study examined multiple intervention comparisons in a network meta-analysis.</w:t>
            </w:r>
          </w:p>
        </w:tc>
        <w:tc>
          <w:tcPr>
            <w:tcW w:w="3576" w:type="dxa"/>
          </w:tcPr>
          <w:p w14:paraId="164FF054"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We selected only ITS studies that contributed to a single direct pairwise comparison. The pairwise comparison with the most contributing ITS studies was chosen.</w:t>
            </w:r>
          </w:p>
        </w:tc>
        <w:tc>
          <w:tcPr>
            <w:tcW w:w="3416" w:type="dxa"/>
          </w:tcPr>
          <w:p w14:paraId="13C38E13"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We focus on pairwise meta-analysis method; network meta-analysis methods are beyond the scope of this study.</w:t>
            </w:r>
          </w:p>
        </w:tc>
      </w:tr>
      <w:tr w:rsidR="00C54BBB" w:rsidRPr="00D96847" w14:paraId="0D0798A3" w14:textId="77777777" w:rsidTr="00A20892">
        <w:trPr>
          <w:cantSplit/>
          <w:jc w:val="center"/>
        </w:trPr>
        <w:tc>
          <w:tcPr>
            <w:tcW w:w="1418" w:type="dxa"/>
          </w:tcPr>
          <w:p w14:paraId="1798B601" w14:textId="77777777" w:rsidR="00C54BBB" w:rsidRPr="00D96847" w:rsidRDefault="00C54BBB" w:rsidP="00EA1C37">
            <w:pPr>
              <w:ind w:left="28"/>
              <w:rPr>
                <w:rFonts w:ascii="Times New Roman" w:hAnsi="Times New Roman" w:cs="Times New Roman"/>
              </w:rPr>
            </w:pPr>
            <w:r>
              <w:rPr>
                <w:rFonts w:ascii="Times New Roman" w:hAnsi="Times New Roman" w:cs="Times New Roman"/>
              </w:rPr>
              <w:t>B1</w:t>
            </w:r>
          </w:p>
        </w:tc>
        <w:tc>
          <w:tcPr>
            <w:tcW w:w="2080" w:type="dxa"/>
          </w:tcPr>
          <w:p w14:paraId="588B03E7" w14:textId="77777777" w:rsidR="00C54BBB" w:rsidRPr="00D96847" w:rsidRDefault="00C54BBB" w:rsidP="00EA1C37">
            <w:pPr>
              <w:ind w:left="28"/>
              <w:rPr>
                <w:rFonts w:ascii="Times New Roman" w:hAnsi="Times New Roman" w:cs="Times New Roman"/>
              </w:rPr>
            </w:pPr>
            <w:r>
              <w:rPr>
                <w:rFonts w:ascii="Times New Roman" w:hAnsi="Times New Roman" w:cs="Times New Roman"/>
              </w:rPr>
              <w:t>A</w:t>
            </w:r>
            <w:r w:rsidRPr="00D96847">
              <w:rPr>
                <w:rFonts w:ascii="Times New Roman" w:hAnsi="Times New Roman" w:cs="Times New Roman"/>
              </w:rPr>
              <w:t>djustment</w:t>
            </w:r>
            <w:r>
              <w:rPr>
                <w:rFonts w:ascii="Times New Roman" w:hAnsi="Times New Roman" w:cs="Times New Roman"/>
              </w:rPr>
              <w:t>s for confounding</w:t>
            </w:r>
          </w:p>
        </w:tc>
        <w:tc>
          <w:tcPr>
            <w:tcW w:w="3576" w:type="dxa"/>
          </w:tcPr>
          <w:p w14:paraId="68218FF4" w14:textId="77777777" w:rsidR="00C54BBB" w:rsidRPr="00D96847" w:rsidRDefault="00C54BBB" w:rsidP="00EA1C37">
            <w:pPr>
              <w:rPr>
                <w:rFonts w:ascii="Times New Roman" w:hAnsi="Times New Roman" w:cs="Times New Roman"/>
              </w:rPr>
            </w:pPr>
            <w:r>
              <w:rPr>
                <w:rFonts w:ascii="Times New Roman" w:hAnsi="Times New Roman" w:cs="Times New Roman"/>
              </w:rPr>
              <w:t>The original study included additional variables in their model (in addition to the core ITS covariates described in section 2.4.1). For example, models adjusted for population growth or population demographics.</w:t>
            </w:r>
          </w:p>
        </w:tc>
        <w:tc>
          <w:tcPr>
            <w:tcW w:w="3576" w:type="dxa"/>
          </w:tcPr>
          <w:p w14:paraId="6A9C7814"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 xml:space="preserve">No </w:t>
            </w:r>
            <w:r>
              <w:rPr>
                <w:rFonts w:ascii="Times New Roman" w:hAnsi="Times New Roman" w:cs="Times New Roman"/>
              </w:rPr>
              <w:t xml:space="preserve">additional covariates were added to the models described in section 2.4.1. Population </w:t>
            </w:r>
            <w:r w:rsidRPr="00D96847">
              <w:rPr>
                <w:rFonts w:ascii="Times New Roman" w:hAnsi="Times New Roman" w:cs="Times New Roman"/>
              </w:rPr>
              <w:t xml:space="preserve">adjustments </w:t>
            </w:r>
            <w:r>
              <w:rPr>
                <w:rFonts w:ascii="Times New Roman" w:hAnsi="Times New Roman" w:cs="Times New Roman"/>
              </w:rPr>
              <w:t xml:space="preserve">were only made if </w:t>
            </w:r>
            <w:r w:rsidRPr="00D96847">
              <w:rPr>
                <w:rFonts w:ascii="Times New Roman" w:hAnsi="Times New Roman" w:cs="Times New Roman"/>
              </w:rPr>
              <w:t>it was possible to calculate rates.</w:t>
            </w:r>
          </w:p>
        </w:tc>
        <w:tc>
          <w:tcPr>
            <w:tcW w:w="3416" w:type="dxa"/>
          </w:tcPr>
          <w:p w14:paraId="0FB77B73" w14:textId="77777777" w:rsidR="00C54BBB" w:rsidRPr="00D96847" w:rsidRDefault="00C54BBB" w:rsidP="00EA1C37">
            <w:pPr>
              <w:rPr>
                <w:rFonts w:ascii="Times New Roman" w:hAnsi="Times New Roman" w:cs="Times New Roman"/>
              </w:rPr>
            </w:pPr>
            <w:r>
              <w:rPr>
                <w:rFonts w:ascii="Times New Roman" w:hAnsi="Times New Roman" w:cs="Times New Roman"/>
              </w:rPr>
              <w:t>Our interest was not to reproduce the original meta-analysis.</w:t>
            </w:r>
          </w:p>
        </w:tc>
      </w:tr>
      <w:tr w:rsidR="00C54BBB" w:rsidRPr="00D96847" w14:paraId="1D6FA16B" w14:textId="77777777" w:rsidTr="00A20892">
        <w:trPr>
          <w:cantSplit/>
          <w:jc w:val="center"/>
        </w:trPr>
        <w:tc>
          <w:tcPr>
            <w:tcW w:w="1418" w:type="dxa"/>
          </w:tcPr>
          <w:p w14:paraId="77775EFB" w14:textId="77777777" w:rsidR="00C54BBB" w:rsidRPr="00D96847" w:rsidRDefault="00C54BBB" w:rsidP="00EA1C37">
            <w:pPr>
              <w:ind w:left="28"/>
              <w:rPr>
                <w:rFonts w:ascii="Times New Roman" w:hAnsi="Times New Roman" w:cs="Times New Roman"/>
              </w:rPr>
            </w:pPr>
            <w:r>
              <w:rPr>
                <w:rFonts w:ascii="Times New Roman" w:hAnsi="Times New Roman" w:cs="Times New Roman"/>
              </w:rPr>
              <w:lastRenderedPageBreak/>
              <w:t>B2</w:t>
            </w:r>
          </w:p>
        </w:tc>
        <w:tc>
          <w:tcPr>
            <w:tcW w:w="2080" w:type="dxa"/>
          </w:tcPr>
          <w:p w14:paraId="3983C51C" w14:textId="77777777" w:rsidR="00C54BBB" w:rsidRPr="00D96847" w:rsidRDefault="00C54BBB" w:rsidP="00EA1C37">
            <w:pPr>
              <w:ind w:left="28"/>
              <w:rPr>
                <w:rFonts w:ascii="Times New Roman" w:hAnsi="Times New Roman" w:cs="Times New Roman"/>
              </w:rPr>
            </w:pPr>
            <w:r w:rsidRPr="00D96847">
              <w:rPr>
                <w:rFonts w:ascii="Times New Roman" w:hAnsi="Times New Roman" w:cs="Times New Roman"/>
              </w:rPr>
              <w:t xml:space="preserve">Outcome types – </w:t>
            </w:r>
            <w:r>
              <w:rPr>
                <w:rFonts w:ascii="Times New Roman" w:hAnsi="Times New Roman" w:cs="Times New Roman"/>
              </w:rPr>
              <w:t>outcomes other than continuous</w:t>
            </w:r>
          </w:p>
        </w:tc>
        <w:tc>
          <w:tcPr>
            <w:tcW w:w="3576" w:type="dxa"/>
          </w:tcPr>
          <w:p w14:paraId="0F2D9BD1"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The original study included ITS with</w:t>
            </w:r>
            <w:r>
              <w:rPr>
                <w:rFonts w:ascii="Times New Roman" w:hAnsi="Times New Roman" w:cs="Times New Roman"/>
              </w:rPr>
              <w:t xml:space="preserve"> data that was not continuous</w:t>
            </w:r>
            <w:r w:rsidRPr="00D96847">
              <w:rPr>
                <w:rFonts w:ascii="Times New Roman" w:hAnsi="Times New Roman" w:cs="Times New Roman"/>
              </w:rPr>
              <w:t xml:space="preserve"> (e.g., count</w:t>
            </w:r>
            <w:r>
              <w:rPr>
                <w:rFonts w:ascii="Times New Roman" w:hAnsi="Times New Roman" w:cs="Times New Roman"/>
              </w:rPr>
              <w:t xml:space="preserve">s, </w:t>
            </w:r>
            <w:r w:rsidRPr="00D96847">
              <w:rPr>
                <w:rFonts w:ascii="Times New Roman" w:hAnsi="Times New Roman" w:cs="Times New Roman"/>
              </w:rPr>
              <w:t>binary, rate, proportion).</w:t>
            </w:r>
          </w:p>
        </w:tc>
        <w:tc>
          <w:tcPr>
            <w:tcW w:w="3576" w:type="dxa"/>
          </w:tcPr>
          <w:p w14:paraId="63BF4FD4"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We included all ITS</w:t>
            </w:r>
            <w:r>
              <w:rPr>
                <w:rFonts w:ascii="Times New Roman" w:hAnsi="Times New Roman" w:cs="Times New Roman"/>
              </w:rPr>
              <w:t xml:space="preserve"> studies</w:t>
            </w:r>
            <w:r w:rsidRPr="00D96847">
              <w:rPr>
                <w:rFonts w:ascii="Times New Roman" w:hAnsi="Times New Roman" w:cs="Times New Roman"/>
              </w:rPr>
              <w:t>, irrespective of their outcome type. The outcomes were treated as continuous outcomes in our analysis (according to the model described in section 2.4.1</w:t>
            </w:r>
            <w:r>
              <w:rPr>
                <w:rFonts w:ascii="Times New Roman" w:hAnsi="Times New Roman" w:cs="Times New Roman"/>
              </w:rPr>
              <w:t>)</w:t>
            </w:r>
            <w:r w:rsidRPr="00D96847">
              <w:rPr>
                <w:rFonts w:ascii="Times New Roman" w:hAnsi="Times New Roman" w:cs="Times New Roman"/>
              </w:rPr>
              <w:t>.</w:t>
            </w:r>
          </w:p>
        </w:tc>
        <w:tc>
          <w:tcPr>
            <w:tcW w:w="3416" w:type="dxa"/>
          </w:tcPr>
          <w:p w14:paraId="3D666CFB" w14:textId="77777777" w:rsidR="00C54BBB" w:rsidRPr="00D96847" w:rsidRDefault="00C54BBB" w:rsidP="00EA1C37">
            <w:pPr>
              <w:rPr>
                <w:rFonts w:ascii="Times New Roman" w:hAnsi="Times New Roman" w:cs="Times New Roman"/>
              </w:rPr>
            </w:pPr>
            <w:r w:rsidRPr="002F1D0F">
              <w:rPr>
                <w:rFonts w:ascii="Times New Roman" w:hAnsi="Times New Roman" w:cs="Times New Roman"/>
              </w:rPr>
              <w:t xml:space="preserve">Outcome types that are not continuous, when aggregated, may be </w:t>
            </w:r>
            <w:r w:rsidRPr="002C4218">
              <w:rPr>
                <w:rFonts w:ascii="Times New Roman" w:hAnsi="Times New Roman" w:cs="Times New Roman"/>
              </w:rPr>
              <w:t>modelled using the continuous outcome model described in Section 2.4.1 without violating the underlying assumptions</w:t>
            </w:r>
            <w:r w:rsidRPr="002F1D0F">
              <w:rPr>
                <w:rFonts w:ascii="Times New Roman" w:hAnsi="Times New Roman" w:cs="Times New Roman"/>
              </w:rPr>
              <w:t xml:space="preserve"> (e.g., normally distributed error term).</w:t>
            </w:r>
          </w:p>
        </w:tc>
      </w:tr>
      <w:tr w:rsidR="00C54BBB" w:rsidRPr="00D96847" w14:paraId="386CE299" w14:textId="77777777" w:rsidTr="00A20892">
        <w:trPr>
          <w:cantSplit/>
          <w:jc w:val="center"/>
        </w:trPr>
        <w:tc>
          <w:tcPr>
            <w:tcW w:w="1418" w:type="dxa"/>
          </w:tcPr>
          <w:p w14:paraId="5E903D3E" w14:textId="77777777" w:rsidR="00C54BBB" w:rsidRPr="00D96847" w:rsidRDefault="00C54BBB" w:rsidP="00EA1C37">
            <w:pPr>
              <w:rPr>
                <w:rFonts w:ascii="Times New Roman" w:hAnsi="Times New Roman" w:cs="Times New Roman"/>
              </w:rPr>
            </w:pPr>
            <w:r>
              <w:rPr>
                <w:rFonts w:ascii="Times New Roman" w:hAnsi="Times New Roman" w:cs="Times New Roman"/>
              </w:rPr>
              <w:t>B3</w:t>
            </w:r>
          </w:p>
        </w:tc>
        <w:tc>
          <w:tcPr>
            <w:tcW w:w="2080" w:type="dxa"/>
          </w:tcPr>
          <w:p w14:paraId="5E8A5647"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Transition periods</w:t>
            </w:r>
          </w:p>
        </w:tc>
        <w:tc>
          <w:tcPr>
            <w:tcW w:w="3576" w:type="dxa"/>
          </w:tcPr>
          <w:p w14:paraId="7C1CCB10" w14:textId="77777777" w:rsidR="00C54BBB" w:rsidRPr="00D96847" w:rsidRDefault="00C54BBB" w:rsidP="00EA1C37">
            <w:pPr>
              <w:rPr>
                <w:rFonts w:ascii="Times New Roman" w:hAnsi="Times New Roman" w:cs="Times New Roman"/>
              </w:rPr>
            </w:pPr>
            <w:r>
              <w:rPr>
                <w:rFonts w:ascii="Times New Roman" w:hAnsi="Times New Roman" w:cs="Times New Roman"/>
              </w:rPr>
              <w:t>The original study examined an interruption that had an anticipated delay, or transition period (e.g., the interruption was rolled out over a period of time). Thus the effect estimates of interest were calculated some period of time after the start of the interruption. The original analysis may or may not have separately modelled the transition and post-interruption periods.</w:t>
            </w:r>
          </w:p>
        </w:tc>
        <w:tc>
          <w:tcPr>
            <w:tcW w:w="3576" w:type="dxa"/>
          </w:tcPr>
          <w:p w14:paraId="77A72CE1"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For series that we were aware the interruptions spanned multiple time points (i.e.</w:t>
            </w:r>
            <w:r>
              <w:rPr>
                <w:rFonts w:ascii="Times New Roman" w:hAnsi="Times New Roman" w:cs="Times New Roman"/>
              </w:rPr>
              <w:t>,</w:t>
            </w:r>
            <w:r w:rsidRPr="00D96847">
              <w:rPr>
                <w:rFonts w:ascii="Times New Roman" w:hAnsi="Times New Roman" w:cs="Times New Roman"/>
              </w:rPr>
              <w:t xml:space="preserve"> </w:t>
            </w:r>
            <w:r>
              <w:rPr>
                <w:rFonts w:ascii="Times New Roman" w:hAnsi="Times New Roman" w:cs="Times New Roman"/>
              </w:rPr>
              <w:t>the</w:t>
            </w:r>
            <w:r w:rsidRPr="00D96847">
              <w:rPr>
                <w:rFonts w:ascii="Times New Roman" w:hAnsi="Times New Roman" w:cs="Times New Roman"/>
              </w:rPr>
              <w:t xml:space="preserve"> transition period), we included an additional segment for the transition period and calculated the immediate level-change, defined at the difference between the outcome observed and the projected outcome by the pre-interruption period trend at the first time point of the post-interruption period (after the transition period).</w:t>
            </w:r>
          </w:p>
          <w:p w14:paraId="6371AE8B" w14:textId="77777777" w:rsidR="00C54BBB" w:rsidRPr="00D96847" w:rsidRDefault="00C54BBB" w:rsidP="00EA1C37">
            <w:pPr>
              <w:rPr>
                <w:rFonts w:ascii="Times New Roman" w:hAnsi="Times New Roman" w:cs="Times New Roman"/>
              </w:rPr>
            </w:pPr>
          </w:p>
        </w:tc>
        <w:tc>
          <w:tcPr>
            <w:tcW w:w="3416" w:type="dxa"/>
          </w:tcPr>
          <w:p w14:paraId="1B41FF9D" w14:textId="77777777" w:rsidR="00C54BBB" w:rsidRDefault="00C54BBB" w:rsidP="00EA1C37">
            <w:pPr>
              <w:rPr>
                <w:rFonts w:ascii="Times New Roman" w:hAnsi="Times New Roman" w:cs="Times New Roman"/>
              </w:rPr>
            </w:pPr>
            <w:r>
              <w:rPr>
                <w:rFonts w:ascii="Times New Roman" w:hAnsi="Times New Roman" w:cs="Times New Roman"/>
              </w:rPr>
              <w:t>Our interest was in the immediate-level-change and slope-change when comparing the pre-interruption period and post-interruption period. As such, we modelled the transition period, however, in when calculating the interruption effects of interest, we ignored the transition period segment.</w:t>
            </w:r>
          </w:p>
          <w:p w14:paraId="4DF7D9D7" w14:textId="77777777" w:rsidR="00C54BBB" w:rsidRPr="00D96847" w:rsidRDefault="00C54BBB" w:rsidP="00EA1C37">
            <w:pPr>
              <w:rPr>
                <w:rFonts w:ascii="Times New Roman" w:hAnsi="Times New Roman" w:cs="Times New Roman"/>
              </w:rPr>
            </w:pPr>
            <w:r>
              <w:rPr>
                <w:rFonts w:ascii="Times New Roman" w:hAnsi="Times New Roman" w:cs="Times New Roman"/>
              </w:rPr>
              <w:t>This ITS study modification was defined in our protocol, however no ITS studies included required this modification.</w:t>
            </w:r>
          </w:p>
        </w:tc>
      </w:tr>
      <w:tr w:rsidR="00C54BBB" w:rsidRPr="00D96847" w14:paraId="1B238CCB" w14:textId="77777777" w:rsidTr="00A20892">
        <w:trPr>
          <w:cantSplit/>
          <w:jc w:val="center"/>
        </w:trPr>
        <w:tc>
          <w:tcPr>
            <w:tcW w:w="1418" w:type="dxa"/>
          </w:tcPr>
          <w:p w14:paraId="443DEB16" w14:textId="77777777" w:rsidR="00C54BBB" w:rsidRPr="00D96847" w:rsidRDefault="00C54BBB" w:rsidP="00EA1C37">
            <w:pPr>
              <w:rPr>
                <w:rFonts w:ascii="Times New Roman" w:hAnsi="Times New Roman" w:cs="Times New Roman"/>
              </w:rPr>
            </w:pPr>
            <w:r>
              <w:rPr>
                <w:rFonts w:ascii="Times New Roman" w:hAnsi="Times New Roman" w:cs="Times New Roman"/>
              </w:rPr>
              <w:lastRenderedPageBreak/>
              <w:t>B4</w:t>
            </w:r>
          </w:p>
        </w:tc>
        <w:tc>
          <w:tcPr>
            <w:tcW w:w="2080" w:type="dxa"/>
          </w:tcPr>
          <w:p w14:paraId="16708D3A"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Multiple interruptions</w:t>
            </w:r>
          </w:p>
        </w:tc>
        <w:tc>
          <w:tcPr>
            <w:tcW w:w="3576" w:type="dxa"/>
          </w:tcPr>
          <w:p w14:paraId="76E6A290"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The original study examined multiple interruptions (e.g., an intervention with two phases to its implementation will have two defined interruption points, and three segments).</w:t>
            </w:r>
          </w:p>
        </w:tc>
        <w:tc>
          <w:tcPr>
            <w:tcW w:w="3576" w:type="dxa"/>
          </w:tcPr>
          <w:p w14:paraId="08F76CDF"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We included only the segments before and after the first interruption.</w:t>
            </w:r>
          </w:p>
        </w:tc>
        <w:tc>
          <w:tcPr>
            <w:tcW w:w="3416" w:type="dxa"/>
          </w:tcPr>
          <w:p w14:paraId="1718528C" w14:textId="77777777" w:rsidR="00C54BBB" w:rsidRPr="00D96847" w:rsidRDefault="00C54BBB" w:rsidP="00EA1C37">
            <w:pPr>
              <w:rPr>
                <w:rFonts w:ascii="Times New Roman" w:hAnsi="Times New Roman" w:cs="Times New Roman"/>
              </w:rPr>
            </w:pPr>
            <w:r>
              <w:rPr>
                <w:rFonts w:ascii="Times New Roman" w:hAnsi="Times New Roman" w:cs="Times New Roman"/>
              </w:rPr>
              <w:t>Our in</w:t>
            </w:r>
            <w:r w:rsidRPr="00D96847">
              <w:rPr>
                <w:rFonts w:ascii="Times New Roman" w:hAnsi="Times New Roman" w:cs="Times New Roman"/>
              </w:rPr>
              <w:t xml:space="preserve">terest </w:t>
            </w:r>
            <w:r>
              <w:rPr>
                <w:rFonts w:ascii="Times New Roman" w:hAnsi="Times New Roman" w:cs="Times New Roman"/>
              </w:rPr>
              <w:t>was</w:t>
            </w:r>
            <w:r w:rsidRPr="00D96847">
              <w:rPr>
                <w:rFonts w:ascii="Times New Roman" w:hAnsi="Times New Roman" w:cs="Times New Roman"/>
              </w:rPr>
              <w:t xml:space="preserve"> in the regression parameters </w:t>
            </w:r>
            <w:r w:rsidRPr="002C4218">
              <w:rPr>
                <w:rFonts w:ascii="Times New Roman" w:hAnsi="Times New Roman" w:cs="Times New Roman"/>
              </w:rPr>
              <w:t>yielded by the model described in Section 2.4.1.</w:t>
            </w:r>
          </w:p>
        </w:tc>
      </w:tr>
      <w:tr w:rsidR="00C54BBB" w:rsidRPr="00D96847" w14:paraId="71DE92CF" w14:textId="77777777" w:rsidTr="00A20892">
        <w:trPr>
          <w:cantSplit/>
          <w:jc w:val="center"/>
        </w:trPr>
        <w:tc>
          <w:tcPr>
            <w:tcW w:w="1418" w:type="dxa"/>
            <w:tcBorders>
              <w:bottom w:val="single" w:sz="4" w:space="0" w:color="auto"/>
            </w:tcBorders>
          </w:tcPr>
          <w:p w14:paraId="3DDD099C" w14:textId="77777777" w:rsidR="00C54BBB" w:rsidRPr="00D96847" w:rsidRDefault="00C54BBB" w:rsidP="00EA1C37">
            <w:pPr>
              <w:rPr>
                <w:rFonts w:ascii="Times New Roman" w:hAnsi="Times New Roman" w:cs="Times New Roman"/>
              </w:rPr>
            </w:pPr>
            <w:r>
              <w:rPr>
                <w:rFonts w:ascii="Times New Roman" w:hAnsi="Times New Roman" w:cs="Times New Roman"/>
              </w:rPr>
              <w:t>B5</w:t>
            </w:r>
          </w:p>
        </w:tc>
        <w:tc>
          <w:tcPr>
            <w:tcW w:w="2080" w:type="dxa"/>
            <w:tcBorders>
              <w:bottom w:val="single" w:sz="4" w:space="0" w:color="auto"/>
            </w:tcBorders>
          </w:tcPr>
          <w:p w14:paraId="63C6728C"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Single interruption at multiple time points in a single series</w:t>
            </w:r>
          </w:p>
        </w:tc>
        <w:tc>
          <w:tcPr>
            <w:tcW w:w="3576" w:type="dxa"/>
            <w:tcBorders>
              <w:bottom w:val="single" w:sz="4" w:space="0" w:color="auto"/>
            </w:tcBorders>
          </w:tcPr>
          <w:p w14:paraId="4F254CA2"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 xml:space="preserve">The original study may have examined a single interruption that occurred repeatedly over time (i.e. a single time series with repeat interruptions, as opposed to several series each with a single interruption; a meta-analysis may be conducted across time as opposed to series, e.g., heavy rainfall events Phung </w:t>
            </w:r>
            <w:r w:rsidRPr="00A20892">
              <w:rPr>
                <w:rFonts w:ascii="Times New Roman" w:hAnsi="Times New Roman" w:cs="Times New Roman"/>
              </w:rPr>
              <w:t>2017</w:t>
            </w:r>
            <w:r w:rsidRPr="00A20892">
              <w:rPr>
                <w:rFonts w:ascii="Times New Roman" w:hAnsi="Times New Roman" w:cs="Times New Roman"/>
                <w:noProof/>
                <w:vertAlign w:val="superscript"/>
              </w:rPr>
              <w:t>2</w:t>
            </w:r>
            <w:r w:rsidRPr="00A20892">
              <w:rPr>
                <w:rFonts w:ascii="Times New Roman" w:hAnsi="Times New Roman" w:cs="Times New Roman"/>
              </w:rPr>
              <w:t>).</w:t>
            </w:r>
          </w:p>
        </w:tc>
        <w:tc>
          <w:tcPr>
            <w:tcW w:w="3576" w:type="dxa"/>
            <w:tcBorders>
              <w:bottom w:val="single" w:sz="4" w:space="0" w:color="auto"/>
            </w:tcBorders>
          </w:tcPr>
          <w:p w14:paraId="64F9D2A5" w14:textId="77777777" w:rsidR="00C54BBB" w:rsidRPr="00D96847" w:rsidRDefault="00C54BBB" w:rsidP="00EA1C37">
            <w:pPr>
              <w:ind w:left="34"/>
              <w:rPr>
                <w:rFonts w:ascii="Times New Roman" w:hAnsi="Times New Roman" w:cs="Times New Roman"/>
              </w:rPr>
            </w:pPr>
            <w:r w:rsidRPr="00D96847">
              <w:rPr>
                <w:rFonts w:ascii="Times New Roman" w:hAnsi="Times New Roman" w:cs="Times New Roman"/>
              </w:rPr>
              <w:t>The single series was divided into multiple series. The point of division between two interruptions was at the midpoint.</w:t>
            </w:r>
          </w:p>
        </w:tc>
        <w:tc>
          <w:tcPr>
            <w:tcW w:w="3416" w:type="dxa"/>
            <w:tcBorders>
              <w:bottom w:val="single" w:sz="4" w:space="0" w:color="auto"/>
            </w:tcBorders>
          </w:tcPr>
          <w:p w14:paraId="5F12DE14" w14:textId="77777777" w:rsidR="00C54BBB" w:rsidRPr="00D96847" w:rsidRDefault="00C54BBB" w:rsidP="00EA1C37">
            <w:pPr>
              <w:rPr>
                <w:rFonts w:ascii="Times New Roman" w:hAnsi="Times New Roman" w:cs="Times New Roman"/>
              </w:rPr>
            </w:pPr>
            <w:r w:rsidRPr="00D96847">
              <w:rPr>
                <w:rFonts w:ascii="Times New Roman" w:hAnsi="Times New Roman" w:cs="Times New Roman"/>
              </w:rPr>
              <w:t>Equal division of the datapoints between two interruptions was conducted to ensure that there were no datapoints contributing to multiple “interrupted time series” (i.e., each datapoint contributed only once in the meta-analysis).</w:t>
            </w:r>
          </w:p>
        </w:tc>
      </w:tr>
    </w:tbl>
    <w:p w14:paraId="02B2FE79" w14:textId="77777777" w:rsidR="00C54BBB" w:rsidRDefault="00C54BBB" w:rsidP="00D00630">
      <w:pPr>
        <w:pStyle w:val="Heading2"/>
        <w:rPr>
          <w:rFonts w:ascii="Times New Roman" w:hAnsi="Times New Roman" w:cs="Times New Roman"/>
        </w:rPr>
        <w:sectPr w:rsidR="00C54BBB" w:rsidSect="004311FF">
          <w:pgSz w:w="16838" w:h="11906" w:orient="landscape"/>
          <w:pgMar w:top="1440" w:right="1440" w:bottom="1440" w:left="1440" w:header="708" w:footer="708" w:gutter="0"/>
          <w:cols w:space="708"/>
          <w:docGrid w:linePitch="360"/>
        </w:sectPr>
      </w:pPr>
    </w:p>
    <w:p w14:paraId="27D91165" w14:textId="77777777" w:rsidR="00C54BBB" w:rsidRDefault="00C54BBB" w:rsidP="00D00630">
      <w:pPr>
        <w:pStyle w:val="Heading2"/>
        <w:rPr>
          <w:rFonts w:ascii="Times New Roman" w:hAnsi="Times New Roman" w:cs="Times New Roman"/>
        </w:rPr>
      </w:pPr>
      <w:bookmarkStart w:id="4" w:name="_Toc121731911"/>
      <w:r w:rsidRPr="00D96847">
        <w:rPr>
          <w:rFonts w:ascii="Times New Roman" w:hAnsi="Times New Roman" w:cs="Times New Roman"/>
        </w:rPr>
        <w:lastRenderedPageBreak/>
        <w:t xml:space="preserve">Appendix </w:t>
      </w:r>
      <w:r>
        <w:rPr>
          <w:rFonts w:ascii="Times New Roman" w:hAnsi="Times New Roman" w:cs="Times New Roman"/>
        </w:rPr>
        <w:t>2</w:t>
      </w:r>
      <w:r w:rsidRPr="00D96847">
        <w:rPr>
          <w:rFonts w:ascii="Times New Roman" w:hAnsi="Times New Roman" w:cs="Times New Roman"/>
        </w:rPr>
        <w:t xml:space="preserve"> – Additional </w:t>
      </w:r>
      <w:r>
        <w:rPr>
          <w:rFonts w:ascii="Times New Roman" w:hAnsi="Times New Roman" w:cs="Times New Roman"/>
        </w:rPr>
        <w:t xml:space="preserve">results </w:t>
      </w:r>
      <w:r w:rsidRPr="00D96847">
        <w:rPr>
          <w:rFonts w:ascii="Times New Roman" w:hAnsi="Times New Roman" w:cs="Times New Roman"/>
        </w:rPr>
        <w:t>tables and figures</w:t>
      </w:r>
      <w:bookmarkEnd w:id="4"/>
    </w:p>
    <w:p w14:paraId="4D7D1454" w14:textId="77777777" w:rsidR="00C54BBB" w:rsidRPr="009318F9" w:rsidRDefault="00C54BBB" w:rsidP="00FE5960">
      <w:pPr>
        <w:pStyle w:val="Heading3"/>
        <w:rPr>
          <w:rFonts w:ascii="Times" w:hAnsi="Times" w:cs="Times"/>
        </w:rPr>
      </w:pPr>
      <w:bookmarkStart w:id="5" w:name="_Toc121731912"/>
      <w:r w:rsidRPr="009318F9">
        <w:rPr>
          <w:rFonts w:ascii="Times" w:hAnsi="Times" w:cs="Times"/>
        </w:rPr>
        <w:t>Appendix Figure S2.</w:t>
      </w:r>
      <w:r w:rsidRPr="00340629">
        <w:rPr>
          <w:rFonts w:ascii="Times" w:hAnsi="Times" w:cs="Times"/>
        </w:rPr>
        <w:t xml:space="preserve"> </w:t>
      </w:r>
      <w:r>
        <w:rPr>
          <w:rFonts w:ascii="Times" w:hAnsi="Times" w:cs="Times"/>
        </w:rPr>
        <w:t>Plots of the standardised effect estimates and confidence intervals for each meta-analysis</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8"/>
      </w:tblGrid>
      <w:tr w:rsidR="00C54BBB" w14:paraId="54D6F9E5" w14:textId="77777777" w:rsidTr="00340629">
        <w:trPr>
          <w:trHeight w:val="6490"/>
          <w:jc w:val="center"/>
        </w:trPr>
        <w:tc>
          <w:tcPr>
            <w:tcW w:w="11858" w:type="dxa"/>
            <w:hideMark/>
          </w:tcPr>
          <w:p w14:paraId="5281B3AE" w14:textId="77777777" w:rsidR="00C54BBB" w:rsidRDefault="00C54BBB" w:rsidP="001549C3">
            <w:pPr>
              <w:jc w:val="center"/>
              <w:rPr>
                <w:rFonts w:ascii="Times" w:hAnsi="Times" w:cs="Times"/>
                <w:sz w:val="24"/>
                <w:szCs w:val="24"/>
              </w:rPr>
            </w:pPr>
            <w:r>
              <w:rPr>
                <w:rFonts w:ascii="Times" w:hAnsi="Times" w:cs="Times"/>
                <w:noProof/>
                <w:sz w:val="24"/>
                <w:szCs w:val="24"/>
              </w:rPr>
              <w:lastRenderedPageBreak/>
              <w:drawing>
                <wp:inline distT="0" distB="0" distL="0" distR="0" wp14:anchorId="5A3401B0" wp14:editId="1831A324">
                  <wp:extent cx="5724525" cy="62128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6999"/>
                          <a:stretch/>
                        </pic:blipFill>
                        <pic:spPr bwMode="auto">
                          <a:xfrm>
                            <a:off x="0" y="0"/>
                            <a:ext cx="5732565" cy="62215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4BBB" w14:paraId="25246718" w14:textId="77777777" w:rsidTr="00340629">
        <w:trPr>
          <w:trHeight w:val="1971"/>
          <w:jc w:val="center"/>
        </w:trPr>
        <w:tc>
          <w:tcPr>
            <w:tcW w:w="11858" w:type="dxa"/>
            <w:hideMark/>
          </w:tcPr>
          <w:p w14:paraId="563D9E4E" w14:textId="77777777" w:rsidR="00C54BBB" w:rsidRDefault="00C54BBB" w:rsidP="009318F9">
            <w:pPr>
              <w:spacing w:after="160" w:line="360" w:lineRule="auto"/>
              <w:rPr>
                <w:rFonts w:ascii="Times" w:hAnsi="Times" w:cs="Times"/>
                <w:sz w:val="24"/>
                <w:szCs w:val="24"/>
              </w:rPr>
            </w:pPr>
            <w:r>
              <w:rPr>
                <w:rFonts w:ascii="Times" w:hAnsi="Times" w:cs="Times"/>
                <w:sz w:val="24"/>
                <w:szCs w:val="24"/>
              </w:rPr>
              <w:lastRenderedPageBreak/>
              <w:t>Appendix Figure S2. Plots of the standardised effect estimates and confidence intervals for each meta-analysis (x-axis) for level-change (A) and slope-change (B) when the included ITS studies were analysed with OLS (crosses) and REML (open circles), and when fixed-effect (red), DL+WT (green) and REML+HKSJ (blue) meta-analysis methods were used.</w:t>
            </w:r>
          </w:p>
          <w:p w14:paraId="14EF078E" w14:textId="77777777" w:rsidR="00C54BBB" w:rsidRDefault="00C54BBB" w:rsidP="009318F9">
            <w:pPr>
              <w:spacing w:after="160" w:line="360" w:lineRule="auto"/>
              <w:rPr>
                <w:rFonts w:ascii="Times" w:hAnsi="Times" w:cs="Times"/>
                <w:sz w:val="24"/>
                <w:szCs w:val="24"/>
              </w:rPr>
            </w:pPr>
            <w:r>
              <w:rPr>
                <w:rFonts w:ascii="Times" w:hAnsi="Times" w:cs="Times"/>
                <w:sz w:val="24"/>
                <w:szCs w:val="24"/>
              </w:rPr>
              <w:t xml:space="preserve">Standardised effects were obtained through </w:t>
            </w:r>
            <w:r w:rsidRPr="00B4675D">
              <w:rPr>
                <w:rFonts w:ascii="Times" w:hAnsi="Times" w:cs="Times"/>
                <w:sz w:val="24"/>
                <w:szCs w:val="24"/>
              </w:rPr>
              <w:t>divi</w:t>
            </w:r>
            <w:r>
              <w:rPr>
                <w:rFonts w:ascii="Times" w:hAnsi="Times" w:cs="Times"/>
                <w:sz w:val="24"/>
                <w:szCs w:val="24"/>
              </w:rPr>
              <w:t xml:space="preserve">sion </w:t>
            </w:r>
            <w:r w:rsidRPr="00B4675D">
              <w:rPr>
                <w:rFonts w:ascii="Times" w:hAnsi="Times" w:cs="Times"/>
                <w:sz w:val="24"/>
                <w:szCs w:val="24"/>
              </w:rPr>
              <w:t>by the root mean square error (RMSE) from the OLS analysis</w:t>
            </w:r>
            <w:r>
              <w:rPr>
                <w:rFonts w:ascii="Times" w:hAnsi="Times" w:cs="Times"/>
                <w:sz w:val="24"/>
                <w:szCs w:val="24"/>
              </w:rPr>
              <w:t>.</w:t>
            </w:r>
          </w:p>
          <w:p w14:paraId="310197AC" w14:textId="77777777" w:rsidR="00C54BBB" w:rsidRDefault="00C54BBB" w:rsidP="009318F9">
            <w:pPr>
              <w:spacing w:after="160" w:line="360" w:lineRule="auto"/>
              <w:rPr>
                <w:rFonts w:ascii="Times" w:hAnsi="Times" w:cs="Times"/>
                <w:sz w:val="24"/>
                <w:szCs w:val="24"/>
              </w:rPr>
            </w:pPr>
            <w:r w:rsidRPr="009318F9">
              <w:rPr>
                <w:rFonts w:ascii="Times" w:hAnsi="Times" w:cs="Times"/>
                <w:sz w:val="24"/>
                <w:szCs w:val="24"/>
              </w:rPr>
              <w:t>DL, DerSimonian and Laird. HKSJ, Hartung-Knapp / Sidik-Jonkman. ITS, interrupted time series. OLS, ordinary least squares. REML, restricted maximum likelihood. WT, Wald-type.</w:t>
            </w:r>
          </w:p>
        </w:tc>
      </w:tr>
    </w:tbl>
    <w:p w14:paraId="0093D3BF" w14:textId="77777777" w:rsidR="00C54BBB" w:rsidRDefault="00C54BBB" w:rsidP="00545992"/>
    <w:p w14:paraId="422EF990" w14:textId="77777777" w:rsidR="00C54BBB" w:rsidRPr="00374C25" w:rsidRDefault="00C54BBB" w:rsidP="00166EA9">
      <w:pPr>
        <w:pStyle w:val="Heading3"/>
        <w:rPr>
          <w:rFonts w:ascii="Times" w:hAnsi="Times" w:cs="Times"/>
        </w:rPr>
      </w:pPr>
      <w:bookmarkStart w:id="6" w:name="_Toc121731913"/>
      <w:r>
        <w:rPr>
          <w:rFonts w:ascii="Times" w:hAnsi="Times" w:cs="Times"/>
        </w:rPr>
        <w:lastRenderedPageBreak/>
        <w:t xml:space="preserve">Appendix </w:t>
      </w:r>
      <w:r w:rsidRPr="00374C25">
        <w:rPr>
          <w:rFonts w:ascii="Times" w:hAnsi="Times" w:cs="Times"/>
        </w:rPr>
        <w:t xml:space="preserve">Figure </w:t>
      </w:r>
      <w:r>
        <w:rPr>
          <w:rFonts w:ascii="Times" w:hAnsi="Times" w:cs="Times"/>
        </w:rPr>
        <w:t xml:space="preserve">S3. </w:t>
      </w:r>
      <w:r w:rsidRPr="00852AEE">
        <w:rPr>
          <w:rFonts w:ascii="Times" w:hAnsi="Times" w:cs="Times"/>
        </w:rPr>
        <w:t xml:space="preserve">Pairwise comparison of confidence intervals yielded by combinations of ITS analysis </w:t>
      </w:r>
      <w:r>
        <w:rPr>
          <w:rFonts w:ascii="Times" w:hAnsi="Times" w:cs="Times"/>
        </w:rPr>
        <w:t xml:space="preserve">(OLS or REML) </w:t>
      </w:r>
      <w:r w:rsidRPr="00852AEE">
        <w:rPr>
          <w:rFonts w:ascii="Times" w:hAnsi="Times" w:cs="Times"/>
        </w:rPr>
        <w:t>and meta-analysis method</w:t>
      </w:r>
      <w:r>
        <w:rPr>
          <w:rFonts w:ascii="Times" w:hAnsi="Times" w:cs="Times"/>
        </w:rPr>
        <w:t>s (DL+WT, DL+HKSJ, REML+WT or REML+HKSJ)</w:t>
      </w:r>
      <w:r w:rsidRPr="00852AEE">
        <w:rPr>
          <w:rFonts w:ascii="Times" w:hAnsi="Times" w:cs="Times"/>
        </w:rPr>
        <w:t>.</w:t>
      </w:r>
      <w:bookmarkEnd w:id="6"/>
    </w:p>
    <w:tbl>
      <w:tblPr>
        <w:tblStyle w:val="TableGrid"/>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tblGrid>
      <w:tr w:rsidR="00C54BBB" w:rsidRPr="00852AEE" w14:paraId="7EF8484B" w14:textId="77777777" w:rsidTr="00B25A60">
        <w:trPr>
          <w:jc w:val="center"/>
        </w:trPr>
        <w:tc>
          <w:tcPr>
            <w:tcW w:w="12474" w:type="dxa"/>
          </w:tcPr>
          <w:p w14:paraId="1F28E57A" w14:textId="77777777" w:rsidR="00C54BBB" w:rsidRPr="00852AEE" w:rsidRDefault="00C54BBB" w:rsidP="00B25A60">
            <w:pPr>
              <w:jc w:val="center"/>
              <w:rPr>
                <w:rFonts w:ascii="Times" w:hAnsi="Times" w:cs="Times"/>
                <w:sz w:val="24"/>
                <w:szCs w:val="24"/>
              </w:rPr>
            </w:pPr>
            <w:r>
              <w:rPr>
                <w:rFonts w:ascii="Arial" w:eastAsia="Times New Roman" w:hAnsi="Arial" w:cs="Arial"/>
                <w:noProof/>
                <w:color w:val="222222"/>
                <w:sz w:val="24"/>
                <w:szCs w:val="24"/>
                <w:lang w:eastAsia="en-AU"/>
              </w:rPr>
              <w:drawing>
                <wp:inline distT="0" distB="0" distL="0" distR="0" wp14:anchorId="434C6CA0" wp14:editId="65F01A14">
                  <wp:extent cx="6268101" cy="50732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rotWithShape="1">
                          <a:blip r:embed="rId7">
                            <a:extLst>
                              <a:ext uri="{28A0092B-C50C-407E-A947-70E740481C1C}">
                                <a14:useLocalDpi xmlns:a14="http://schemas.microsoft.com/office/drawing/2010/main" val="0"/>
                              </a:ext>
                            </a:extLst>
                          </a:blip>
                          <a:srcRect l="-4" t="12361" r="4" b="6700"/>
                          <a:stretch/>
                        </pic:blipFill>
                        <pic:spPr bwMode="auto">
                          <a:xfrm>
                            <a:off x="0" y="0"/>
                            <a:ext cx="6268101" cy="50732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4BBB" w:rsidRPr="00852AEE" w14:paraId="369178BB" w14:textId="77777777" w:rsidTr="00B25A60">
        <w:trPr>
          <w:jc w:val="center"/>
        </w:trPr>
        <w:tc>
          <w:tcPr>
            <w:tcW w:w="12474" w:type="dxa"/>
          </w:tcPr>
          <w:p w14:paraId="15FA5052" w14:textId="77777777" w:rsidR="00C54BBB" w:rsidRPr="00D56FE1" w:rsidRDefault="00C54BBB" w:rsidP="00166EA9">
            <w:pPr>
              <w:spacing w:line="360" w:lineRule="auto"/>
              <w:rPr>
                <w:rFonts w:ascii="Times" w:hAnsi="Times" w:cs="Times"/>
                <w:sz w:val="24"/>
                <w:szCs w:val="24"/>
              </w:rPr>
            </w:pPr>
            <w:r>
              <w:rPr>
                <w:rFonts w:ascii="Times" w:hAnsi="Times" w:cs="Times"/>
                <w:sz w:val="24"/>
                <w:szCs w:val="24"/>
              </w:rPr>
              <w:lastRenderedPageBreak/>
              <w:t xml:space="preserve">Appendix </w:t>
            </w:r>
            <w:r w:rsidRPr="00852AEE">
              <w:rPr>
                <w:rFonts w:ascii="Times" w:hAnsi="Times" w:cs="Times"/>
                <w:sz w:val="24"/>
                <w:szCs w:val="24"/>
              </w:rPr>
              <w:t xml:space="preserve">Figure </w:t>
            </w:r>
            <w:r>
              <w:rPr>
                <w:rFonts w:ascii="Times" w:hAnsi="Times" w:cs="Times"/>
                <w:sz w:val="24"/>
                <w:szCs w:val="24"/>
              </w:rPr>
              <w:t>S3</w:t>
            </w:r>
            <w:r w:rsidRPr="00852AEE">
              <w:rPr>
                <w:rFonts w:ascii="Times" w:hAnsi="Times" w:cs="Times"/>
                <w:sz w:val="24"/>
                <w:szCs w:val="24"/>
              </w:rPr>
              <w:t xml:space="preserve">. Pairwise comparison of confidence intervals yielded by combinations of ITS analysis </w:t>
            </w:r>
            <w:r>
              <w:rPr>
                <w:rFonts w:ascii="Times" w:hAnsi="Times" w:cs="Times"/>
                <w:sz w:val="24"/>
                <w:szCs w:val="24"/>
              </w:rPr>
              <w:t xml:space="preserve">(OLS or REML) </w:t>
            </w:r>
            <w:r w:rsidRPr="00852AEE">
              <w:rPr>
                <w:rFonts w:ascii="Times" w:hAnsi="Times" w:cs="Times"/>
                <w:sz w:val="24"/>
                <w:szCs w:val="24"/>
              </w:rPr>
              <w:t>and meta-analysis method</w:t>
            </w:r>
            <w:r>
              <w:rPr>
                <w:rFonts w:ascii="Times" w:hAnsi="Times" w:cs="Times"/>
                <w:sz w:val="24"/>
                <w:szCs w:val="24"/>
              </w:rPr>
              <w:t>s (DL+WT, DL+HKSJ, REML+WT or REML+HKSJ)</w:t>
            </w:r>
            <w:r w:rsidRPr="00852AEE">
              <w:rPr>
                <w:rFonts w:ascii="Times" w:hAnsi="Times" w:cs="Times"/>
                <w:sz w:val="24"/>
                <w:szCs w:val="24"/>
              </w:rPr>
              <w:t>. Each plot contains the 17 meta-analyses</w:t>
            </w:r>
            <w:r>
              <w:rPr>
                <w:rFonts w:ascii="Times" w:hAnsi="Times" w:cs="Times"/>
                <w:sz w:val="24"/>
                <w:szCs w:val="24"/>
              </w:rPr>
              <w:t>’</w:t>
            </w:r>
            <w:r w:rsidRPr="00852AEE">
              <w:rPr>
                <w:rFonts w:ascii="Times" w:hAnsi="Times" w:cs="Times"/>
                <w:sz w:val="24"/>
                <w:szCs w:val="24"/>
              </w:rPr>
              <w:t xml:space="preserve"> absolute difference in meta-analytic effect estimates and scaled relative confidence intervals, ranked in order of scaled relative confidence interval width. </w:t>
            </w:r>
            <w:r>
              <w:rPr>
                <w:rFonts w:ascii="Times" w:hAnsi="Times" w:cs="Times"/>
                <w:sz w:val="24"/>
                <w:szCs w:val="24"/>
              </w:rPr>
              <w:t>The top triangle (green points) presents the immediate level-change, while the bottom triangle (blue points) presents the slope-change. T</w:t>
            </w:r>
            <w:r w:rsidRPr="00852AEE">
              <w:rPr>
                <w:rFonts w:ascii="Times" w:hAnsi="Times" w:cs="Times"/>
                <w:sz w:val="24"/>
                <w:szCs w:val="24"/>
              </w:rPr>
              <w:t>he scaled relative confidence interval width</w:t>
            </w:r>
            <w:r>
              <w:rPr>
                <w:rFonts w:ascii="Times" w:hAnsi="Times" w:cs="Times"/>
                <w:sz w:val="24"/>
                <w:szCs w:val="24"/>
              </w:rPr>
              <w:t xml:space="preserve">s for the level-change </w:t>
            </w:r>
            <w:r w:rsidRPr="00852AEE">
              <w:rPr>
                <w:rFonts w:ascii="Times" w:hAnsi="Times" w:cs="Times"/>
                <w:sz w:val="24"/>
                <w:szCs w:val="24"/>
              </w:rPr>
              <w:t xml:space="preserve">were calculated as </w:t>
            </w:r>
            <w:r>
              <w:rPr>
                <w:rFonts w:ascii="Times" w:hAnsi="Times" w:cs="Times"/>
                <w:sz w:val="24"/>
                <w:szCs w:val="24"/>
              </w:rPr>
              <w:t xml:space="preserve">column method confidence interval </w:t>
            </w:r>
            <w:r w:rsidRPr="00852AEE">
              <w:rPr>
                <w:rFonts w:ascii="Times" w:hAnsi="Times" w:cs="Times"/>
                <w:sz w:val="24"/>
                <w:szCs w:val="24"/>
              </w:rPr>
              <w:t>width divided by row method confidence interval</w:t>
            </w:r>
            <w:r>
              <w:rPr>
                <w:rFonts w:ascii="Times" w:hAnsi="Times" w:cs="Times"/>
                <w:sz w:val="24"/>
                <w:szCs w:val="24"/>
              </w:rPr>
              <w:t xml:space="preserve"> </w:t>
            </w:r>
            <w:r w:rsidRPr="00852AEE">
              <w:rPr>
                <w:rFonts w:ascii="Times" w:hAnsi="Times" w:cs="Times"/>
                <w:sz w:val="24"/>
                <w:szCs w:val="24"/>
              </w:rPr>
              <w:t>width</w:t>
            </w:r>
            <w:r>
              <w:rPr>
                <w:rFonts w:ascii="Times" w:hAnsi="Times" w:cs="Times"/>
                <w:sz w:val="24"/>
                <w:szCs w:val="24"/>
              </w:rPr>
              <w:t xml:space="preserve"> (and row method / column method for slope-change)</w:t>
            </w:r>
            <w:r w:rsidRPr="00852AEE">
              <w:rPr>
                <w:rFonts w:ascii="Times" w:hAnsi="Times" w:cs="Times"/>
                <w:sz w:val="24"/>
                <w:szCs w:val="24"/>
              </w:rPr>
              <w:t xml:space="preserve">, scaled such that the row method </w:t>
            </w:r>
            <w:r>
              <w:rPr>
                <w:rFonts w:ascii="Times" w:hAnsi="Times" w:cs="Times"/>
                <w:sz w:val="24"/>
                <w:szCs w:val="24"/>
              </w:rPr>
              <w:t xml:space="preserve">(column method in the case of slope-change) </w:t>
            </w:r>
            <w:r w:rsidRPr="00852AEE">
              <w:rPr>
                <w:rFonts w:ascii="Times" w:hAnsi="Times" w:cs="Times"/>
                <w:sz w:val="24"/>
                <w:szCs w:val="24"/>
              </w:rPr>
              <w:t>spans -0.5 to 0.5 (</w:t>
            </w:r>
            <w:r>
              <w:rPr>
                <w:rFonts w:ascii="Times" w:hAnsi="Times" w:cs="Times"/>
                <w:sz w:val="24"/>
                <w:szCs w:val="24"/>
              </w:rPr>
              <w:t xml:space="preserve">indicated by the </w:t>
            </w:r>
            <w:r w:rsidRPr="00852AEE">
              <w:rPr>
                <w:rFonts w:ascii="Times" w:hAnsi="Times" w:cs="Times"/>
                <w:sz w:val="24"/>
                <w:szCs w:val="24"/>
              </w:rPr>
              <w:t xml:space="preserve">grey </w:t>
            </w:r>
            <w:r>
              <w:rPr>
                <w:rFonts w:ascii="Times" w:hAnsi="Times" w:cs="Times"/>
                <w:sz w:val="24"/>
                <w:szCs w:val="24"/>
              </w:rPr>
              <w:t>horizontal lines</w:t>
            </w:r>
            <w:r w:rsidRPr="00852AEE">
              <w:rPr>
                <w:rFonts w:ascii="Times" w:hAnsi="Times" w:cs="Times"/>
                <w:sz w:val="24"/>
                <w:szCs w:val="24"/>
              </w:rPr>
              <w:t xml:space="preserve">). </w:t>
            </w:r>
            <w:r>
              <w:rPr>
                <w:rFonts w:ascii="Times" w:hAnsi="Times" w:cs="Times"/>
                <w:sz w:val="24"/>
                <w:szCs w:val="24"/>
              </w:rPr>
              <w:t xml:space="preserve">Confidence intervals entirely between the horizontal grey lines </w:t>
            </w:r>
            <w:r w:rsidRPr="00D56FE1">
              <w:rPr>
                <w:rFonts w:ascii="Times" w:hAnsi="Times" w:cs="Times"/>
                <w:sz w:val="24"/>
                <w:szCs w:val="24"/>
              </w:rPr>
              <w:t xml:space="preserve">have smaller confidence intervals than the comparison (left of the vertical </w:t>
            </w:r>
            <w:r>
              <w:rPr>
                <w:rFonts w:ascii="Times" w:hAnsi="Times" w:cs="Times"/>
                <w:sz w:val="24"/>
                <w:szCs w:val="24"/>
              </w:rPr>
              <w:t xml:space="preserve">red </w:t>
            </w:r>
            <w:r w:rsidRPr="00D56FE1">
              <w:rPr>
                <w:rFonts w:ascii="Times" w:hAnsi="Times" w:cs="Times"/>
                <w:sz w:val="24"/>
                <w:szCs w:val="24"/>
              </w:rPr>
              <w:t xml:space="preserve">line), while </w:t>
            </w:r>
            <w:r>
              <w:rPr>
                <w:rFonts w:ascii="Times" w:hAnsi="Times" w:cs="Times"/>
                <w:sz w:val="24"/>
                <w:szCs w:val="24"/>
              </w:rPr>
              <w:t xml:space="preserve">the confidence intervals </w:t>
            </w:r>
            <w:r w:rsidRPr="00D56FE1">
              <w:rPr>
                <w:rFonts w:ascii="Times" w:hAnsi="Times" w:cs="Times"/>
                <w:sz w:val="24"/>
                <w:szCs w:val="24"/>
              </w:rPr>
              <w:t xml:space="preserve">extending beyond the </w:t>
            </w:r>
            <w:r>
              <w:rPr>
                <w:rFonts w:ascii="Times" w:hAnsi="Times" w:cs="Times"/>
                <w:sz w:val="24"/>
                <w:szCs w:val="24"/>
              </w:rPr>
              <w:t>grey horizontal lines</w:t>
            </w:r>
          </w:p>
          <w:p w14:paraId="3EE822FF" w14:textId="77777777" w:rsidR="00C54BBB" w:rsidRDefault="00C54BBB" w:rsidP="00166EA9">
            <w:pPr>
              <w:spacing w:line="360" w:lineRule="auto"/>
              <w:rPr>
                <w:rFonts w:ascii="Times" w:hAnsi="Times" w:cs="Times"/>
                <w:sz w:val="24"/>
                <w:szCs w:val="24"/>
              </w:rPr>
            </w:pPr>
            <w:r w:rsidRPr="00D56FE1">
              <w:rPr>
                <w:rFonts w:ascii="Times" w:hAnsi="Times" w:cs="Times"/>
                <w:sz w:val="24"/>
                <w:szCs w:val="24"/>
              </w:rPr>
              <w:t xml:space="preserve">have larger confidence intervals than the comparison (right of the vertical </w:t>
            </w:r>
            <w:r>
              <w:rPr>
                <w:rFonts w:ascii="Times" w:hAnsi="Times" w:cs="Times"/>
                <w:sz w:val="24"/>
                <w:szCs w:val="24"/>
              </w:rPr>
              <w:t xml:space="preserve">red </w:t>
            </w:r>
            <w:r w:rsidRPr="00D56FE1">
              <w:rPr>
                <w:rFonts w:ascii="Times" w:hAnsi="Times" w:cs="Times"/>
                <w:sz w:val="24"/>
                <w:szCs w:val="24"/>
              </w:rPr>
              <w:t>line).</w:t>
            </w:r>
            <w:r>
              <w:rPr>
                <w:rFonts w:ascii="Times" w:hAnsi="Times" w:cs="Times"/>
                <w:sz w:val="24"/>
                <w:szCs w:val="24"/>
              </w:rPr>
              <w:t xml:space="preserve"> The black confidence intervals indicate where one or both of the confidence limits were beyond the limits y-axis scale.</w:t>
            </w:r>
          </w:p>
          <w:p w14:paraId="6A9355DE" w14:textId="77777777" w:rsidR="00C54BBB" w:rsidRDefault="00C54BBB" w:rsidP="00166EA9">
            <w:pPr>
              <w:spacing w:line="360" w:lineRule="auto"/>
              <w:rPr>
                <w:rFonts w:ascii="Times" w:hAnsi="Times" w:cs="Times"/>
                <w:sz w:val="24"/>
                <w:szCs w:val="24"/>
              </w:rPr>
            </w:pPr>
            <w:r>
              <w:rPr>
                <w:rFonts w:ascii="Times" w:hAnsi="Times" w:cs="Times"/>
                <w:sz w:val="24"/>
                <w:szCs w:val="24"/>
              </w:rPr>
              <w:t>For example, in column 3, row 1, we can see that the level-change confidence intervals yielded by OLS ITS analysis with DL+WT meta-analysis are of the same/similar width to those yielded by OLS ITS analysis with REML+WT meta-analysis. Whereas in column 1, row 8, we can see that using REML ITS analysis with REML+HKSJ meta-analysis yields a couple of narrower slope-change confidence intervals or similar confidence intervals, but mostly wider confidence intervals, than OLS ITS analysis with DL+WT meta-analysis.</w:t>
            </w:r>
          </w:p>
          <w:p w14:paraId="31521F8F" w14:textId="77777777" w:rsidR="00C54BBB" w:rsidRDefault="00C54BBB" w:rsidP="00E61818">
            <w:pPr>
              <w:spacing w:line="360" w:lineRule="auto"/>
              <w:rPr>
                <w:rFonts w:ascii="Arial" w:eastAsia="Times New Roman" w:hAnsi="Arial" w:cs="Arial"/>
                <w:noProof/>
                <w:color w:val="222222"/>
                <w:sz w:val="24"/>
                <w:szCs w:val="24"/>
                <w:lang w:eastAsia="en-AU"/>
              </w:rPr>
            </w:pPr>
            <w:r w:rsidRPr="00852AEE">
              <w:rPr>
                <w:rFonts w:ascii="Times" w:hAnsi="Times" w:cs="Times"/>
                <w:sz w:val="24"/>
                <w:szCs w:val="24"/>
              </w:rPr>
              <w:t>DL, DerSimonian and Laird. HKSJ, Hartung-Knapp / Sidik-Jonkman. ITS, interrupted time series. OLS, ordinary least squares. REML, restricted maximum likelihood. WT, Wald-type.</w:t>
            </w:r>
          </w:p>
        </w:tc>
      </w:tr>
    </w:tbl>
    <w:p w14:paraId="05D1783A" w14:textId="77777777" w:rsidR="00C54BBB" w:rsidRDefault="00C54BBB" w:rsidP="00545992"/>
    <w:p w14:paraId="4FFDF7D3" w14:textId="77777777" w:rsidR="00C54BBB" w:rsidRPr="00237E6D" w:rsidRDefault="00C54BBB" w:rsidP="00340629">
      <w:pPr>
        <w:pStyle w:val="Heading3"/>
        <w:rPr>
          <w:rFonts w:ascii="Times" w:hAnsi="Times" w:cs="Times"/>
        </w:rPr>
      </w:pPr>
      <w:bookmarkStart w:id="7" w:name="_Ref119945530"/>
      <w:bookmarkStart w:id="8" w:name="_Toc121731914"/>
      <w:r w:rsidRPr="009318F9">
        <w:rPr>
          <w:rFonts w:ascii="Times" w:eastAsia="Times New Roman" w:hAnsi="Times" w:cs="Times"/>
          <w:lang w:eastAsia="en-AU"/>
        </w:rPr>
        <w:lastRenderedPageBreak/>
        <w:t>Appendix Table S2</w:t>
      </w:r>
      <w:bookmarkStart w:id="9" w:name="_Hlk119676684"/>
      <w:bookmarkEnd w:id="7"/>
      <w:r w:rsidRPr="0007025A">
        <w:rPr>
          <w:rFonts w:ascii="Times" w:eastAsia="Times New Roman" w:hAnsi="Times" w:cs="Times"/>
          <w:lang w:eastAsia="en-AU"/>
        </w:rPr>
        <w:t xml:space="preserve">. Frequencies of agreement in statistical significance of p-values </w:t>
      </w:r>
      <w:r w:rsidRPr="009318F9">
        <w:rPr>
          <w:rFonts w:ascii="Times" w:eastAsia="Times New Roman" w:hAnsi="Times" w:cs="Times"/>
          <w:lang w:eastAsia="en-AU"/>
        </w:rPr>
        <w:t>(categorised as p&lt;0.05 or p</w:t>
      </w:r>
      <m:oMath>
        <m:r>
          <m:rPr>
            <m:sty m:val="p"/>
          </m:rPr>
          <w:rPr>
            <w:rFonts w:ascii="Cambria Math" w:eastAsia="Times New Roman" w:hAnsi="Cambria Math" w:cs="Times"/>
            <w:lang w:eastAsia="en-AU"/>
          </w:rPr>
          <m:t>≥</m:t>
        </m:r>
      </m:oMath>
      <w:r w:rsidRPr="009318F9">
        <w:rPr>
          <w:rFonts w:ascii="Times" w:eastAsia="Times New Roman" w:hAnsi="Times" w:cs="Times"/>
          <w:lang w:eastAsia="en-AU"/>
        </w:rPr>
        <w:t>0.05)</w:t>
      </w:r>
      <w:r w:rsidRPr="0007025A">
        <w:rPr>
          <w:rFonts w:ascii="Times" w:eastAsia="Times New Roman" w:hAnsi="Times" w:cs="Times"/>
          <w:lang w:eastAsia="en-AU"/>
        </w:rPr>
        <w:t xml:space="preserve"> for pairwise comparisons of the meta-analytic immediate level-change (top triangle) and slope-change (bottom triangle) for combinations of ITS analysis and meta-analysis methods.</w:t>
      </w:r>
      <w:r>
        <w:rPr>
          <w:rFonts w:ascii="Times" w:eastAsia="Times New Roman" w:hAnsi="Times" w:cs="Times"/>
          <w:lang w:eastAsia="en-AU"/>
        </w:rPr>
        <w:t xml:space="preserve"> </w:t>
      </w:r>
      <w:r w:rsidRPr="0007025A">
        <w:rPr>
          <w:rFonts w:ascii="Times" w:eastAsia="Times New Roman" w:hAnsi="Times" w:cs="Times"/>
          <w:lang w:eastAsia="en-AU"/>
        </w:rPr>
        <w:t>(n = 17)</w:t>
      </w:r>
      <w:bookmarkEnd w:id="8"/>
    </w:p>
    <w:tbl>
      <w:tblPr>
        <w:tblW w:w="14884" w:type="dxa"/>
        <w:jc w:val="center"/>
        <w:tblLayout w:type="fixed"/>
        <w:tblLook w:val="04A0" w:firstRow="1" w:lastRow="0" w:firstColumn="1" w:lastColumn="0" w:noHBand="0" w:noVBand="1"/>
      </w:tblPr>
      <w:tblGrid>
        <w:gridCol w:w="455"/>
        <w:gridCol w:w="863"/>
        <w:gridCol w:w="672"/>
        <w:gridCol w:w="673"/>
        <w:gridCol w:w="675"/>
        <w:gridCol w:w="676"/>
        <w:gridCol w:w="675"/>
        <w:gridCol w:w="674"/>
        <w:gridCol w:w="675"/>
        <w:gridCol w:w="676"/>
        <w:gridCol w:w="674"/>
        <w:gridCol w:w="676"/>
        <w:gridCol w:w="674"/>
        <w:gridCol w:w="675"/>
        <w:gridCol w:w="679"/>
        <w:gridCol w:w="681"/>
        <w:gridCol w:w="679"/>
        <w:gridCol w:w="680"/>
        <w:gridCol w:w="679"/>
        <w:gridCol w:w="681"/>
        <w:gridCol w:w="678"/>
        <w:gridCol w:w="714"/>
      </w:tblGrid>
      <w:tr w:rsidR="00C54BBB" w:rsidRPr="00BD7075" w14:paraId="7536D0BF" w14:textId="77777777" w:rsidTr="00E174C6">
        <w:trPr>
          <w:cantSplit/>
          <w:trHeight w:val="296"/>
          <w:jc w:val="center"/>
        </w:trPr>
        <w:tc>
          <w:tcPr>
            <w:tcW w:w="455" w:type="dxa"/>
            <w:tcBorders>
              <w:top w:val="nil"/>
              <w:left w:val="nil"/>
              <w:bottom w:val="nil"/>
              <w:right w:val="nil"/>
            </w:tcBorders>
            <w:textDirection w:val="btLr"/>
          </w:tcPr>
          <w:p w14:paraId="5D1940AD"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nil"/>
              <w:right w:val="nil"/>
            </w:tcBorders>
            <w:shd w:val="clear" w:color="auto" w:fill="auto"/>
            <w:noWrap/>
            <w:textDirection w:val="btLr"/>
            <w:vAlign w:val="center"/>
          </w:tcPr>
          <w:p w14:paraId="2CD323AF" w14:textId="77777777" w:rsidR="00C54BBB" w:rsidRPr="00BD7075" w:rsidRDefault="00C54BBB" w:rsidP="00E174C6">
            <w:pPr>
              <w:spacing w:after="0" w:line="240" w:lineRule="auto"/>
              <w:jc w:val="center"/>
              <w:rPr>
                <w:rFonts w:ascii="Times" w:hAnsi="Times" w:cs="Times"/>
                <w:sz w:val="18"/>
                <w:szCs w:val="18"/>
              </w:rPr>
            </w:pPr>
          </w:p>
        </w:tc>
        <w:tc>
          <w:tcPr>
            <w:tcW w:w="13566" w:type="dxa"/>
            <w:gridSpan w:val="20"/>
            <w:tcBorders>
              <w:top w:val="nil"/>
              <w:left w:val="nil"/>
              <w:bottom w:val="nil"/>
              <w:right w:val="nil"/>
            </w:tcBorders>
            <w:shd w:val="clear" w:color="auto" w:fill="auto"/>
            <w:noWrap/>
            <w:vAlign w:val="center"/>
          </w:tcPr>
          <w:p w14:paraId="3B0CCD90" w14:textId="77777777" w:rsidR="00C54BBB" w:rsidRPr="004724D8" w:rsidRDefault="00C54BBB" w:rsidP="00E174C6">
            <w:pPr>
              <w:spacing w:after="0" w:line="240" w:lineRule="auto"/>
              <w:jc w:val="center"/>
              <w:rPr>
                <w:rFonts w:ascii="Times" w:hAnsi="Times" w:cs="Times"/>
                <w:b/>
                <w:bCs/>
                <w:sz w:val="18"/>
                <w:szCs w:val="18"/>
              </w:rPr>
            </w:pPr>
            <w:r w:rsidRPr="004724D8">
              <w:rPr>
                <w:rFonts w:ascii="Times" w:hAnsi="Times" w:cs="Times"/>
                <w:b/>
                <w:bCs/>
                <w:sz w:val="18"/>
                <w:szCs w:val="18"/>
              </w:rPr>
              <w:t>Level-change</w:t>
            </w:r>
          </w:p>
        </w:tc>
      </w:tr>
      <w:tr w:rsidR="00C54BBB" w:rsidRPr="00BD7075" w14:paraId="52DCE048" w14:textId="77777777" w:rsidTr="00E174C6">
        <w:trPr>
          <w:cantSplit/>
          <w:trHeight w:val="726"/>
          <w:jc w:val="center"/>
        </w:trPr>
        <w:tc>
          <w:tcPr>
            <w:tcW w:w="455" w:type="dxa"/>
            <w:vMerge w:val="restart"/>
            <w:tcBorders>
              <w:top w:val="nil"/>
              <w:left w:val="nil"/>
              <w:right w:val="nil"/>
            </w:tcBorders>
            <w:shd w:val="clear" w:color="auto" w:fill="E7E6E6" w:themeFill="background2"/>
            <w:textDirection w:val="btLr"/>
          </w:tcPr>
          <w:p w14:paraId="52F31B82" w14:textId="77777777" w:rsidR="00C54BBB" w:rsidRPr="004724D8" w:rsidRDefault="00C54BBB" w:rsidP="00E174C6">
            <w:pPr>
              <w:spacing w:after="0" w:line="240" w:lineRule="auto"/>
              <w:jc w:val="center"/>
              <w:rPr>
                <w:rFonts w:ascii="Times" w:hAnsi="Times" w:cs="Times"/>
                <w:b/>
                <w:bCs/>
                <w:sz w:val="18"/>
                <w:szCs w:val="18"/>
              </w:rPr>
            </w:pPr>
            <w:r w:rsidRPr="004724D8">
              <w:rPr>
                <w:rFonts w:ascii="Times" w:hAnsi="Times" w:cs="Times"/>
                <w:b/>
                <w:bCs/>
                <w:sz w:val="18"/>
                <w:szCs w:val="18"/>
              </w:rPr>
              <w:t>Slope-change</w:t>
            </w:r>
          </w:p>
        </w:tc>
        <w:tc>
          <w:tcPr>
            <w:tcW w:w="863" w:type="dxa"/>
            <w:tcBorders>
              <w:top w:val="nil"/>
              <w:left w:val="nil"/>
              <w:bottom w:val="nil"/>
              <w:right w:val="nil"/>
            </w:tcBorders>
            <w:shd w:val="clear" w:color="auto" w:fill="auto"/>
            <w:noWrap/>
            <w:textDirection w:val="btLr"/>
            <w:vAlign w:val="center"/>
            <w:hideMark/>
          </w:tcPr>
          <w:p w14:paraId="53732843" w14:textId="77777777" w:rsidR="00C54BBB" w:rsidRPr="00BD7075" w:rsidRDefault="00C54BBB" w:rsidP="00E174C6">
            <w:pPr>
              <w:spacing w:after="0" w:line="240" w:lineRule="auto"/>
              <w:jc w:val="center"/>
              <w:rPr>
                <w:rFonts w:ascii="Times" w:hAnsi="Times" w:cs="Times"/>
                <w:sz w:val="18"/>
                <w:szCs w:val="18"/>
              </w:rPr>
            </w:pPr>
          </w:p>
        </w:tc>
        <w:tc>
          <w:tcPr>
            <w:tcW w:w="672" w:type="dxa"/>
            <w:tcBorders>
              <w:top w:val="nil"/>
              <w:left w:val="nil"/>
              <w:bottom w:val="nil"/>
              <w:right w:val="nil"/>
            </w:tcBorders>
            <w:shd w:val="clear" w:color="auto" w:fill="auto"/>
            <w:noWrap/>
            <w:textDirection w:val="btLr"/>
            <w:vAlign w:val="center"/>
            <w:hideMark/>
          </w:tcPr>
          <w:p w14:paraId="03DC6A9C"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3" w:type="dxa"/>
            <w:tcBorders>
              <w:top w:val="nil"/>
              <w:left w:val="nil"/>
              <w:bottom w:val="nil"/>
              <w:right w:val="single" w:sz="4" w:space="0" w:color="auto"/>
            </w:tcBorders>
            <w:shd w:val="clear" w:color="auto" w:fill="auto"/>
            <w:noWrap/>
            <w:textDirection w:val="btLr"/>
            <w:vAlign w:val="center"/>
            <w:hideMark/>
          </w:tcPr>
          <w:p w14:paraId="39F29519"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5" w:type="dxa"/>
            <w:tcBorders>
              <w:top w:val="nil"/>
              <w:left w:val="single" w:sz="4" w:space="0" w:color="auto"/>
              <w:bottom w:val="nil"/>
              <w:right w:val="nil"/>
            </w:tcBorders>
            <w:shd w:val="clear" w:color="auto" w:fill="auto"/>
            <w:noWrap/>
            <w:textDirection w:val="btLr"/>
            <w:vAlign w:val="center"/>
            <w:hideMark/>
          </w:tcPr>
          <w:p w14:paraId="2A4EC34A"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6" w:type="dxa"/>
            <w:tcBorders>
              <w:top w:val="nil"/>
              <w:left w:val="nil"/>
              <w:bottom w:val="nil"/>
              <w:right w:val="single" w:sz="4" w:space="0" w:color="auto"/>
            </w:tcBorders>
            <w:shd w:val="clear" w:color="auto" w:fill="auto"/>
            <w:noWrap/>
            <w:textDirection w:val="btLr"/>
            <w:vAlign w:val="center"/>
            <w:hideMark/>
          </w:tcPr>
          <w:p w14:paraId="2AA6B43E"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5" w:type="dxa"/>
            <w:tcBorders>
              <w:top w:val="nil"/>
              <w:left w:val="single" w:sz="4" w:space="0" w:color="auto"/>
              <w:bottom w:val="nil"/>
              <w:right w:val="nil"/>
            </w:tcBorders>
            <w:shd w:val="clear" w:color="auto" w:fill="auto"/>
            <w:noWrap/>
            <w:textDirection w:val="btLr"/>
            <w:vAlign w:val="center"/>
            <w:hideMark/>
          </w:tcPr>
          <w:p w14:paraId="585D7781"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4" w:type="dxa"/>
            <w:tcBorders>
              <w:top w:val="nil"/>
              <w:left w:val="nil"/>
              <w:bottom w:val="nil"/>
              <w:right w:val="single" w:sz="4" w:space="0" w:color="auto"/>
            </w:tcBorders>
            <w:shd w:val="clear" w:color="auto" w:fill="auto"/>
            <w:noWrap/>
            <w:textDirection w:val="btLr"/>
            <w:vAlign w:val="center"/>
            <w:hideMark/>
          </w:tcPr>
          <w:p w14:paraId="14BE668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5" w:type="dxa"/>
            <w:tcBorders>
              <w:top w:val="nil"/>
              <w:left w:val="single" w:sz="4" w:space="0" w:color="auto"/>
              <w:bottom w:val="nil"/>
              <w:right w:val="nil"/>
            </w:tcBorders>
            <w:shd w:val="clear" w:color="auto" w:fill="auto"/>
            <w:noWrap/>
            <w:textDirection w:val="btLr"/>
            <w:vAlign w:val="center"/>
            <w:hideMark/>
          </w:tcPr>
          <w:p w14:paraId="6771357E"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6" w:type="dxa"/>
            <w:tcBorders>
              <w:top w:val="nil"/>
              <w:left w:val="nil"/>
              <w:bottom w:val="nil"/>
              <w:right w:val="single" w:sz="4" w:space="0" w:color="auto"/>
            </w:tcBorders>
            <w:shd w:val="clear" w:color="auto" w:fill="auto"/>
            <w:noWrap/>
            <w:textDirection w:val="btLr"/>
            <w:vAlign w:val="center"/>
            <w:hideMark/>
          </w:tcPr>
          <w:p w14:paraId="7D1E0FCA"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4" w:type="dxa"/>
            <w:tcBorders>
              <w:top w:val="nil"/>
              <w:left w:val="single" w:sz="4" w:space="0" w:color="auto"/>
              <w:bottom w:val="nil"/>
              <w:right w:val="nil"/>
            </w:tcBorders>
            <w:shd w:val="clear" w:color="auto" w:fill="auto"/>
            <w:noWrap/>
            <w:textDirection w:val="btLr"/>
            <w:vAlign w:val="center"/>
            <w:hideMark/>
          </w:tcPr>
          <w:p w14:paraId="0550C39A"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6" w:type="dxa"/>
            <w:tcBorders>
              <w:top w:val="nil"/>
              <w:left w:val="nil"/>
              <w:bottom w:val="nil"/>
              <w:right w:val="single" w:sz="4" w:space="0" w:color="auto"/>
            </w:tcBorders>
            <w:shd w:val="clear" w:color="auto" w:fill="auto"/>
            <w:noWrap/>
            <w:textDirection w:val="btLr"/>
            <w:vAlign w:val="center"/>
            <w:hideMark/>
          </w:tcPr>
          <w:p w14:paraId="066CB14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4" w:type="dxa"/>
            <w:tcBorders>
              <w:top w:val="nil"/>
              <w:left w:val="single" w:sz="4" w:space="0" w:color="auto"/>
              <w:bottom w:val="nil"/>
              <w:right w:val="nil"/>
            </w:tcBorders>
            <w:shd w:val="clear" w:color="auto" w:fill="auto"/>
            <w:noWrap/>
            <w:textDirection w:val="btLr"/>
            <w:vAlign w:val="center"/>
            <w:hideMark/>
          </w:tcPr>
          <w:p w14:paraId="12DAC652"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5" w:type="dxa"/>
            <w:tcBorders>
              <w:top w:val="nil"/>
              <w:left w:val="nil"/>
              <w:bottom w:val="nil"/>
              <w:right w:val="single" w:sz="4" w:space="0" w:color="auto"/>
            </w:tcBorders>
            <w:shd w:val="clear" w:color="auto" w:fill="auto"/>
            <w:noWrap/>
            <w:textDirection w:val="btLr"/>
            <w:vAlign w:val="center"/>
            <w:hideMark/>
          </w:tcPr>
          <w:p w14:paraId="6DF6E81E"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9" w:type="dxa"/>
            <w:tcBorders>
              <w:top w:val="nil"/>
              <w:left w:val="single" w:sz="4" w:space="0" w:color="auto"/>
              <w:bottom w:val="nil"/>
              <w:right w:val="nil"/>
            </w:tcBorders>
            <w:shd w:val="clear" w:color="auto" w:fill="auto"/>
            <w:noWrap/>
            <w:textDirection w:val="btLr"/>
            <w:vAlign w:val="center"/>
            <w:hideMark/>
          </w:tcPr>
          <w:p w14:paraId="3433A6C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81" w:type="dxa"/>
            <w:tcBorders>
              <w:top w:val="nil"/>
              <w:left w:val="nil"/>
              <w:bottom w:val="nil"/>
              <w:right w:val="single" w:sz="4" w:space="0" w:color="auto"/>
            </w:tcBorders>
            <w:shd w:val="clear" w:color="auto" w:fill="auto"/>
            <w:noWrap/>
            <w:textDirection w:val="btLr"/>
            <w:vAlign w:val="center"/>
            <w:hideMark/>
          </w:tcPr>
          <w:p w14:paraId="3C9319DB"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9" w:type="dxa"/>
            <w:tcBorders>
              <w:top w:val="nil"/>
              <w:left w:val="single" w:sz="4" w:space="0" w:color="auto"/>
              <w:bottom w:val="nil"/>
              <w:right w:val="nil"/>
            </w:tcBorders>
            <w:shd w:val="clear" w:color="auto" w:fill="auto"/>
            <w:noWrap/>
            <w:textDirection w:val="btLr"/>
            <w:vAlign w:val="center"/>
            <w:hideMark/>
          </w:tcPr>
          <w:p w14:paraId="7253CB69"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80" w:type="dxa"/>
            <w:tcBorders>
              <w:top w:val="nil"/>
              <w:left w:val="nil"/>
              <w:bottom w:val="nil"/>
              <w:right w:val="single" w:sz="4" w:space="0" w:color="auto"/>
            </w:tcBorders>
            <w:shd w:val="clear" w:color="auto" w:fill="auto"/>
            <w:noWrap/>
            <w:textDirection w:val="btLr"/>
            <w:vAlign w:val="center"/>
            <w:hideMark/>
          </w:tcPr>
          <w:p w14:paraId="13AF67B8"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9" w:type="dxa"/>
            <w:tcBorders>
              <w:top w:val="nil"/>
              <w:left w:val="single" w:sz="4" w:space="0" w:color="auto"/>
              <w:bottom w:val="nil"/>
              <w:right w:val="nil"/>
            </w:tcBorders>
            <w:shd w:val="clear" w:color="auto" w:fill="auto"/>
            <w:noWrap/>
            <w:textDirection w:val="btLr"/>
            <w:vAlign w:val="center"/>
            <w:hideMark/>
          </w:tcPr>
          <w:p w14:paraId="4B2AB8F6"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81" w:type="dxa"/>
            <w:tcBorders>
              <w:top w:val="nil"/>
              <w:left w:val="nil"/>
              <w:bottom w:val="nil"/>
              <w:right w:val="single" w:sz="4" w:space="0" w:color="auto"/>
            </w:tcBorders>
            <w:shd w:val="clear" w:color="auto" w:fill="auto"/>
            <w:noWrap/>
            <w:textDirection w:val="btLr"/>
            <w:vAlign w:val="center"/>
            <w:hideMark/>
          </w:tcPr>
          <w:p w14:paraId="41069B45"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8" w:type="dxa"/>
            <w:tcBorders>
              <w:top w:val="nil"/>
              <w:left w:val="single" w:sz="4" w:space="0" w:color="auto"/>
              <w:bottom w:val="nil"/>
              <w:right w:val="nil"/>
            </w:tcBorders>
            <w:shd w:val="clear" w:color="auto" w:fill="auto"/>
            <w:noWrap/>
            <w:textDirection w:val="btLr"/>
            <w:vAlign w:val="center"/>
            <w:hideMark/>
          </w:tcPr>
          <w:p w14:paraId="357F811B"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714" w:type="dxa"/>
            <w:tcBorders>
              <w:top w:val="nil"/>
              <w:left w:val="nil"/>
              <w:right w:val="single" w:sz="4" w:space="0" w:color="auto"/>
            </w:tcBorders>
            <w:shd w:val="clear" w:color="auto" w:fill="auto"/>
            <w:noWrap/>
            <w:textDirection w:val="btLr"/>
            <w:vAlign w:val="center"/>
            <w:hideMark/>
          </w:tcPr>
          <w:p w14:paraId="7788B6E1"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r>
      <w:tr w:rsidR="00C54BBB" w:rsidRPr="00BD7075" w14:paraId="29A160F3" w14:textId="77777777" w:rsidTr="00E174C6">
        <w:trPr>
          <w:trHeight w:val="385"/>
          <w:jc w:val="center"/>
        </w:trPr>
        <w:tc>
          <w:tcPr>
            <w:tcW w:w="455" w:type="dxa"/>
            <w:vMerge/>
            <w:tcBorders>
              <w:left w:val="nil"/>
              <w:right w:val="nil"/>
            </w:tcBorders>
            <w:shd w:val="clear" w:color="auto" w:fill="E7E6E6" w:themeFill="background2"/>
            <w:textDirection w:val="btLr"/>
          </w:tcPr>
          <w:p w14:paraId="7E94FE72"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right w:val="nil"/>
            </w:tcBorders>
            <w:shd w:val="clear" w:color="auto" w:fill="E7E6E6" w:themeFill="background2"/>
            <w:noWrap/>
            <w:vAlign w:val="center"/>
            <w:hideMark/>
          </w:tcPr>
          <w:p w14:paraId="34F268E1"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1345" w:type="dxa"/>
            <w:gridSpan w:val="2"/>
            <w:vMerge w:val="restart"/>
            <w:tcBorders>
              <w:top w:val="nil"/>
              <w:left w:val="nil"/>
              <w:right w:val="single" w:sz="4" w:space="0" w:color="auto"/>
            </w:tcBorders>
            <w:shd w:val="clear" w:color="auto" w:fill="auto"/>
            <w:noWrap/>
            <w:vAlign w:val="center"/>
            <w:hideMark/>
          </w:tcPr>
          <w:p w14:paraId="52AE572E"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OLS</w:t>
            </w:r>
          </w:p>
          <w:p w14:paraId="05535894" w14:textId="77777777" w:rsidR="00C54BBB" w:rsidRPr="00BD7075" w:rsidRDefault="00C54BBB" w:rsidP="00E174C6">
            <w:pPr>
              <w:spacing w:after="0" w:line="240" w:lineRule="auto"/>
              <w:jc w:val="center"/>
              <w:rPr>
                <w:rFonts w:ascii="Times" w:hAnsi="Times" w:cs="Times"/>
                <w:b/>
                <w:bCs/>
                <w:sz w:val="18"/>
                <w:szCs w:val="18"/>
              </w:rPr>
            </w:pPr>
            <w:r w:rsidRPr="004724D8">
              <w:rPr>
                <w:rFonts w:ascii="Times" w:hAnsi="Times" w:cs="Times"/>
                <w:b/>
                <w:bCs/>
                <w:sz w:val="18"/>
                <w:szCs w:val="18"/>
              </w:rPr>
              <w:t>Fixed</w:t>
            </w:r>
          </w:p>
        </w:tc>
        <w:tc>
          <w:tcPr>
            <w:tcW w:w="675" w:type="dxa"/>
            <w:tcBorders>
              <w:top w:val="nil"/>
              <w:left w:val="single" w:sz="4" w:space="0" w:color="auto"/>
              <w:right w:val="nil"/>
            </w:tcBorders>
            <w:shd w:val="clear" w:color="auto" w:fill="auto"/>
            <w:noWrap/>
            <w:vAlign w:val="center"/>
            <w:hideMark/>
          </w:tcPr>
          <w:p w14:paraId="6979E99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nil"/>
              <w:left w:val="nil"/>
              <w:right w:val="single" w:sz="4" w:space="0" w:color="auto"/>
            </w:tcBorders>
            <w:shd w:val="clear" w:color="auto" w:fill="auto"/>
            <w:noWrap/>
            <w:vAlign w:val="center"/>
            <w:hideMark/>
          </w:tcPr>
          <w:p w14:paraId="0502950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right w:val="nil"/>
            </w:tcBorders>
            <w:shd w:val="clear" w:color="auto" w:fill="auto"/>
            <w:noWrap/>
            <w:vAlign w:val="center"/>
            <w:hideMark/>
          </w:tcPr>
          <w:p w14:paraId="4F1B10B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nil"/>
              <w:right w:val="single" w:sz="4" w:space="0" w:color="auto"/>
            </w:tcBorders>
            <w:shd w:val="clear" w:color="auto" w:fill="auto"/>
            <w:noWrap/>
            <w:vAlign w:val="center"/>
            <w:hideMark/>
          </w:tcPr>
          <w:p w14:paraId="5C5D360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right w:val="nil"/>
            </w:tcBorders>
            <w:shd w:val="clear" w:color="auto" w:fill="auto"/>
            <w:noWrap/>
            <w:vAlign w:val="center"/>
            <w:hideMark/>
          </w:tcPr>
          <w:p w14:paraId="7EEE02C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nil"/>
              <w:left w:val="nil"/>
              <w:right w:val="single" w:sz="4" w:space="0" w:color="auto"/>
            </w:tcBorders>
            <w:shd w:val="clear" w:color="auto" w:fill="auto"/>
            <w:noWrap/>
            <w:vAlign w:val="center"/>
            <w:hideMark/>
          </w:tcPr>
          <w:p w14:paraId="0BEC950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4" w:type="dxa"/>
            <w:tcBorders>
              <w:top w:val="nil"/>
              <w:left w:val="single" w:sz="4" w:space="0" w:color="auto"/>
              <w:right w:val="nil"/>
            </w:tcBorders>
            <w:shd w:val="clear" w:color="auto" w:fill="auto"/>
            <w:noWrap/>
            <w:vAlign w:val="center"/>
            <w:hideMark/>
          </w:tcPr>
          <w:p w14:paraId="0E1D40F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nil"/>
              <w:left w:val="nil"/>
              <w:right w:val="single" w:sz="4" w:space="0" w:color="auto"/>
            </w:tcBorders>
            <w:shd w:val="clear" w:color="auto" w:fill="auto"/>
            <w:noWrap/>
            <w:vAlign w:val="center"/>
            <w:hideMark/>
          </w:tcPr>
          <w:p w14:paraId="135262B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4" w:type="dxa"/>
            <w:tcBorders>
              <w:top w:val="nil"/>
              <w:left w:val="single" w:sz="4" w:space="0" w:color="auto"/>
              <w:right w:val="nil"/>
            </w:tcBorders>
            <w:shd w:val="clear" w:color="auto" w:fill="auto"/>
            <w:noWrap/>
            <w:vAlign w:val="center"/>
            <w:hideMark/>
          </w:tcPr>
          <w:p w14:paraId="5AA2645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nil"/>
              <w:right w:val="single" w:sz="4" w:space="0" w:color="auto"/>
            </w:tcBorders>
            <w:shd w:val="clear" w:color="auto" w:fill="auto"/>
            <w:noWrap/>
            <w:vAlign w:val="center"/>
            <w:hideMark/>
          </w:tcPr>
          <w:p w14:paraId="22F0579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7</w:t>
            </w:r>
          </w:p>
        </w:tc>
        <w:tc>
          <w:tcPr>
            <w:tcW w:w="679" w:type="dxa"/>
            <w:tcBorders>
              <w:top w:val="nil"/>
              <w:left w:val="single" w:sz="4" w:space="0" w:color="auto"/>
              <w:right w:val="nil"/>
            </w:tcBorders>
            <w:shd w:val="clear" w:color="auto" w:fill="auto"/>
            <w:noWrap/>
            <w:vAlign w:val="center"/>
            <w:hideMark/>
          </w:tcPr>
          <w:p w14:paraId="795D0A9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1" w:type="dxa"/>
            <w:tcBorders>
              <w:top w:val="nil"/>
              <w:left w:val="nil"/>
              <w:right w:val="single" w:sz="4" w:space="0" w:color="auto"/>
            </w:tcBorders>
            <w:shd w:val="clear" w:color="auto" w:fill="auto"/>
            <w:noWrap/>
            <w:vAlign w:val="center"/>
            <w:hideMark/>
          </w:tcPr>
          <w:p w14:paraId="016CB27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9" w:type="dxa"/>
            <w:tcBorders>
              <w:top w:val="nil"/>
              <w:left w:val="single" w:sz="4" w:space="0" w:color="auto"/>
              <w:right w:val="nil"/>
            </w:tcBorders>
            <w:shd w:val="clear" w:color="auto" w:fill="auto"/>
            <w:noWrap/>
            <w:vAlign w:val="center"/>
            <w:hideMark/>
          </w:tcPr>
          <w:p w14:paraId="4207C7F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nil"/>
              <w:left w:val="nil"/>
              <w:right w:val="single" w:sz="4" w:space="0" w:color="auto"/>
            </w:tcBorders>
            <w:shd w:val="clear" w:color="auto" w:fill="auto"/>
            <w:noWrap/>
            <w:vAlign w:val="center"/>
            <w:hideMark/>
          </w:tcPr>
          <w:p w14:paraId="3F8F19C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9" w:type="dxa"/>
            <w:tcBorders>
              <w:top w:val="nil"/>
              <w:left w:val="single" w:sz="4" w:space="0" w:color="auto"/>
              <w:right w:val="nil"/>
            </w:tcBorders>
            <w:shd w:val="clear" w:color="auto" w:fill="auto"/>
            <w:noWrap/>
            <w:vAlign w:val="center"/>
            <w:hideMark/>
          </w:tcPr>
          <w:p w14:paraId="6FDDFF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1" w:type="dxa"/>
            <w:tcBorders>
              <w:top w:val="nil"/>
              <w:left w:val="nil"/>
              <w:right w:val="single" w:sz="4" w:space="0" w:color="auto"/>
            </w:tcBorders>
            <w:shd w:val="clear" w:color="auto" w:fill="auto"/>
            <w:noWrap/>
            <w:vAlign w:val="center"/>
            <w:hideMark/>
          </w:tcPr>
          <w:p w14:paraId="32A5814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8" w:type="dxa"/>
            <w:tcBorders>
              <w:top w:val="nil"/>
              <w:left w:val="single" w:sz="4" w:space="0" w:color="auto"/>
              <w:right w:val="nil"/>
            </w:tcBorders>
            <w:shd w:val="clear" w:color="auto" w:fill="auto"/>
            <w:noWrap/>
            <w:vAlign w:val="center"/>
            <w:hideMark/>
          </w:tcPr>
          <w:p w14:paraId="125CA7D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nil"/>
              <w:left w:val="nil"/>
              <w:right w:val="single" w:sz="4" w:space="0" w:color="auto"/>
            </w:tcBorders>
            <w:shd w:val="clear" w:color="auto" w:fill="auto"/>
            <w:noWrap/>
            <w:vAlign w:val="center"/>
            <w:hideMark/>
          </w:tcPr>
          <w:p w14:paraId="07A03F1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r>
      <w:tr w:rsidR="00C54BBB" w:rsidRPr="00BD7075" w14:paraId="2AA278B9" w14:textId="77777777" w:rsidTr="00E174C6">
        <w:trPr>
          <w:trHeight w:val="385"/>
          <w:jc w:val="center"/>
        </w:trPr>
        <w:tc>
          <w:tcPr>
            <w:tcW w:w="455" w:type="dxa"/>
            <w:vMerge/>
            <w:tcBorders>
              <w:left w:val="nil"/>
              <w:right w:val="nil"/>
            </w:tcBorders>
            <w:shd w:val="clear" w:color="auto" w:fill="E7E6E6" w:themeFill="background2"/>
          </w:tcPr>
          <w:p w14:paraId="2F110CF7"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3C2B2C88"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1345" w:type="dxa"/>
            <w:gridSpan w:val="2"/>
            <w:vMerge/>
            <w:tcBorders>
              <w:left w:val="nil"/>
              <w:bottom w:val="single" w:sz="4" w:space="0" w:color="auto"/>
              <w:right w:val="single" w:sz="4" w:space="0" w:color="auto"/>
            </w:tcBorders>
            <w:shd w:val="clear" w:color="auto" w:fill="auto"/>
            <w:noWrap/>
            <w:vAlign w:val="center"/>
            <w:hideMark/>
          </w:tcPr>
          <w:p w14:paraId="5F583E36" w14:textId="77777777" w:rsidR="00C54BBB" w:rsidRPr="00BD7075" w:rsidRDefault="00C54BBB" w:rsidP="00E174C6">
            <w:pPr>
              <w:spacing w:after="0" w:line="240" w:lineRule="auto"/>
              <w:jc w:val="center"/>
              <w:rPr>
                <w:rFonts w:ascii="Times" w:hAnsi="Times" w:cs="Times"/>
                <w:sz w:val="18"/>
                <w:szCs w:val="18"/>
              </w:rPr>
            </w:pPr>
          </w:p>
        </w:tc>
        <w:tc>
          <w:tcPr>
            <w:tcW w:w="675" w:type="dxa"/>
            <w:tcBorders>
              <w:top w:val="nil"/>
              <w:left w:val="single" w:sz="4" w:space="0" w:color="auto"/>
              <w:bottom w:val="single" w:sz="4" w:space="0" w:color="auto"/>
              <w:right w:val="nil"/>
            </w:tcBorders>
            <w:shd w:val="clear" w:color="auto" w:fill="auto"/>
            <w:noWrap/>
            <w:vAlign w:val="center"/>
            <w:hideMark/>
          </w:tcPr>
          <w:p w14:paraId="5757918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auto"/>
            <w:noWrap/>
            <w:vAlign w:val="center"/>
            <w:hideMark/>
          </w:tcPr>
          <w:p w14:paraId="5576E82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5" w:type="dxa"/>
            <w:tcBorders>
              <w:top w:val="nil"/>
              <w:left w:val="single" w:sz="4" w:space="0" w:color="auto"/>
              <w:bottom w:val="single" w:sz="4" w:space="0" w:color="auto"/>
              <w:right w:val="nil"/>
            </w:tcBorders>
            <w:shd w:val="clear" w:color="auto" w:fill="auto"/>
            <w:noWrap/>
            <w:vAlign w:val="center"/>
            <w:hideMark/>
          </w:tcPr>
          <w:p w14:paraId="4DB5AAB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auto"/>
            <w:noWrap/>
            <w:vAlign w:val="center"/>
            <w:hideMark/>
          </w:tcPr>
          <w:p w14:paraId="4D61FF7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nil"/>
              <w:left w:val="single" w:sz="4" w:space="0" w:color="auto"/>
              <w:bottom w:val="single" w:sz="4" w:space="0" w:color="auto"/>
              <w:right w:val="nil"/>
            </w:tcBorders>
            <w:shd w:val="clear" w:color="auto" w:fill="auto"/>
            <w:noWrap/>
            <w:vAlign w:val="center"/>
            <w:hideMark/>
          </w:tcPr>
          <w:p w14:paraId="4391ACA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auto"/>
            <w:noWrap/>
            <w:vAlign w:val="center"/>
            <w:hideMark/>
          </w:tcPr>
          <w:p w14:paraId="46986BC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4" w:type="dxa"/>
            <w:tcBorders>
              <w:top w:val="nil"/>
              <w:left w:val="single" w:sz="4" w:space="0" w:color="auto"/>
              <w:bottom w:val="single" w:sz="4" w:space="0" w:color="auto"/>
              <w:right w:val="nil"/>
            </w:tcBorders>
            <w:shd w:val="clear" w:color="auto" w:fill="auto"/>
            <w:noWrap/>
            <w:vAlign w:val="center"/>
            <w:hideMark/>
          </w:tcPr>
          <w:p w14:paraId="606AF86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auto"/>
            <w:noWrap/>
            <w:vAlign w:val="center"/>
            <w:hideMark/>
          </w:tcPr>
          <w:p w14:paraId="02C9263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4" w:type="dxa"/>
            <w:tcBorders>
              <w:top w:val="nil"/>
              <w:left w:val="single" w:sz="4" w:space="0" w:color="auto"/>
              <w:bottom w:val="single" w:sz="4" w:space="0" w:color="auto"/>
              <w:right w:val="nil"/>
            </w:tcBorders>
            <w:shd w:val="clear" w:color="auto" w:fill="auto"/>
            <w:noWrap/>
            <w:vAlign w:val="center"/>
            <w:hideMark/>
          </w:tcPr>
          <w:p w14:paraId="79CCFE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7</w:t>
            </w:r>
          </w:p>
        </w:tc>
        <w:tc>
          <w:tcPr>
            <w:tcW w:w="675" w:type="dxa"/>
            <w:tcBorders>
              <w:top w:val="nil"/>
              <w:left w:val="nil"/>
              <w:bottom w:val="single" w:sz="4" w:space="0" w:color="auto"/>
              <w:right w:val="single" w:sz="4" w:space="0" w:color="auto"/>
            </w:tcBorders>
            <w:shd w:val="clear" w:color="auto" w:fill="auto"/>
            <w:noWrap/>
            <w:vAlign w:val="center"/>
            <w:hideMark/>
          </w:tcPr>
          <w:p w14:paraId="4852164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9" w:type="dxa"/>
            <w:tcBorders>
              <w:top w:val="nil"/>
              <w:left w:val="single" w:sz="4" w:space="0" w:color="auto"/>
              <w:bottom w:val="single" w:sz="4" w:space="0" w:color="auto"/>
              <w:right w:val="nil"/>
            </w:tcBorders>
            <w:shd w:val="clear" w:color="auto" w:fill="auto"/>
            <w:noWrap/>
            <w:vAlign w:val="center"/>
            <w:hideMark/>
          </w:tcPr>
          <w:p w14:paraId="102C6E0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81" w:type="dxa"/>
            <w:tcBorders>
              <w:top w:val="nil"/>
              <w:left w:val="nil"/>
              <w:bottom w:val="single" w:sz="4" w:space="0" w:color="auto"/>
              <w:right w:val="single" w:sz="4" w:space="0" w:color="auto"/>
            </w:tcBorders>
            <w:shd w:val="clear" w:color="auto" w:fill="auto"/>
            <w:noWrap/>
            <w:vAlign w:val="center"/>
            <w:hideMark/>
          </w:tcPr>
          <w:p w14:paraId="138658D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9" w:type="dxa"/>
            <w:tcBorders>
              <w:top w:val="nil"/>
              <w:left w:val="single" w:sz="4" w:space="0" w:color="auto"/>
              <w:bottom w:val="single" w:sz="4" w:space="0" w:color="auto"/>
              <w:right w:val="nil"/>
            </w:tcBorders>
            <w:shd w:val="clear" w:color="auto" w:fill="auto"/>
            <w:noWrap/>
            <w:vAlign w:val="center"/>
            <w:hideMark/>
          </w:tcPr>
          <w:p w14:paraId="240AF67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auto"/>
            <w:noWrap/>
            <w:vAlign w:val="center"/>
            <w:hideMark/>
          </w:tcPr>
          <w:p w14:paraId="539DFC3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9" w:type="dxa"/>
            <w:tcBorders>
              <w:top w:val="nil"/>
              <w:left w:val="single" w:sz="4" w:space="0" w:color="auto"/>
              <w:bottom w:val="single" w:sz="4" w:space="0" w:color="auto"/>
              <w:right w:val="nil"/>
            </w:tcBorders>
            <w:shd w:val="clear" w:color="auto" w:fill="auto"/>
            <w:noWrap/>
            <w:vAlign w:val="center"/>
            <w:hideMark/>
          </w:tcPr>
          <w:p w14:paraId="6EE17A4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81" w:type="dxa"/>
            <w:tcBorders>
              <w:top w:val="nil"/>
              <w:left w:val="nil"/>
              <w:bottom w:val="single" w:sz="4" w:space="0" w:color="auto"/>
              <w:right w:val="single" w:sz="4" w:space="0" w:color="auto"/>
            </w:tcBorders>
            <w:shd w:val="clear" w:color="auto" w:fill="auto"/>
            <w:noWrap/>
            <w:vAlign w:val="center"/>
            <w:hideMark/>
          </w:tcPr>
          <w:p w14:paraId="5B1E089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8" w:type="dxa"/>
            <w:tcBorders>
              <w:top w:val="nil"/>
              <w:left w:val="single" w:sz="4" w:space="0" w:color="auto"/>
              <w:bottom w:val="single" w:sz="4" w:space="0" w:color="auto"/>
              <w:right w:val="nil"/>
            </w:tcBorders>
            <w:shd w:val="clear" w:color="auto" w:fill="auto"/>
            <w:noWrap/>
            <w:vAlign w:val="center"/>
            <w:hideMark/>
          </w:tcPr>
          <w:p w14:paraId="2A3D0F5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top w:val="nil"/>
              <w:left w:val="nil"/>
              <w:bottom w:val="single" w:sz="4" w:space="0" w:color="auto"/>
              <w:right w:val="single" w:sz="4" w:space="0" w:color="auto"/>
            </w:tcBorders>
            <w:shd w:val="clear" w:color="auto" w:fill="auto"/>
            <w:noWrap/>
            <w:vAlign w:val="center"/>
            <w:hideMark/>
          </w:tcPr>
          <w:p w14:paraId="0381EE6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r>
      <w:tr w:rsidR="00C54BBB" w:rsidRPr="00FD0E97" w14:paraId="69D8E651" w14:textId="77777777" w:rsidTr="00E174C6">
        <w:trPr>
          <w:trHeight w:val="385"/>
          <w:jc w:val="center"/>
        </w:trPr>
        <w:tc>
          <w:tcPr>
            <w:tcW w:w="455" w:type="dxa"/>
            <w:vMerge/>
            <w:tcBorders>
              <w:left w:val="nil"/>
              <w:right w:val="nil"/>
            </w:tcBorders>
            <w:shd w:val="clear" w:color="auto" w:fill="E7E6E6" w:themeFill="background2"/>
          </w:tcPr>
          <w:p w14:paraId="35FE0C40"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single" w:sz="4" w:space="0" w:color="auto"/>
              <w:left w:val="nil"/>
              <w:right w:val="nil"/>
            </w:tcBorders>
            <w:shd w:val="clear" w:color="auto" w:fill="E7E6E6" w:themeFill="background2"/>
            <w:noWrap/>
            <w:vAlign w:val="center"/>
            <w:hideMark/>
          </w:tcPr>
          <w:p w14:paraId="6E28D22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2F14343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3524AF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1351"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5B734294" w14:textId="77777777" w:rsidR="00C54BBB" w:rsidRPr="00EF64C9" w:rsidRDefault="00C54BBB" w:rsidP="00E174C6">
            <w:pPr>
              <w:spacing w:after="0" w:line="240" w:lineRule="auto"/>
              <w:jc w:val="center"/>
              <w:rPr>
                <w:rFonts w:ascii="Times" w:hAnsi="Times"/>
                <w:b/>
                <w:sz w:val="18"/>
              </w:rPr>
            </w:pPr>
            <w:r w:rsidRPr="00EF64C9">
              <w:rPr>
                <w:rFonts w:ascii="Times" w:hAnsi="Times"/>
                <w:b/>
                <w:sz w:val="18"/>
              </w:rPr>
              <w:t>OLS</w:t>
            </w:r>
          </w:p>
          <w:p w14:paraId="6FCE0858" w14:textId="77777777" w:rsidR="00C54BBB" w:rsidRPr="00BD7075" w:rsidRDefault="00C54BBB" w:rsidP="00E174C6">
            <w:pPr>
              <w:spacing w:after="0" w:line="240" w:lineRule="auto"/>
              <w:jc w:val="center"/>
              <w:rPr>
                <w:rFonts w:ascii="Times" w:hAnsi="Times" w:cs="Times"/>
                <w:sz w:val="18"/>
                <w:szCs w:val="18"/>
              </w:rPr>
            </w:pPr>
            <w:r w:rsidRPr="00EF64C9">
              <w:rPr>
                <w:rFonts w:ascii="Times" w:hAnsi="Times"/>
                <w:b/>
                <w:sz w:val="18"/>
              </w:rPr>
              <w:t>DL+WT</w:t>
            </w:r>
          </w:p>
        </w:tc>
        <w:tc>
          <w:tcPr>
            <w:tcW w:w="675" w:type="dxa"/>
            <w:tcBorders>
              <w:top w:val="single" w:sz="4" w:space="0" w:color="auto"/>
              <w:left w:val="single" w:sz="4" w:space="0" w:color="auto"/>
              <w:right w:val="nil"/>
            </w:tcBorders>
            <w:shd w:val="clear" w:color="auto" w:fill="auto"/>
            <w:noWrap/>
            <w:vAlign w:val="center"/>
            <w:hideMark/>
          </w:tcPr>
          <w:p w14:paraId="4E231D5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single" w:sz="4" w:space="0" w:color="auto"/>
              <w:left w:val="nil"/>
              <w:right w:val="single" w:sz="4" w:space="0" w:color="auto"/>
            </w:tcBorders>
            <w:shd w:val="clear" w:color="auto" w:fill="auto"/>
            <w:noWrap/>
            <w:vAlign w:val="center"/>
            <w:hideMark/>
          </w:tcPr>
          <w:p w14:paraId="342978B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5" w:type="dxa"/>
            <w:tcBorders>
              <w:top w:val="single" w:sz="4" w:space="0" w:color="auto"/>
              <w:left w:val="single" w:sz="4" w:space="0" w:color="auto"/>
              <w:right w:val="nil"/>
            </w:tcBorders>
            <w:shd w:val="clear" w:color="auto" w:fill="auto"/>
            <w:noWrap/>
            <w:vAlign w:val="center"/>
            <w:hideMark/>
          </w:tcPr>
          <w:p w14:paraId="36098DE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auto"/>
            <w:noWrap/>
            <w:vAlign w:val="center"/>
            <w:hideMark/>
          </w:tcPr>
          <w:p w14:paraId="2794B27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auto"/>
            <w:noWrap/>
            <w:vAlign w:val="center"/>
            <w:hideMark/>
          </w:tcPr>
          <w:p w14:paraId="0E8ECB1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auto"/>
            <w:noWrap/>
            <w:vAlign w:val="center"/>
            <w:hideMark/>
          </w:tcPr>
          <w:p w14:paraId="1711AE4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auto"/>
            <w:noWrap/>
            <w:vAlign w:val="center"/>
            <w:hideMark/>
          </w:tcPr>
          <w:p w14:paraId="1C57EF3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5" w:type="dxa"/>
            <w:tcBorders>
              <w:top w:val="single" w:sz="4" w:space="0" w:color="auto"/>
              <w:left w:val="nil"/>
              <w:right w:val="single" w:sz="4" w:space="0" w:color="auto"/>
            </w:tcBorders>
            <w:shd w:val="clear" w:color="auto" w:fill="auto"/>
            <w:noWrap/>
            <w:vAlign w:val="center"/>
            <w:hideMark/>
          </w:tcPr>
          <w:p w14:paraId="748058B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auto"/>
            <w:noWrap/>
            <w:vAlign w:val="center"/>
            <w:hideMark/>
          </w:tcPr>
          <w:p w14:paraId="7AD8082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single" w:sz="4" w:space="0" w:color="auto"/>
              <w:left w:val="nil"/>
              <w:right w:val="single" w:sz="4" w:space="0" w:color="auto"/>
            </w:tcBorders>
            <w:shd w:val="clear" w:color="auto" w:fill="auto"/>
            <w:noWrap/>
            <w:vAlign w:val="center"/>
            <w:hideMark/>
          </w:tcPr>
          <w:p w14:paraId="4CBD5EF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9" w:type="dxa"/>
            <w:tcBorders>
              <w:top w:val="single" w:sz="4" w:space="0" w:color="auto"/>
              <w:left w:val="single" w:sz="4" w:space="0" w:color="auto"/>
              <w:right w:val="nil"/>
            </w:tcBorders>
            <w:shd w:val="clear" w:color="auto" w:fill="auto"/>
            <w:noWrap/>
            <w:vAlign w:val="center"/>
            <w:hideMark/>
          </w:tcPr>
          <w:p w14:paraId="17F0F66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single" w:sz="4" w:space="0" w:color="auto"/>
              <w:left w:val="nil"/>
              <w:right w:val="single" w:sz="4" w:space="0" w:color="auto"/>
            </w:tcBorders>
            <w:shd w:val="clear" w:color="auto" w:fill="auto"/>
            <w:noWrap/>
            <w:vAlign w:val="center"/>
            <w:hideMark/>
          </w:tcPr>
          <w:p w14:paraId="1228E07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9" w:type="dxa"/>
            <w:tcBorders>
              <w:top w:val="single" w:sz="4" w:space="0" w:color="auto"/>
              <w:left w:val="single" w:sz="4" w:space="0" w:color="auto"/>
              <w:right w:val="nil"/>
            </w:tcBorders>
            <w:shd w:val="clear" w:color="auto" w:fill="auto"/>
            <w:noWrap/>
            <w:vAlign w:val="center"/>
            <w:hideMark/>
          </w:tcPr>
          <w:p w14:paraId="453857C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auto"/>
            <w:noWrap/>
            <w:vAlign w:val="center"/>
            <w:hideMark/>
          </w:tcPr>
          <w:p w14:paraId="1D8B39C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8" w:type="dxa"/>
            <w:tcBorders>
              <w:top w:val="single" w:sz="4" w:space="0" w:color="auto"/>
              <w:left w:val="single" w:sz="4" w:space="0" w:color="auto"/>
              <w:right w:val="nil"/>
            </w:tcBorders>
            <w:shd w:val="clear" w:color="auto" w:fill="auto"/>
            <w:noWrap/>
            <w:vAlign w:val="center"/>
            <w:hideMark/>
          </w:tcPr>
          <w:p w14:paraId="0133E5F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3F097BA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r>
      <w:tr w:rsidR="00C54BBB" w:rsidRPr="00BD7075" w14:paraId="49D0C816" w14:textId="77777777" w:rsidTr="00E174C6">
        <w:trPr>
          <w:trHeight w:val="385"/>
          <w:jc w:val="center"/>
        </w:trPr>
        <w:tc>
          <w:tcPr>
            <w:tcW w:w="455" w:type="dxa"/>
            <w:vMerge/>
            <w:tcBorders>
              <w:left w:val="nil"/>
              <w:right w:val="nil"/>
            </w:tcBorders>
            <w:shd w:val="clear" w:color="auto" w:fill="E7E6E6" w:themeFill="background2"/>
          </w:tcPr>
          <w:p w14:paraId="4108AF61"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053D030B"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10AA789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76E015A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1351" w:type="dxa"/>
            <w:gridSpan w:val="2"/>
            <w:vMerge/>
            <w:tcBorders>
              <w:left w:val="single" w:sz="4" w:space="0" w:color="auto"/>
              <w:bottom w:val="single" w:sz="4" w:space="0" w:color="auto"/>
              <w:right w:val="single" w:sz="4" w:space="0" w:color="auto"/>
            </w:tcBorders>
            <w:shd w:val="clear" w:color="auto" w:fill="auto"/>
            <w:noWrap/>
            <w:vAlign w:val="center"/>
            <w:hideMark/>
          </w:tcPr>
          <w:p w14:paraId="0DABDD13" w14:textId="77777777" w:rsidR="00C54BBB" w:rsidRPr="00BD7075" w:rsidRDefault="00C54BBB" w:rsidP="00E174C6">
            <w:pPr>
              <w:spacing w:after="0" w:line="240" w:lineRule="auto"/>
              <w:jc w:val="center"/>
              <w:rPr>
                <w:rFonts w:ascii="Times" w:hAnsi="Times" w:cs="Times"/>
                <w:sz w:val="18"/>
                <w:szCs w:val="18"/>
              </w:rPr>
            </w:pPr>
          </w:p>
        </w:tc>
        <w:tc>
          <w:tcPr>
            <w:tcW w:w="675" w:type="dxa"/>
            <w:tcBorders>
              <w:top w:val="nil"/>
              <w:left w:val="single" w:sz="4" w:space="0" w:color="auto"/>
              <w:bottom w:val="single" w:sz="4" w:space="0" w:color="auto"/>
              <w:right w:val="nil"/>
            </w:tcBorders>
            <w:shd w:val="clear" w:color="auto" w:fill="auto"/>
            <w:noWrap/>
            <w:vAlign w:val="center"/>
            <w:hideMark/>
          </w:tcPr>
          <w:p w14:paraId="154CCBF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auto"/>
            <w:noWrap/>
            <w:vAlign w:val="center"/>
            <w:hideMark/>
          </w:tcPr>
          <w:p w14:paraId="3E388C3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auto"/>
            <w:noWrap/>
            <w:vAlign w:val="center"/>
            <w:hideMark/>
          </w:tcPr>
          <w:p w14:paraId="1A6794D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auto"/>
            <w:noWrap/>
            <w:vAlign w:val="center"/>
            <w:hideMark/>
          </w:tcPr>
          <w:p w14:paraId="12C4B4F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single" w:sz="4" w:space="0" w:color="auto"/>
              <w:bottom w:val="single" w:sz="4" w:space="0" w:color="auto"/>
              <w:right w:val="nil"/>
            </w:tcBorders>
            <w:shd w:val="clear" w:color="auto" w:fill="auto"/>
            <w:noWrap/>
            <w:vAlign w:val="center"/>
            <w:hideMark/>
          </w:tcPr>
          <w:p w14:paraId="1F5E896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auto"/>
            <w:noWrap/>
            <w:vAlign w:val="center"/>
            <w:hideMark/>
          </w:tcPr>
          <w:p w14:paraId="08C9CD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auto"/>
            <w:noWrap/>
            <w:vAlign w:val="center"/>
            <w:hideMark/>
          </w:tcPr>
          <w:p w14:paraId="40E11B4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5" w:type="dxa"/>
            <w:tcBorders>
              <w:top w:val="nil"/>
              <w:left w:val="nil"/>
              <w:bottom w:val="single" w:sz="4" w:space="0" w:color="auto"/>
              <w:right w:val="single" w:sz="4" w:space="0" w:color="auto"/>
            </w:tcBorders>
            <w:shd w:val="clear" w:color="auto" w:fill="auto"/>
            <w:noWrap/>
            <w:vAlign w:val="center"/>
            <w:hideMark/>
          </w:tcPr>
          <w:p w14:paraId="16DF810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1766B3E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81" w:type="dxa"/>
            <w:tcBorders>
              <w:top w:val="nil"/>
              <w:left w:val="nil"/>
              <w:bottom w:val="single" w:sz="4" w:space="0" w:color="auto"/>
              <w:right w:val="single" w:sz="4" w:space="0" w:color="auto"/>
            </w:tcBorders>
            <w:shd w:val="clear" w:color="auto" w:fill="auto"/>
            <w:noWrap/>
            <w:vAlign w:val="center"/>
            <w:hideMark/>
          </w:tcPr>
          <w:p w14:paraId="5A10792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450413D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auto"/>
            <w:noWrap/>
            <w:vAlign w:val="center"/>
            <w:hideMark/>
          </w:tcPr>
          <w:p w14:paraId="487A476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9" w:type="dxa"/>
            <w:tcBorders>
              <w:top w:val="nil"/>
              <w:left w:val="single" w:sz="4" w:space="0" w:color="auto"/>
              <w:bottom w:val="single" w:sz="4" w:space="0" w:color="auto"/>
              <w:right w:val="nil"/>
            </w:tcBorders>
            <w:shd w:val="clear" w:color="auto" w:fill="auto"/>
            <w:noWrap/>
            <w:vAlign w:val="center"/>
            <w:hideMark/>
          </w:tcPr>
          <w:p w14:paraId="1611C62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81" w:type="dxa"/>
            <w:tcBorders>
              <w:top w:val="nil"/>
              <w:left w:val="nil"/>
              <w:bottom w:val="single" w:sz="4" w:space="0" w:color="auto"/>
              <w:right w:val="single" w:sz="4" w:space="0" w:color="auto"/>
            </w:tcBorders>
            <w:shd w:val="clear" w:color="auto" w:fill="auto"/>
            <w:noWrap/>
            <w:vAlign w:val="center"/>
            <w:hideMark/>
          </w:tcPr>
          <w:p w14:paraId="42ECC06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8" w:type="dxa"/>
            <w:tcBorders>
              <w:top w:val="nil"/>
              <w:left w:val="single" w:sz="4" w:space="0" w:color="auto"/>
              <w:bottom w:val="single" w:sz="4" w:space="0" w:color="auto"/>
              <w:right w:val="nil"/>
            </w:tcBorders>
            <w:shd w:val="clear" w:color="auto" w:fill="auto"/>
            <w:noWrap/>
            <w:vAlign w:val="center"/>
            <w:hideMark/>
          </w:tcPr>
          <w:p w14:paraId="0F9E2CA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top w:val="nil"/>
              <w:left w:val="nil"/>
              <w:bottom w:val="single" w:sz="4" w:space="0" w:color="auto"/>
              <w:right w:val="single" w:sz="4" w:space="0" w:color="auto"/>
            </w:tcBorders>
            <w:shd w:val="clear" w:color="auto" w:fill="auto"/>
            <w:noWrap/>
            <w:vAlign w:val="center"/>
            <w:hideMark/>
          </w:tcPr>
          <w:p w14:paraId="4222BD9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r>
      <w:tr w:rsidR="00C54BBB" w:rsidRPr="00BD7075" w14:paraId="496730FC" w14:textId="77777777" w:rsidTr="00E174C6">
        <w:trPr>
          <w:trHeight w:val="385"/>
          <w:jc w:val="center"/>
        </w:trPr>
        <w:tc>
          <w:tcPr>
            <w:tcW w:w="455" w:type="dxa"/>
            <w:vMerge/>
            <w:tcBorders>
              <w:left w:val="nil"/>
              <w:right w:val="nil"/>
            </w:tcBorders>
            <w:shd w:val="clear" w:color="auto" w:fill="E7E6E6" w:themeFill="background2"/>
          </w:tcPr>
          <w:p w14:paraId="6998D998"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single" w:sz="4" w:space="0" w:color="auto"/>
              <w:left w:val="nil"/>
              <w:right w:val="nil"/>
            </w:tcBorders>
            <w:shd w:val="clear" w:color="auto" w:fill="E7E6E6" w:themeFill="background2"/>
            <w:noWrap/>
            <w:vAlign w:val="center"/>
            <w:hideMark/>
          </w:tcPr>
          <w:p w14:paraId="27E081C0"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6ADE5AF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6F53D89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7EA921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397AD77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134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38A85422"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OLS</w:t>
            </w:r>
          </w:p>
          <w:p w14:paraId="2CB071C5"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DL+HKSJ</w:t>
            </w:r>
          </w:p>
        </w:tc>
        <w:tc>
          <w:tcPr>
            <w:tcW w:w="675" w:type="dxa"/>
            <w:tcBorders>
              <w:top w:val="single" w:sz="4" w:space="0" w:color="auto"/>
              <w:left w:val="single" w:sz="4" w:space="0" w:color="auto"/>
              <w:right w:val="nil"/>
            </w:tcBorders>
            <w:shd w:val="clear" w:color="auto" w:fill="auto"/>
            <w:noWrap/>
            <w:vAlign w:val="center"/>
            <w:hideMark/>
          </w:tcPr>
          <w:p w14:paraId="08096F1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6" w:type="dxa"/>
            <w:tcBorders>
              <w:top w:val="single" w:sz="4" w:space="0" w:color="auto"/>
              <w:left w:val="nil"/>
              <w:right w:val="single" w:sz="4" w:space="0" w:color="auto"/>
            </w:tcBorders>
            <w:shd w:val="clear" w:color="auto" w:fill="auto"/>
            <w:noWrap/>
            <w:vAlign w:val="center"/>
            <w:hideMark/>
          </w:tcPr>
          <w:p w14:paraId="6CF81EC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auto"/>
            <w:noWrap/>
            <w:vAlign w:val="center"/>
            <w:hideMark/>
          </w:tcPr>
          <w:p w14:paraId="05C256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auto"/>
            <w:noWrap/>
            <w:vAlign w:val="center"/>
            <w:hideMark/>
          </w:tcPr>
          <w:p w14:paraId="0B80E10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14</w:t>
            </w:r>
          </w:p>
        </w:tc>
        <w:tc>
          <w:tcPr>
            <w:tcW w:w="674" w:type="dxa"/>
            <w:tcBorders>
              <w:top w:val="single" w:sz="4" w:space="0" w:color="auto"/>
              <w:left w:val="single" w:sz="4" w:space="0" w:color="auto"/>
              <w:right w:val="nil"/>
            </w:tcBorders>
            <w:shd w:val="clear" w:color="auto" w:fill="auto"/>
            <w:noWrap/>
            <w:vAlign w:val="center"/>
            <w:hideMark/>
          </w:tcPr>
          <w:p w14:paraId="6A44D0C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5" w:type="dxa"/>
            <w:tcBorders>
              <w:top w:val="single" w:sz="4" w:space="0" w:color="auto"/>
              <w:left w:val="nil"/>
              <w:right w:val="single" w:sz="4" w:space="0" w:color="auto"/>
            </w:tcBorders>
            <w:shd w:val="clear" w:color="auto" w:fill="auto"/>
            <w:noWrap/>
            <w:vAlign w:val="center"/>
            <w:hideMark/>
          </w:tcPr>
          <w:p w14:paraId="6D0983C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auto"/>
            <w:noWrap/>
            <w:vAlign w:val="center"/>
            <w:hideMark/>
          </w:tcPr>
          <w:p w14:paraId="2112742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single" w:sz="4" w:space="0" w:color="auto"/>
              <w:left w:val="nil"/>
              <w:right w:val="single" w:sz="4" w:space="0" w:color="auto"/>
            </w:tcBorders>
            <w:shd w:val="clear" w:color="auto" w:fill="auto"/>
            <w:noWrap/>
            <w:vAlign w:val="center"/>
            <w:hideMark/>
          </w:tcPr>
          <w:p w14:paraId="5BFF52B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9" w:type="dxa"/>
            <w:tcBorders>
              <w:top w:val="single" w:sz="4" w:space="0" w:color="auto"/>
              <w:left w:val="single" w:sz="4" w:space="0" w:color="auto"/>
              <w:right w:val="nil"/>
            </w:tcBorders>
            <w:shd w:val="clear" w:color="auto" w:fill="auto"/>
            <w:noWrap/>
            <w:vAlign w:val="center"/>
            <w:hideMark/>
          </w:tcPr>
          <w:p w14:paraId="6D14053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0" w:type="dxa"/>
            <w:tcBorders>
              <w:top w:val="single" w:sz="4" w:space="0" w:color="auto"/>
              <w:left w:val="nil"/>
              <w:right w:val="single" w:sz="4" w:space="0" w:color="auto"/>
            </w:tcBorders>
            <w:shd w:val="clear" w:color="auto" w:fill="auto"/>
            <w:noWrap/>
            <w:vAlign w:val="center"/>
            <w:hideMark/>
          </w:tcPr>
          <w:p w14:paraId="3418588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9" w:type="dxa"/>
            <w:tcBorders>
              <w:top w:val="single" w:sz="4" w:space="0" w:color="auto"/>
              <w:left w:val="single" w:sz="4" w:space="0" w:color="auto"/>
              <w:right w:val="nil"/>
            </w:tcBorders>
            <w:shd w:val="clear" w:color="auto" w:fill="auto"/>
            <w:noWrap/>
            <w:vAlign w:val="center"/>
            <w:hideMark/>
          </w:tcPr>
          <w:p w14:paraId="25084B1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single" w:sz="4" w:space="0" w:color="auto"/>
              <w:left w:val="nil"/>
              <w:right w:val="single" w:sz="4" w:space="0" w:color="auto"/>
            </w:tcBorders>
            <w:shd w:val="clear" w:color="auto" w:fill="auto"/>
            <w:noWrap/>
            <w:vAlign w:val="center"/>
            <w:hideMark/>
          </w:tcPr>
          <w:p w14:paraId="4A369A3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8" w:type="dxa"/>
            <w:tcBorders>
              <w:top w:val="single" w:sz="4" w:space="0" w:color="auto"/>
              <w:left w:val="single" w:sz="4" w:space="0" w:color="auto"/>
              <w:right w:val="nil"/>
            </w:tcBorders>
            <w:shd w:val="clear" w:color="auto" w:fill="auto"/>
            <w:noWrap/>
            <w:vAlign w:val="center"/>
            <w:hideMark/>
          </w:tcPr>
          <w:p w14:paraId="2BC6DB1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714" w:type="dxa"/>
            <w:tcBorders>
              <w:top w:val="single" w:sz="4" w:space="0" w:color="auto"/>
              <w:left w:val="nil"/>
              <w:right w:val="single" w:sz="4" w:space="0" w:color="auto"/>
            </w:tcBorders>
            <w:shd w:val="clear" w:color="auto" w:fill="auto"/>
            <w:noWrap/>
            <w:vAlign w:val="center"/>
            <w:hideMark/>
          </w:tcPr>
          <w:p w14:paraId="06CEDFA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r>
      <w:tr w:rsidR="00C54BBB" w:rsidRPr="00BD7075" w14:paraId="58D2371A" w14:textId="77777777" w:rsidTr="00E174C6">
        <w:trPr>
          <w:trHeight w:val="385"/>
          <w:jc w:val="center"/>
        </w:trPr>
        <w:tc>
          <w:tcPr>
            <w:tcW w:w="455" w:type="dxa"/>
            <w:vMerge/>
            <w:tcBorders>
              <w:left w:val="nil"/>
              <w:right w:val="nil"/>
            </w:tcBorders>
            <w:shd w:val="clear" w:color="auto" w:fill="E7E6E6" w:themeFill="background2"/>
          </w:tcPr>
          <w:p w14:paraId="16CEFE2E"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1DF9DAE4"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154F2EC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19C33D6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7</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7216499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5C12FF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1349" w:type="dxa"/>
            <w:gridSpan w:val="2"/>
            <w:vMerge/>
            <w:tcBorders>
              <w:left w:val="single" w:sz="4" w:space="0" w:color="auto"/>
              <w:bottom w:val="single" w:sz="4" w:space="0" w:color="auto"/>
              <w:right w:val="single" w:sz="4" w:space="0" w:color="auto"/>
            </w:tcBorders>
            <w:shd w:val="clear" w:color="auto" w:fill="auto"/>
            <w:noWrap/>
            <w:vAlign w:val="center"/>
            <w:hideMark/>
          </w:tcPr>
          <w:p w14:paraId="5FE667A2" w14:textId="77777777" w:rsidR="00C54BBB" w:rsidRPr="00BD7075" w:rsidRDefault="00C54BBB" w:rsidP="00E174C6">
            <w:pPr>
              <w:spacing w:after="0" w:line="240" w:lineRule="auto"/>
              <w:jc w:val="center"/>
              <w:rPr>
                <w:rFonts w:ascii="Times" w:hAnsi="Times" w:cs="Times"/>
                <w:sz w:val="18"/>
                <w:szCs w:val="18"/>
              </w:rPr>
            </w:pPr>
          </w:p>
        </w:tc>
        <w:tc>
          <w:tcPr>
            <w:tcW w:w="675" w:type="dxa"/>
            <w:tcBorders>
              <w:top w:val="nil"/>
              <w:left w:val="single" w:sz="4" w:space="0" w:color="auto"/>
              <w:bottom w:val="single" w:sz="4" w:space="0" w:color="auto"/>
              <w:right w:val="nil"/>
            </w:tcBorders>
            <w:shd w:val="clear" w:color="auto" w:fill="auto"/>
            <w:noWrap/>
            <w:vAlign w:val="center"/>
            <w:hideMark/>
          </w:tcPr>
          <w:p w14:paraId="2522940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auto"/>
            <w:noWrap/>
            <w:vAlign w:val="center"/>
            <w:hideMark/>
          </w:tcPr>
          <w:p w14:paraId="3A94E89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single" w:sz="4" w:space="0" w:color="auto"/>
              <w:bottom w:val="single" w:sz="4" w:space="0" w:color="auto"/>
              <w:right w:val="nil"/>
            </w:tcBorders>
            <w:shd w:val="clear" w:color="auto" w:fill="auto"/>
            <w:noWrap/>
            <w:vAlign w:val="center"/>
            <w:hideMark/>
          </w:tcPr>
          <w:p w14:paraId="7DACD1B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auto"/>
            <w:noWrap/>
            <w:vAlign w:val="center"/>
            <w:hideMark/>
          </w:tcPr>
          <w:p w14:paraId="69F6049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single" w:sz="4" w:space="0" w:color="auto"/>
              <w:bottom w:val="single" w:sz="4" w:space="0" w:color="auto"/>
              <w:right w:val="nil"/>
            </w:tcBorders>
            <w:shd w:val="clear" w:color="auto" w:fill="auto"/>
            <w:noWrap/>
            <w:vAlign w:val="center"/>
            <w:hideMark/>
          </w:tcPr>
          <w:p w14:paraId="1E19F33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nil"/>
              <w:bottom w:val="single" w:sz="4" w:space="0" w:color="auto"/>
              <w:right w:val="single" w:sz="4" w:space="0" w:color="auto"/>
            </w:tcBorders>
            <w:shd w:val="clear" w:color="auto" w:fill="auto"/>
            <w:noWrap/>
            <w:vAlign w:val="center"/>
            <w:hideMark/>
          </w:tcPr>
          <w:p w14:paraId="6495265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48ED379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auto"/>
            <w:noWrap/>
            <w:vAlign w:val="center"/>
            <w:hideMark/>
          </w:tcPr>
          <w:p w14:paraId="4F798C9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051371A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0" w:type="dxa"/>
            <w:tcBorders>
              <w:top w:val="nil"/>
              <w:left w:val="nil"/>
              <w:bottom w:val="single" w:sz="4" w:space="0" w:color="auto"/>
              <w:right w:val="single" w:sz="4" w:space="0" w:color="auto"/>
            </w:tcBorders>
            <w:shd w:val="clear" w:color="auto" w:fill="auto"/>
            <w:noWrap/>
            <w:vAlign w:val="center"/>
            <w:hideMark/>
          </w:tcPr>
          <w:p w14:paraId="55FC8DC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9" w:type="dxa"/>
            <w:tcBorders>
              <w:top w:val="nil"/>
              <w:left w:val="single" w:sz="4" w:space="0" w:color="auto"/>
              <w:bottom w:val="single" w:sz="4" w:space="0" w:color="auto"/>
              <w:right w:val="nil"/>
            </w:tcBorders>
            <w:shd w:val="clear" w:color="auto" w:fill="auto"/>
            <w:noWrap/>
            <w:vAlign w:val="center"/>
            <w:hideMark/>
          </w:tcPr>
          <w:p w14:paraId="54D7F14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auto"/>
            <w:noWrap/>
            <w:vAlign w:val="center"/>
            <w:hideMark/>
          </w:tcPr>
          <w:p w14:paraId="7B4FC61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8" w:type="dxa"/>
            <w:tcBorders>
              <w:top w:val="nil"/>
              <w:left w:val="single" w:sz="4" w:space="0" w:color="auto"/>
              <w:bottom w:val="single" w:sz="4" w:space="0" w:color="auto"/>
              <w:right w:val="nil"/>
            </w:tcBorders>
            <w:shd w:val="clear" w:color="auto" w:fill="auto"/>
            <w:noWrap/>
            <w:vAlign w:val="center"/>
            <w:hideMark/>
          </w:tcPr>
          <w:p w14:paraId="3E6E90D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714" w:type="dxa"/>
            <w:tcBorders>
              <w:left w:val="nil"/>
              <w:bottom w:val="single" w:sz="4" w:space="0" w:color="auto"/>
              <w:right w:val="single" w:sz="4" w:space="0" w:color="auto"/>
            </w:tcBorders>
            <w:shd w:val="clear" w:color="auto" w:fill="auto"/>
            <w:noWrap/>
            <w:vAlign w:val="center"/>
            <w:hideMark/>
          </w:tcPr>
          <w:p w14:paraId="32B8063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r>
      <w:tr w:rsidR="00C54BBB" w:rsidRPr="00BD7075" w14:paraId="55DBEE83" w14:textId="77777777" w:rsidTr="00E174C6">
        <w:trPr>
          <w:trHeight w:val="385"/>
          <w:jc w:val="center"/>
        </w:trPr>
        <w:tc>
          <w:tcPr>
            <w:tcW w:w="455" w:type="dxa"/>
            <w:vMerge/>
            <w:tcBorders>
              <w:left w:val="nil"/>
              <w:right w:val="nil"/>
            </w:tcBorders>
            <w:shd w:val="clear" w:color="auto" w:fill="E7E6E6" w:themeFill="background2"/>
          </w:tcPr>
          <w:p w14:paraId="1398CE38"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single" w:sz="4" w:space="0" w:color="auto"/>
              <w:left w:val="nil"/>
              <w:right w:val="nil"/>
            </w:tcBorders>
            <w:shd w:val="clear" w:color="auto" w:fill="E7E6E6" w:themeFill="background2"/>
            <w:noWrap/>
            <w:vAlign w:val="center"/>
            <w:hideMark/>
          </w:tcPr>
          <w:p w14:paraId="682BF1CA"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78E7BC1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6D283CF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3BB78B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0B734B8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6124E61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single" w:sz="4" w:space="0" w:color="auto"/>
              <w:left w:val="nil"/>
              <w:right w:val="single" w:sz="4" w:space="0" w:color="auto"/>
            </w:tcBorders>
            <w:shd w:val="clear" w:color="auto" w:fill="E7E6E6" w:themeFill="background2"/>
            <w:noWrap/>
            <w:vAlign w:val="center"/>
            <w:hideMark/>
          </w:tcPr>
          <w:p w14:paraId="5F9CB43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1351"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19BB4980"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OLS</w:t>
            </w:r>
          </w:p>
          <w:p w14:paraId="40FF75F6" w14:textId="77777777" w:rsidR="00C54BBB" w:rsidRPr="00BD7075" w:rsidRDefault="00C54BBB" w:rsidP="00E174C6">
            <w:pPr>
              <w:spacing w:after="0" w:line="240" w:lineRule="auto"/>
              <w:jc w:val="center"/>
              <w:rPr>
                <w:rFonts w:ascii="Times" w:hAnsi="Times" w:cs="Times"/>
                <w:b/>
                <w:bCs/>
                <w:sz w:val="18"/>
                <w:szCs w:val="18"/>
              </w:rPr>
            </w:pPr>
            <w:r w:rsidRPr="004724D8">
              <w:rPr>
                <w:rFonts w:ascii="Times" w:hAnsi="Times" w:cs="Times"/>
                <w:b/>
                <w:bCs/>
                <w:sz w:val="18"/>
                <w:szCs w:val="18"/>
              </w:rPr>
              <w:t>REML+WT</w:t>
            </w:r>
          </w:p>
        </w:tc>
        <w:tc>
          <w:tcPr>
            <w:tcW w:w="674" w:type="dxa"/>
            <w:tcBorders>
              <w:top w:val="single" w:sz="4" w:space="0" w:color="auto"/>
              <w:left w:val="single" w:sz="4" w:space="0" w:color="auto"/>
              <w:right w:val="nil"/>
            </w:tcBorders>
            <w:shd w:val="clear" w:color="auto" w:fill="auto"/>
            <w:noWrap/>
            <w:vAlign w:val="center"/>
            <w:hideMark/>
          </w:tcPr>
          <w:p w14:paraId="235D3CA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auto"/>
            <w:noWrap/>
            <w:vAlign w:val="center"/>
            <w:hideMark/>
          </w:tcPr>
          <w:p w14:paraId="4AEBB34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auto"/>
            <w:noWrap/>
            <w:vAlign w:val="center"/>
            <w:hideMark/>
          </w:tcPr>
          <w:p w14:paraId="4F4A370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5" w:type="dxa"/>
            <w:tcBorders>
              <w:top w:val="single" w:sz="4" w:space="0" w:color="auto"/>
              <w:left w:val="nil"/>
              <w:right w:val="single" w:sz="4" w:space="0" w:color="auto"/>
            </w:tcBorders>
            <w:shd w:val="clear" w:color="auto" w:fill="auto"/>
            <w:noWrap/>
            <w:vAlign w:val="center"/>
            <w:hideMark/>
          </w:tcPr>
          <w:p w14:paraId="6D2E38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auto"/>
            <w:noWrap/>
            <w:vAlign w:val="center"/>
            <w:hideMark/>
          </w:tcPr>
          <w:p w14:paraId="213E27B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single" w:sz="4" w:space="0" w:color="auto"/>
              <w:left w:val="nil"/>
              <w:right w:val="single" w:sz="4" w:space="0" w:color="auto"/>
            </w:tcBorders>
            <w:shd w:val="clear" w:color="auto" w:fill="auto"/>
            <w:noWrap/>
            <w:vAlign w:val="center"/>
            <w:hideMark/>
          </w:tcPr>
          <w:p w14:paraId="688755B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9" w:type="dxa"/>
            <w:tcBorders>
              <w:top w:val="single" w:sz="4" w:space="0" w:color="auto"/>
              <w:left w:val="single" w:sz="4" w:space="0" w:color="auto"/>
              <w:right w:val="nil"/>
            </w:tcBorders>
            <w:shd w:val="clear" w:color="auto" w:fill="auto"/>
            <w:noWrap/>
            <w:vAlign w:val="center"/>
            <w:hideMark/>
          </w:tcPr>
          <w:p w14:paraId="2AEF9E4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single" w:sz="4" w:space="0" w:color="auto"/>
              <w:left w:val="nil"/>
              <w:right w:val="single" w:sz="4" w:space="0" w:color="auto"/>
            </w:tcBorders>
            <w:shd w:val="clear" w:color="auto" w:fill="auto"/>
            <w:noWrap/>
            <w:vAlign w:val="center"/>
            <w:hideMark/>
          </w:tcPr>
          <w:p w14:paraId="4597D2F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9" w:type="dxa"/>
            <w:tcBorders>
              <w:top w:val="single" w:sz="4" w:space="0" w:color="auto"/>
              <w:left w:val="single" w:sz="4" w:space="0" w:color="auto"/>
              <w:right w:val="nil"/>
            </w:tcBorders>
            <w:shd w:val="clear" w:color="auto" w:fill="auto"/>
            <w:noWrap/>
            <w:vAlign w:val="center"/>
            <w:hideMark/>
          </w:tcPr>
          <w:p w14:paraId="6C866C3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auto"/>
            <w:noWrap/>
            <w:vAlign w:val="center"/>
            <w:hideMark/>
          </w:tcPr>
          <w:p w14:paraId="7BF30D5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8" w:type="dxa"/>
            <w:tcBorders>
              <w:top w:val="single" w:sz="4" w:space="0" w:color="auto"/>
              <w:left w:val="single" w:sz="4" w:space="0" w:color="auto"/>
              <w:right w:val="nil"/>
            </w:tcBorders>
            <w:shd w:val="clear" w:color="auto" w:fill="auto"/>
            <w:noWrap/>
            <w:vAlign w:val="center"/>
            <w:hideMark/>
          </w:tcPr>
          <w:p w14:paraId="3653B0D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right w:val="single" w:sz="4" w:space="0" w:color="auto"/>
            </w:tcBorders>
            <w:shd w:val="clear" w:color="auto" w:fill="auto"/>
            <w:noWrap/>
            <w:vAlign w:val="center"/>
            <w:hideMark/>
          </w:tcPr>
          <w:p w14:paraId="43B36FF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r>
      <w:tr w:rsidR="00C54BBB" w:rsidRPr="00BD7075" w14:paraId="2E93A00C" w14:textId="77777777" w:rsidTr="00E174C6">
        <w:trPr>
          <w:trHeight w:val="385"/>
          <w:jc w:val="center"/>
        </w:trPr>
        <w:tc>
          <w:tcPr>
            <w:tcW w:w="455" w:type="dxa"/>
            <w:vMerge/>
            <w:tcBorders>
              <w:left w:val="nil"/>
              <w:right w:val="nil"/>
            </w:tcBorders>
            <w:shd w:val="clear" w:color="auto" w:fill="E7E6E6" w:themeFill="background2"/>
          </w:tcPr>
          <w:p w14:paraId="7159FADE"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23FA0A57"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4A6B707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16C65C4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7</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52CFABF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04062E0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7C218F7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2E8909B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1351" w:type="dxa"/>
            <w:gridSpan w:val="2"/>
            <w:vMerge/>
            <w:tcBorders>
              <w:left w:val="single" w:sz="4" w:space="0" w:color="auto"/>
              <w:bottom w:val="single" w:sz="4" w:space="0" w:color="auto"/>
              <w:right w:val="single" w:sz="4" w:space="0" w:color="auto"/>
            </w:tcBorders>
            <w:shd w:val="clear" w:color="auto" w:fill="auto"/>
            <w:noWrap/>
            <w:vAlign w:val="center"/>
            <w:hideMark/>
          </w:tcPr>
          <w:p w14:paraId="5A478547" w14:textId="77777777" w:rsidR="00C54BBB" w:rsidRPr="00BD7075" w:rsidRDefault="00C54BBB" w:rsidP="00E174C6">
            <w:pPr>
              <w:spacing w:after="0" w:line="240" w:lineRule="auto"/>
              <w:jc w:val="center"/>
              <w:rPr>
                <w:rFonts w:ascii="Times" w:hAnsi="Times" w:cs="Times"/>
                <w:sz w:val="18"/>
                <w:szCs w:val="18"/>
              </w:rPr>
            </w:pPr>
          </w:p>
        </w:tc>
        <w:tc>
          <w:tcPr>
            <w:tcW w:w="674" w:type="dxa"/>
            <w:tcBorders>
              <w:top w:val="nil"/>
              <w:left w:val="single" w:sz="4" w:space="0" w:color="auto"/>
              <w:bottom w:val="single" w:sz="4" w:space="0" w:color="auto"/>
              <w:right w:val="nil"/>
            </w:tcBorders>
            <w:shd w:val="clear" w:color="auto" w:fill="auto"/>
            <w:noWrap/>
            <w:vAlign w:val="center"/>
            <w:hideMark/>
          </w:tcPr>
          <w:p w14:paraId="04D0EB0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auto"/>
            <w:noWrap/>
            <w:vAlign w:val="center"/>
            <w:hideMark/>
          </w:tcPr>
          <w:p w14:paraId="5DD55D8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auto"/>
            <w:noWrap/>
            <w:vAlign w:val="center"/>
            <w:hideMark/>
          </w:tcPr>
          <w:p w14:paraId="5D7128A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5" w:type="dxa"/>
            <w:tcBorders>
              <w:top w:val="nil"/>
              <w:left w:val="nil"/>
              <w:bottom w:val="single" w:sz="4" w:space="0" w:color="auto"/>
              <w:right w:val="single" w:sz="4" w:space="0" w:color="auto"/>
            </w:tcBorders>
            <w:shd w:val="clear" w:color="auto" w:fill="auto"/>
            <w:noWrap/>
            <w:vAlign w:val="center"/>
            <w:hideMark/>
          </w:tcPr>
          <w:p w14:paraId="5930919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374F07C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81" w:type="dxa"/>
            <w:tcBorders>
              <w:top w:val="nil"/>
              <w:left w:val="nil"/>
              <w:bottom w:val="single" w:sz="4" w:space="0" w:color="auto"/>
              <w:right w:val="single" w:sz="4" w:space="0" w:color="auto"/>
            </w:tcBorders>
            <w:shd w:val="clear" w:color="auto" w:fill="auto"/>
            <w:noWrap/>
            <w:vAlign w:val="center"/>
            <w:hideMark/>
          </w:tcPr>
          <w:p w14:paraId="6DEB468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75FD509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auto"/>
            <w:noWrap/>
            <w:vAlign w:val="center"/>
            <w:hideMark/>
          </w:tcPr>
          <w:p w14:paraId="120A208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9" w:type="dxa"/>
            <w:tcBorders>
              <w:top w:val="nil"/>
              <w:left w:val="single" w:sz="4" w:space="0" w:color="auto"/>
              <w:bottom w:val="single" w:sz="4" w:space="0" w:color="auto"/>
              <w:right w:val="nil"/>
            </w:tcBorders>
            <w:shd w:val="clear" w:color="auto" w:fill="auto"/>
            <w:noWrap/>
            <w:vAlign w:val="center"/>
            <w:hideMark/>
          </w:tcPr>
          <w:p w14:paraId="298F9DC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81" w:type="dxa"/>
            <w:tcBorders>
              <w:top w:val="nil"/>
              <w:left w:val="nil"/>
              <w:bottom w:val="single" w:sz="4" w:space="0" w:color="auto"/>
              <w:right w:val="single" w:sz="4" w:space="0" w:color="auto"/>
            </w:tcBorders>
            <w:shd w:val="clear" w:color="auto" w:fill="auto"/>
            <w:noWrap/>
            <w:vAlign w:val="center"/>
            <w:hideMark/>
          </w:tcPr>
          <w:p w14:paraId="05A401D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8" w:type="dxa"/>
            <w:tcBorders>
              <w:top w:val="nil"/>
              <w:left w:val="single" w:sz="4" w:space="0" w:color="auto"/>
              <w:bottom w:val="single" w:sz="4" w:space="0" w:color="auto"/>
              <w:right w:val="nil"/>
            </w:tcBorders>
            <w:shd w:val="clear" w:color="auto" w:fill="auto"/>
            <w:noWrap/>
            <w:vAlign w:val="center"/>
            <w:hideMark/>
          </w:tcPr>
          <w:p w14:paraId="7FE7007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left w:val="nil"/>
              <w:bottom w:val="single" w:sz="4" w:space="0" w:color="auto"/>
              <w:right w:val="single" w:sz="4" w:space="0" w:color="auto"/>
            </w:tcBorders>
            <w:shd w:val="clear" w:color="auto" w:fill="auto"/>
            <w:noWrap/>
            <w:vAlign w:val="center"/>
            <w:hideMark/>
          </w:tcPr>
          <w:p w14:paraId="5C0B0A3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r>
      <w:tr w:rsidR="00C54BBB" w:rsidRPr="00BD7075" w14:paraId="4A2CDD71" w14:textId="77777777" w:rsidTr="00E174C6">
        <w:trPr>
          <w:trHeight w:val="385"/>
          <w:jc w:val="center"/>
        </w:trPr>
        <w:tc>
          <w:tcPr>
            <w:tcW w:w="455" w:type="dxa"/>
            <w:vMerge/>
            <w:tcBorders>
              <w:left w:val="nil"/>
              <w:right w:val="nil"/>
            </w:tcBorders>
            <w:shd w:val="clear" w:color="auto" w:fill="E7E6E6" w:themeFill="background2"/>
          </w:tcPr>
          <w:p w14:paraId="706FAB72"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single" w:sz="4" w:space="0" w:color="auto"/>
              <w:left w:val="nil"/>
              <w:right w:val="nil"/>
            </w:tcBorders>
            <w:shd w:val="clear" w:color="auto" w:fill="E7E6E6" w:themeFill="background2"/>
            <w:noWrap/>
            <w:vAlign w:val="center"/>
            <w:hideMark/>
          </w:tcPr>
          <w:p w14:paraId="0711325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39C6270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01D3FA1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3C2DB67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40BEE8D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76F6CA7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single" w:sz="4" w:space="0" w:color="auto"/>
              <w:left w:val="nil"/>
              <w:right w:val="single" w:sz="4" w:space="0" w:color="auto"/>
            </w:tcBorders>
            <w:shd w:val="clear" w:color="auto" w:fill="E7E6E6" w:themeFill="background2"/>
            <w:noWrap/>
            <w:vAlign w:val="center"/>
            <w:hideMark/>
          </w:tcPr>
          <w:p w14:paraId="74C1C23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5" w:type="dxa"/>
            <w:tcBorders>
              <w:top w:val="single" w:sz="4" w:space="0" w:color="auto"/>
              <w:left w:val="single" w:sz="4" w:space="0" w:color="auto"/>
              <w:right w:val="nil"/>
            </w:tcBorders>
            <w:shd w:val="clear" w:color="auto" w:fill="E7E6E6" w:themeFill="background2"/>
            <w:noWrap/>
            <w:vAlign w:val="center"/>
            <w:hideMark/>
          </w:tcPr>
          <w:p w14:paraId="4845B95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35E3F8F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1350"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05D35568"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OLS</w:t>
            </w:r>
          </w:p>
          <w:p w14:paraId="17802E4E"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REML+HKSJ</w:t>
            </w:r>
          </w:p>
        </w:tc>
        <w:tc>
          <w:tcPr>
            <w:tcW w:w="674" w:type="dxa"/>
            <w:tcBorders>
              <w:top w:val="single" w:sz="4" w:space="0" w:color="auto"/>
              <w:left w:val="single" w:sz="4" w:space="0" w:color="auto"/>
              <w:right w:val="nil"/>
            </w:tcBorders>
            <w:shd w:val="clear" w:color="auto" w:fill="auto"/>
            <w:noWrap/>
            <w:vAlign w:val="center"/>
            <w:hideMark/>
          </w:tcPr>
          <w:p w14:paraId="2B7D30A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5" w:type="dxa"/>
            <w:tcBorders>
              <w:top w:val="single" w:sz="4" w:space="0" w:color="auto"/>
              <w:left w:val="nil"/>
              <w:right w:val="single" w:sz="4" w:space="0" w:color="auto"/>
            </w:tcBorders>
            <w:shd w:val="clear" w:color="auto" w:fill="auto"/>
            <w:noWrap/>
            <w:vAlign w:val="center"/>
            <w:hideMark/>
          </w:tcPr>
          <w:p w14:paraId="7CC0CAC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auto"/>
            <w:noWrap/>
            <w:vAlign w:val="center"/>
            <w:hideMark/>
          </w:tcPr>
          <w:p w14:paraId="0B3089D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single" w:sz="4" w:space="0" w:color="auto"/>
              <w:left w:val="nil"/>
              <w:right w:val="single" w:sz="4" w:space="0" w:color="auto"/>
            </w:tcBorders>
            <w:shd w:val="clear" w:color="auto" w:fill="auto"/>
            <w:noWrap/>
            <w:vAlign w:val="center"/>
            <w:hideMark/>
          </w:tcPr>
          <w:p w14:paraId="6024CAA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9" w:type="dxa"/>
            <w:tcBorders>
              <w:top w:val="single" w:sz="4" w:space="0" w:color="auto"/>
              <w:left w:val="single" w:sz="4" w:space="0" w:color="auto"/>
              <w:right w:val="nil"/>
            </w:tcBorders>
            <w:shd w:val="clear" w:color="auto" w:fill="auto"/>
            <w:noWrap/>
            <w:vAlign w:val="center"/>
            <w:hideMark/>
          </w:tcPr>
          <w:p w14:paraId="7E7F68C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0" w:type="dxa"/>
            <w:tcBorders>
              <w:top w:val="single" w:sz="4" w:space="0" w:color="auto"/>
              <w:left w:val="nil"/>
              <w:right w:val="single" w:sz="4" w:space="0" w:color="auto"/>
            </w:tcBorders>
            <w:shd w:val="clear" w:color="auto" w:fill="auto"/>
            <w:noWrap/>
            <w:vAlign w:val="center"/>
            <w:hideMark/>
          </w:tcPr>
          <w:p w14:paraId="78E424C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9" w:type="dxa"/>
            <w:tcBorders>
              <w:top w:val="single" w:sz="4" w:space="0" w:color="auto"/>
              <w:left w:val="single" w:sz="4" w:space="0" w:color="auto"/>
              <w:right w:val="nil"/>
            </w:tcBorders>
            <w:shd w:val="clear" w:color="auto" w:fill="auto"/>
            <w:noWrap/>
            <w:vAlign w:val="center"/>
            <w:hideMark/>
          </w:tcPr>
          <w:p w14:paraId="63651D2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single" w:sz="4" w:space="0" w:color="auto"/>
              <w:left w:val="nil"/>
              <w:right w:val="single" w:sz="4" w:space="0" w:color="auto"/>
            </w:tcBorders>
            <w:shd w:val="clear" w:color="auto" w:fill="auto"/>
            <w:noWrap/>
            <w:vAlign w:val="center"/>
            <w:hideMark/>
          </w:tcPr>
          <w:p w14:paraId="391C0FB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8" w:type="dxa"/>
            <w:tcBorders>
              <w:top w:val="single" w:sz="4" w:space="0" w:color="auto"/>
              <w:left w:val="single" w:sz="4" w:space="0" w:color="auto"/>
              <w:right w:val="nil"/>
            </w:tcBorders>
            <w:shd w:val="clear" w:color="auto" w:fill="auto"/>
            <w:noWrap/>
            <w:vAlign w:val="center"/>
            <w:hideMark/>
          </w:tcPr>
          <w:p w14:paraId="0493182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714" w:type="dxa"/>
            <w:tcBorders>
              <w:top w:val="single" w:sz="4" w:space="0" w:color="auto"/>
              <w:left w:val="nil"/>
              <w:right w:val="single" w:sz="4" w:space="0" w:color="auto"/>
            </w:tcBorders>
            <w:shd w:val="clear" w:color="auto" w:fill="auto"/>
            <w:noWrap/>
            <w:vAlign w:val="center"/>
            <w:hideMark/>
          </w:tcPr>
          <w:p w14:paraId="1A1246A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r>
      <w:tr w:rsidR="00C54BBB" w:rsidRPr="00BD7075" w14:paraId="18E16704" w14:textId="77777777" w:rsidTr="00E174C6">
        <w:trPr>
          <w:trHeight w:val="385"/>
          <w:jc w:val="center"/>
        </w:trPr>
        <w:tc>
          <w:tcPr>
            <w:tcW w:w="455" w:type="dxa"/>
            <w:vMerge/>
            <w:tcBorders>
              <w:left w:val="nil"/>
              <w:right w:val="nil"/>
            </w:tcBorders>
            <w:shd w:val="clear" w:color="auto" w:fill="E7E6E6" w:themeFill="background2"/>
          </w:tcPr>
          <w:p w14:paraId="3638060D"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1E4CFDF0"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0AB6922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1912350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6A88B98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1A42A9D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0A7B6F1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3C62474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215490C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4423DE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1350" w:type="dxa"/>
            <w:gridSpan w:val="2"/>
            <w:vMerge/>
            <w:tcBorders>
              <w:left w:val="single" w:sz="4" w:space="0" w:color="auto"/>
              <w:bottom w:val="single" w:sz="4" w:space="0" w:color="auto"/>
              <w:right w:val="single" w:sz="4" w:space="0" w:color="auto"/>
            </w:tcBorders>
            <w:shd w:val="clear" w:color="auto" w:fill="auto"/>
            <w:noWrap/>
            <w:vAlign w:val="center"/>
            <w:hideMark/>
          </w:tcPr>
          <w:p w14:paraId="3C4D1E62" w14:textId="77777777" w:rsidR="00C54BBB" w:rsidRPr="00BD7075" w:rsidRDefault="00C54BBB" w:rsidP="00E174C6">
            <w:pPr>
              <w:spacing w:after="0" w:line="240" w:lineRule="auto"/>
              <w:jc w:val="center"/>
              <w:rPr>
                <w:rFonts w:ascii="Times" w:hAnsi="Times" w:cs="Times"/>
                <w:sz w:val="18"/>
                <w:szCs w:val="18"/>
              </w:rPr>
            </w:pPr>
          </w:p>
        </w:tc>
        <w:tc>
          <w:tcPr>
            <w:tcW w:w="674" w:type="dxa"/>
            <w:tcBorders>
              <w:top w:val="nil"/>
              <w:left w:val="single" w:sz="4" w:space="0" w:color="auto"/>
              <w:bottom w:val="single" w:sz="4" w:space="0" w:color="auto"/>
              <w:right w:val="nil"/>
            </w:tcBorders>
            <w:shd w:val="clear" w:color="auto" w:fill="auto"/>
            <w:noWrap/>
            <w:vAlign w:val="center"/>
            <w:hideMark/>
          </w:tcPr>
          <w:p w14:paraId="7593652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nil"/>
              <w:bottom w:val="single" w:sz="4" w:space="0" w:color="auto"/>
              <w:right w:val="single" w:sz="4" w:space="0" w:color="auto"/>
            </w:tcBorders>
            <w:shd w:val="clear" w:color="auto" w:fill="auto"/>
            <w:noWrap/>
            <w:vAlign w:val="center"/>
            <w:hideMark/>
          </w:tcPr>
          <w:p w14:paraId="329D457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567DCE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auto"/>
            <w:noWrap/>
            <w:vAlign w:val="center"/>
            <w:hideMark/>
          </w:tcPr>
          <w:p w14:paraId="336DA4E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auto"/>
            <w:noWrap/>
            <w:vAlign w:val="center"/>
            <w:hideMark/>
          </w:tcPr>
          <w:p w14:paraId="105BE94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0" w:type="dxa"/>
            <w:tcBorders>
              <w:top w:val="nil"/>
              <w:left w:val="nil"/>
              <w:bottom w:val="single" w:sz="4" w:space="0" w:color="auto"/>
              <w:right w:val="single" w:sz="4" w:space="0" w:color="auto"/>
            </w:tcBorders>
            <w:shd w:val="clear" w:color="auto" w:fill="auto"/>
            <w:noWrap/>
            <w:vAlign w:val="center"/>
            <w:hideMark/>
          </w:tcPr>
          <w:p w14:paraId="31119EA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9" w:type="dxa"/>
            <w:tcBorders>
              <w:top w:val="nil"/>
              <w:left w:val="single" w:sz="4" w:space="0" w:color="auto"/>
              <w:bottom w:val="single" w:sz="4" w:space="0" w:color="auto"/>
              <w:right w:val="nil"/>
            </w:tcBorders>
            <w:shd w:val="clear" w:color="auto" w:fill="auto"/>
            <w:noWrap/>
            <w:vAlign w:val="center"/>
            <w:hideMark/>
          </w:tcPr>
          <w:p w14:paraId="0BFFBC7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auto"/>
            <w:noWrap/>
            <w:vAlign w:val="center"/>
            <w:hideMark/>
          </w:tcPr>
          <w:p w14:paraId="6CEEE91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8" w:type="dxa"/>
            <w:tcBorders>
              <w:top w:val="nil"/>
              <w:left w:val="single" w:sz="4" w:space="0" w:color="auto"/>
              <w:bottom w:val="single" w:sz="4" w:space="0" w:color="auto"/>
              <w:right w:val="nil"/>
            </w:tcBorders>
            <w:shd w:val="clear" w:color="auto" w:fill="auto"/>
            <w:noWrap/>
            <w:vAlign w:val="center"/>
            <w:hideMark/>
          </w:tcPr>
          <w:p w14:paraId="2471F85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714" w:type="dxa"/>
            <w:tcBorders>
              <w:left w:val="nil"/>
              <w:bottom w:val="single" w:sz="4" w:space="0" w:color="auto"/>
              <w:right w:val="single" w:sz="4" w:space="0" w:color="auto"/>
            </w:tcBorders>
            <w:shd w:val="clear" w:color="auto" w:fill="auto"/>
            <w:noWrap/>
            <w:vAlign w:val="center"/>
            <w:hideMark/>
          </w:tcPr>
          <w:p w14:paraId="435116B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r>
      <w:tr w:rsidR="00C54BBB" w:rsidRPr="00BD7075" w14:paraId="5ABBEDDF" w14:textId="77777777" w:rsidTr="00E174C6">
        <w:trPr>
          <w:trHeight w:val="385"/>
          <w:jc w:val="center"/>
        </w:trPr>
        <w:tc>
          <w:tcPr>
            <w:tcW w:w="455" w:type="dxa"/>
            <w:vMerge/>
            <w:tcBorders>
              <w:left w:val="nil"/>
              <w:right w:val="nil"/>
            </w:tcBorders>
            <w:shd w:val="clear" w:color="auto" w:fill="E7E6E6" w:themeFill="background2"/>
            <w:textDirection w:val="btLr"/>
          </w:tcPr>
          <w:p w14:paraId="1A39B396" w14:textId="77777777" w:rsidR="00C54BBB" w:rsidRPr="00BD7075" w:rsidRDefault="00C54BBB" w:rsidP="00E174C6">
            <w:pPr>
              <w:spacing w:after="0" w:line="240" w:lineRule="auto"/>
              <w:jc w:val="center"/>
              <w:rPr>
                <w:rFonts w:ascii="Times" w:hAnsi="Times" w:cs="Times"/>
                <w:b/>
                <w:bCs/>
                <w:sz w:val="18"/>
                <w:szCs w:val="18"/>
              </w:rPr>
            </w:pPr>
          </w:p>
        </w:tc>
        <w:tc>
          <w:tcPr>
            <w:tcW w:w="863" w:type="dxa"/>
            <w:tcBorders>
              <w:top w:val="single" w:sz="4" w:space="0" w:color="auto"/>
              <w:left w:val="nil"/>
              <w:right w:val="nil"/>
            </w:tcBorders>
            <w:shd w:val="clear" w:color="auto" w:fill="E7E6E6" w:themeFill="background2"/>
            <w:noWrap/>
            <w:vAlign w:val="center"/>
            <w:hideMark/>
          </w:tcPr>
          <w:p w14:paraId="32AB3EA3"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6E8EAF1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72DF977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06C36EC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single" w:sz="4" w:space="0" w:color="auto"/>
              <w:left w:val="nil"/>
              <w:right w:val="single" w:sz="4" w:space="0" w:color="auto"/>
            </w:tcBorders>
            <w:shd w:val="clear" w:color="auto" w:fill="E7E6E6" w:themeFill="background2"/>
            <w:noWrap/>
            <w:vAlign w:val="center"/>
            <w:hideMark/>
          </w:tcPr>
          <w:p w14:paraId="127C9B9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single" w:sz="4" w:space="0" w:color="auto"/>
              <w:left w:val="single" w:sz="4" w:space="0" w:color="auto"/>
              <w:right w:val="nil"/>
            </w:tcBorders>
            <w:shd w:val="clear" w:color="auto" w:fill="E7E6E6" w:themeFill="background2"/>
            <w:noWrap/>
            <w:vAlign w:val="center"/>
            <w:hideMark/>
          </w:tcPr>
          <w:p w14:paraId="5169892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4" w:type="dxa"/>
            <w:tcBorders>
              <w:top w:val="single" w:sz="4" w:space="0" w:color="auto"/>
              <w:left w:val="nil"/>
              <w:right w:val="single" w:sz="4" w:space="0" w:color="auto"/>
            </w:tcBorders>
            <w:shd w:val="clear" w:color="auto" w:fill="E7E6E6" w:themeFill="background2"/>
            <w:noWrap/>
            <w:vAlign w:val="center"/>
            <w:hideMark/>
          </w:tcPr>
          <w:p w14:paraId="58C092A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single" w:sz="4" w:space="0" w:color="auto"/>
              <w:left w:val="single" w:sz="4" w:space="0" w:color="auto"/>
              <w:right w:val="nil"/>
            </w:tcBorders>
            <w:shd w:val="clear" w:color="auto" w:fill="E7E6E6" w:themeFill="background2"/>
            <w:noWrap/>
            <w:vAlign w:val="center"/>
            <w:hideMark/>
          </w:tcPr>
          <w:p w14:paraId="6EC82FC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6" w:type="dxa"/>
            <w:tcBorders>
              <w:top w:val="single" w:sz="4" w:space="0" w:color="auto"/>
              <w:left w:val="nil"/>
              <w:right w:val="single" w:sz="4" w:space="0" w:color="auto"/>
            </w:tcBorders>
            <w:shd w:val="clear" w:color="auto" w:fill="E7E6E6" w:themeFill="background2"/>
            <w:noWrap/>
            <w:vAlign w:val="center"/>
            <w:hideMark/>
          </w:tcPr>
          <w:p w14:paraId="10DD7D7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4" w:type="dxa"/>
            <w:tcBorders>
              <w:top w:val="single" w:sz="4" w:space="0" w:color="auto"/>
              <w:left w:val="single" w:sz="4" w:space="0" w:color="auto"/>
              <w:right w:val="nil"/>
            </w:tcBorders>
            <w:shd w:val="clear" w:color="auto" w:fill="E7E6E6" w:themeFill="background2"/>
            <w:noWrap/>
            <w:vAlign w:val="center"/>
            <w:hideMark/>
          </w:tcPr>
          <w:p w14:paraId="1C243E6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6" w:type="dxa"/>
            <w:tcBorders>
              <w:top w:val="single" w:sz="4" w:space="0" w:color="auto"/>
              <w:left w:val="nil"/>
              <w:right w:val="single" w:sz="4" w:space="0" w:color="auto"/>
            </w:tcBorders>
            <w:shd w:val="clear" w:color="auto" w:fill="E7E6E6" w:themeFill="background2"/>
            <w:noWrap/>
            <w:vAlign w:val="center"/>
            <w:hideMark/>
          </w:tcPr>
          <w:p w14:paraId="357A403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134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2DFE7F88"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REML</w:t>
            </w:r>
          </w:p>
          <w:p w14:paraId="176F606C"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Fixed</w:t>
            </w:r>
          </w:p>
        </w:tc>
        <w:tc>
          <w:tcPr>
            <w:tcW w:w="679" w:type="dxa"/>
            <w:tcBorders>
              <w:top w:val="single" w:sz="4" w:space="0" w:color="auto"/>
              <w:left w:val="single" w:sz="4" w:space="0" w:color="auto"/>
              <w:right w:val="nil"/>
            </w:tcBorders>
            <w:shd w:val="clear" w:color="auto" w:fill="auto"/>
            <w:noWrap/>
            <w:vAlign w:val="center"/>
            <w:hideMark/>
          </w:tcPr>
          <w:p w14:paraId="26D2C4C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auto"/>
            <w:noWrap/>
            <w:vAlign w:val="center"/>
            <w:hideMark/>
          </w:tcPr>
          <w:p w14:paraId="7ED50E2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9" w:type="dxa"/>
            <w:tcBorders>
              <w:top w:val="single" w:sz="4" w:space="0" w:color="auto"/>
              <w:left w:val="single" w:sz="4" w:space="0" w:color="auto"/>
              <w:right w:val="nil"/>
            </w:tcBorders>
            <w:shd w:val="clear" w:color="auto" w:fill="auto"/>
            <w:noWrap/>
            <w:vAlign w:val="center"/>
            <w:hideMark/>
          </w:tcPr>
          <w:p w14:paraId="4E8D60B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single" w:sz="4" w:space="0" w:color="auto"/>
              <w:left w:val="nil"/>
              <w:right w:val="single" w:sz="4" w:space="0" w:color="auto"/>
            </w:tcBorders>
            <w:shd w:val="clear" w:color="auto" w:fill="auto"/>
            <w:noWrap/>
            <w:vAlign w:val="center"/>
            <w:hideMark/>
          </w:tcPr>
          <w:p w14:paraId="20C3FEE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auto"/>
            <w:noWrap/>
            <w:vAlign w:val="center"/>
            <w:hideMark/>
          </w:tcPr>
          <w:p w14:paraId="1A16ED7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1" w:type="dxa"/>
            <w:tcBorders>
              <w:top w:val="single" w:sz="4" w:space="0" w:color="auto"/>
              <w:left w:val="nil"/>
              <w:right w:val="single" w:sz="4" w:space="0" w:color="auto"/>
            </w:tcBorders>
            <w:shd w:val="clear" w:color="auto" w:fill="auto"/>
            <w:noWrap/>
            <w:vAlign w:val="center"/>
            <w:hideMark/>
          </w:tcPr>
          <w:p w14:paraId="7CA19AC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8" w:type="dxa"/>
            <w:tcBorders>
              <w:top w:val="single" w:sz="4" w:space="0" w:color="auto"/>
              <w:left w:val="single" w:sz="4" w:space="0" w:color="auto"/>
              <w:right w:val="nil"/>
            </w:tcBorders>
            <w:shd w:val="clear" w:color="auto" w:fill="auto"/>
            <w:noWrap/>
            <w:vAlign w:val="center"/>
            <w:hideMark/>
          </w:tcPr>
          <w:p w14:paraId="5EBB408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right w:val="single" w:sz="4" w:space="0" w:color="auto"/>
            </w:tcBorders>
            <w:shd w:val="clear" w:color="auto" w:fill="auto"/>
            <w:noWrap/>
            <w:vAlign w:val="center"/>
            <w:hideMark/>
          </w:tcPr>
          <w:p w14:paraId="50A811B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r>
      <w:tr w:rsidR="00C54BBB" w:rsidRPr="00BD7075" w14:paraId="36EB9047" w14:textId="77777777" w:rsidTr="00E174C6">
        <w:trPr>
          <w:trHeight w:val="385"/>
          <w:jc w:val="center"/>
        </w:trPr>
        <w:tc>
          <w:tcPr>
            <w:tcW w:w="455" w:type="dxa"/>
            <w:vMerge/>
            <w:tcBorders>
              <w:left w:val="nil"/>
              <w:right w:val="nil"/>
            </w:tcBorders>
            <w:shd w:val="clear" w:color="auto" w:fill="E7E6E6" w:themeFill="background2"/>
          </w:tcPr>
          <w:p w14:paraId="76A168CA"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293DF2FD"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489F931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2CDA1E7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46CF778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202A182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09EDE91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0713C51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1C7BC90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53DB358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1BA17A2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1CD7D22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1349" w:type="dxa"/>
            <w:gridSpan w:val="2"/>
            <w:vMerge/>
            <w:tcBorders>
              <w:left w:val="single" w:sz="4" w:space="0" w:color="auto"/>
              <w:bottom w:val="single" w:sz="4" w:space="0" w:color="auto"/>
              <w:right w:val="single" w:sz="4" w:space="0" w:color="auto"/>
            </w:tcBorders>
            <w:shd w:val="clear" w:color="auto" w:fill="auto"/>
            <w:noWrap/>
            <w:vAlign w:val="center"/>
            <w:hideMark/>
          </w:tcPr>
          <w:p w14:paraId="1EA70867" w14:textId="77777777" w:rsidR="00C54BBB" w:rsidRPr="00BD7075" w:rsidRDefault="00C54BBB" w:rsidP="00E174C6">
            <w:pPr>
              <w:spacing w:after="0" w:line="240" w:lineRule="auto"/>
              <w:jc w:val="center"/>
              <w:rPr>
                <w:rFonts w:ascii="Times" w:hAnsi="Times" w:cs="Times"/>
                <w:sz w:val="18"/>
                <w:szCs w:val="18"/>
              </w:rPr>
            </w:pPr>
          </w:p>
        </w:tc>
        <w:tc>
          <w:tcPr>
            <w:tcW w:w="679" w:type="dxa"/>
            <w:tcBorders>
              <w:top w:val="nil"/>
              <w:left w:val="single" w:sz="4" w:space="0" w:color="auto"/>
              <w:bottom w:val="single" w:sz="4" w:space="0" w:color="auto"/>
              <w:right w:val="nil"/>
            </w:tcBorders>
            <w:shd w:val="clear" w:color="auto" w:fill="auto"/>
            <w:noWrap/>
            <w:vAlign w:val="center"/>
            <w:hideMark/>
          </w:tcPr>
          <w:p w14:paraId="08FA1B2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81" w:type="dxa"/>
            <w:tcBorders>
              <w:top w:val="nil"/>
              <w:left w:val="nil"/>
              <w:bottom w:val="single" w:sz="4" w:space="0" w:color="auto"/>
              <w:right w:val="single" w:sz="4" w:space="0" w:color="auto"/>
            </w:tcBorders>
            <w:shd w:val="clear" w:color="auto" w:fill="auto"/>
            <w:noWrap/>
            <w:vAlign w:val="center"/>
            <w:hideMark/>
          </w:tcPr>
          <w:p w14:paraId="7DF088C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9" w:type="dxa"/>
            <w:tcBorders>
              <w:top w:val="nil"/>
              <w:left w:val="single" w:sz="4" w:space="0" w:color="auto"/>
              <w:bottom w:val="single" w:sz="4" w:space="0" w:color="auto"/>
              <w:right w:val="nil"/>
            </w:tcBorders>
            <w:shd w:val="clear" w:color="auto" w:fill="auto"/>
            <w:noWrap/>
            <w:vAlign w:val="center"/>
            <w:hideMark/>
          </w:tcPr>
          <w:p w14:paraId="0FBCEDF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auto"/>
            <w:noWrap/>
            <w:vAlign w:val="center"/>
            <w:hideMark/>
          </w:tcPr>
          <w:p w14:paraId="5E01563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9" w:type="dxa"/>
            <w:tcBorders>
              <w:top w:val="nil"/>
              <w:left w:val="single" w:sz="4" w:space="0" w:color="auto"/>
              <w:bottom w:val="single" w:sz="4" w:space="0" w:color="auto"/>
              <w:right w:val="nil"/>
            </w:tcBorders>
            <w:shd w:val="clear" w:color="auto" w:fill="auto"/>
            <w:noWrap/>
            <w:vAlign w:val="center"/>
            <w:hideMark/>
          </w:tcPr>
          <w:p w14:paraId="7455A57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81" w:type="dxa"/>
            <w:tcBorders>
              <w:top w:val="nil"/>
              <w:left w:val="nil"/>
              <w:bottom w:val="single" w:sz="4" w:space="0" w:color="auto"/>
              <w:right w:val="single" w:sz="4" w:space="0" w:color="auto"/>
            </w:tcBorders>
            <w:shd w:val="clear" w:color="auto" w:fill="auto"/>
            <w:noWrap/>
            <w:vAlign w:val="center"/>
            <w:hideMark/>
          </w:tcPr>
          <w:p w14:paraId="14B9C17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8" w:type="dxa"/>
            <w:tcBorders>
              <w:top w:val="nil"/>
              <w:left w:val="single" w:sz="4" w:space="0" w:color="auto"/>
              <w:bottom w:val="single" w:sz="4" w:space="0" w:color="auto"/>
              <w:right w:val="nil"/>
            </w:tcBorders>
            <w:shd w:val="clear" w:color="auto" w:fill="auto"/>
            <w:noWrap/>
            <w:vAlign w:val="center"/>
            <w:hideMark/>
          </w:tcPr>
          <w:p w14:paraId="3540AA9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left w:val="nil"/>
              <w:bottom w:val="single" w:sz="4" w:space="0" w:color="auto"/>
              <w:right w:val="single" w:sz="4" w:space="0" w:color="auto"/>
            </w:tcBorders>
            <w:shd w:val="clear" w:color="auto" w:fill="auto"/>
            <w:noWrap/>
            <w:vAlign w:val="center"/>
            <w:hideMark/>
          </w:tcPr>
          <w:p w14:paraId="0CDDE01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r>
      <w:tr w:rsidR="00C54BBB" w:rsidRPr="00BD7075" w14:paraId="24059A45" w14:textId="77777777" w:rsidTr="00E174C6">
        <w:trPr>
          <w:trHeight w:val="385"/>
          <w:jc w:val="center"/>
        </w:trPr>
        <w:tc>
          <w:tcPr>
            <w:tcW w:w="455" w:type="dxa"/>
            <w:vMerge/>
            <w:tcBorders>
              <w:left w:val="nil"/>
              <w:right w:val="nil"/>
            </w:tcBorders>
            <w:shd w:val="clear" w:color="auto" w:fill="E7E6E6" w:themeFill="background2"/>
          </w:tcPr>
          <w:p w14:paraId="060AC22C"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single" w:sz="4" w:space="0" w:color="auto"/>
              <w:left w:val="nil"/>
              <w:right w:val="nil"/>
            </w:tcBorders>
            <w:shd w:val="clear" w:color="auto" w:fill="E7E6E6" w:themeFill="background2"/>
            <w:noWrap/>
            <w:vAlign w:val="center"/>
            <w:hideMark/>
          </w:tcPr>
          <w:p w14:paraId="65C7C54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3BE951C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00F3E0B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2701A68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055D4F4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67B7F0E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single" w:sz="4" w:space="0" w:color="auto"/>
              <w:left w:val="nil"/>
              <w:right w:val="single" w:sz="4" w:space="0" w:color="auto"/>
            </w:tcBorders>
            <w:shd w:val="clear" w:color="auto" w:fill="E7E6E6" w:themeFill="background2"/>
            <w:noWrap/>
            <w:vAlign w:val="center"/>
            <w:hideMark/>
          </w:tcPr>
          <w:p w14:paraId="16A2EC9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5" w:type="dxa"/>
            <w:tcBorders>
              <w:top w:val="single" w:sz="4" w:space="0" w:color="auto"/>
              <w:left w:val="single" w:sz="4" w:space="0" w:color="auto"/>
              <w:right w:val="nil"/>
            </w:tcBorders>
            <w:shd w:val="clear" w:color="auto" w:fill="E7E6E6" w:themeFill="background2"/>
            <w:noWrap/>
            <w:vAlign w:val="center"/>
            <w:hideMark/>
          </w:tcPr>
          <w:p w14:paraId="035BEE7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6" w:type="dxa"/>
            <w:tcBorders>
              <w:top w:val="single" w:sz="4" w:space="0" w:color="auto"/>
              <w:left w:val="nil"/>
              <w:right w:val="single" w:sz="4" w:space="0" w:color="auto"/>
            </w:tcBorders>
            <w:shd w:val="clear" w:color="auto" w:fill="E7E6E6" w:themeFill="background2"/>
            <w:noWrap/>
            <w:vAlign w:val="center"/>
            <w:hideMark/>
          </w:tcPr>
          <w:p w14:paraId="78D93F1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4" w:type="dxa"/>
            <w:tcBorders>
              <w:top w:val="single" w:sz="4" w:space="0" w:color="auto"/>
              <w:left w:val="single" w:sz="4" w:space="0" w:color="auto"/>
              <w:right w:val="nil"/>
            </w:tcBorders>
            <w:shd w:val="clear" w:color="auto" w:fill="E7E6E6" w:themeFill="background2"/>
            <w:noWrap/>
            <w:vAlign w:val="center"/>
            <w:hideMark/>
          </w:tcPr>
          <w:p w14:paraId="41568E6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6" w:type="dxa"/>
            <w:tcBorders>
              <w:top w:val="single" w:sz="4" w:space="0" w:color="auto"/>
              <w:left w:val="nil"/>
              <w:right w:val="single" w:sz="4" w:space="0" w:color="auto"/>
            </w:tcBorders>
            <w:shd w:val="clear" w:color="auto" w:fill="E7E6E6" w:themeFill="background2"/>
            <w:noWrap/>
            <w:vAlign w:val="center"/>
            <w:hideMark/>
          </w:tcPr>
          <w:p w14:paraId="30A2DE9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4" w:type="dxa"/>
            <w:tcBorders>
              <w:top w:val="single" w:sz="4" w:space="0" w:color="auto"/>
              <w:left w:val="single" w:sz="4" w:space="0" w:color="auto"/>
              <w:right w:val="nil"/>
            </w:tcBorders>
            <w:shd w:val="clear" w:color="auto" w:fill="E7E6E6" w:themeFill="background2"/>
            <w:noWrap/>
            <w:vAlign w:val="center"/>
            <w:hideMark/>
          </w:tcPr>
          <w:p w14:paraId="7342FFE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5" w:type="dxa"/>
            <w:tcBorders>
              <w:top w:val="single" w:sz="4" w:space="0" w:color="auto"/>
              <w:left w:val="nil"/>
              <w:right w:val="single" w:sz="4" w:space="0" w:color="auto"/>
            </w:tcBorders>
            <w:shd w:val="clear" w:color="auto" w:fill="E7E6E6" w:themeFill="background2"/>
            <w:noWrap/>
            <w:vAlign w:val="center"/>
            <w:hideMark/>
          </w:tcPr>
          <w:p w14:paraId="6C603D1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1360"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4313DAFE"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REML</w:t>
            </w:r>
          </w:p>
          <w:p w14:paraId="6BC51B10"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DL+WT</w:t>
            </w:r>
          </w:p>
        </w:tc>
        <w:tc>
          <w:tcPr>
            <w:tcW w:w="679" w:type="dxa"/>
            <w:tcBorders>
              <w:top w:val="single" w:sz="4" w:space="0" w:color="auto"/>
              <w:left w:val="single" w:sz="4" w:space="0" w:color="auto"/>
              <w:right w:val="nil"/>
            </w:tcBorders>
            <w:shd w:val="clear" w:color="auto" w:fill="auto"/>
            <w:noWrap/>
            <w:vAlign w:val="center"/>
            <w:hideMark/>
          </w:tcPr>
          <w:p w14:paraId="03AC180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single" w:sz="4" w:space="0" w:color="auto"/>
              <w:left w:val="nil"/>
              <w:right w:val="single" w:sz="4" w:space="0" w:color="auto"/>
            </w:tcBorders>
            <w:shd w:val="clear" w:color="auto" w:fill="auto"/>
            <w:noWrap/>
            <w:vAlign w:val="center"/>
            <w:hideMark/>
          </w:tcPr>
          <w:p w14:paraId="7C223E2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9" w:type="dxa"/>
            <w:tcBorders>
              <w:top w:val="single" w:sz="4" w:space="0" w:color="auto"/>
              <w:left w:val="single" w:sz="4" w:space="0" w:color="auto"/>
              <w:right w:val="nil"/>
            </w:tcBorders>
            <w:shd w:val="clear" w:color="auto" w:fill="auto"/>
            <w:noWrap/>
            <w:vAlign w:val="center"/>
            <w:hideMark/>
          </w:tcPr>
          <w:p w14:paraId="48B80D5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1" w:type="dxa"/>
            <w:tcBorders>
              <w:top w:val="single" w:sz="4" w:space="0" w:color="auto"/>
              <w:left w:val="nil"/>
              <w:right w:val="single" w:sz="4" w:space="0" w:color="auto"/>
            </w:tcBorders>
            <w:shd w:val="clear" w:color="auto" w:fill="auto"/>
            <w:noWrap/>
            <w:vAlign w:val="center"/>
            <w:hideMark/>
          </w:tcPr>
          <w:p w14:paraId="57E4265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8" w:type="dxa"/>
            <w:tcBorders>
              <w:top w:val="single" w:sz="4" w:space="0" w:color="auto"/>
              <w:left w:val="single" w:sz="4" w:space="0" w:color="auto"/>
              <w:right w:val="nil"/>
            </w:tcBorders>
            <w:shd w:val="clear" w:color="auto" w:fill="auto"/>
            <w:noWrap/>
            <w:vAlign w:val="center"/>
            <w:hideMark/>
          </w:tcPr>
          <w:p w14:paraId="66A05EE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right w:val="single" w:sz="4" w:space="0" w:color="auto"/>
            </w:tcBorders>
            <w:shd w:val="clear" w:color="auto" w:fill="auto"/>
            <w:noWrap/>
            <w:vAlign w:val="center"/>
            <w:hideMark/>
          </w:tcPr>
          <w:p w14:paraId="3165A8B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r>
      <w:tr w:rsidR="00C54BBB" w:rsidRPr="00BD7075" w14:paraId="7215E726" w14:textId="77777777" w:rsidTr="00E174C6">
        <w:trPr>
          <w:trHeight w:val="385"/>
          <w:jc w:val="center"/>
        </w:trPr>
        <w:tc>
          <w:tcPr>
            <w:tcW w:w="455" w:type="dxa"/>
            <w:vMerge/>
            <w:tcBorders>
              <w:left w:val="nil"/>
              <w:right w:val="nil"/>
            </w:tcBorders>
            <w:shd w:val="clear" w:color="auto" w:fill="E7E6E6" w:themeFill="background2"/>
          </w:tcPr>
          <w:p w14:paraId="05FC083C"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30D49DFF"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67BDFBF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7E77A1F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7</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4E8CA6B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04E59B2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777E99C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4EDE93B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4BD5389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DE87DF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6B34BA9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60E7924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2EE413E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675" w:type="dxa"/>
            <w:tcBorders>
              <w:top w:val="nil"/>
              <w:left w:val="nil"/>
              <w:bottom w:val="single" w:sz="4" w:space="0" w:color="auto"/>
              <w:right w:val="single" w:sz="4" w:space="0" w:color="auto"/>
            </w:tcBorders>
            <w:shd w:val="clear" w:color="auto" w:fill="E7E6E6" w:themeFill="background2"/>
            <w:noWrap/>
            <w:vAlign w:val="center"/>
            <w:hideMark/>
          </w:tcPr>
          <w:p w14:paraId="7EDC316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4</w:t>
            </w:r>
          </w:p>
        </w:tc>
        <w:tc>
          <w:tcPr>
            <w:tcW w:w="1360" w:type="dxa"/>
            <w:gridSpan w:val="2"/>
            <w:vMerge/>
            <w:tcBorders>
              <w:left w:val="single" w:sz="4" w:space="0" w:color="auto"/>
              <w:bottom w:val="single" w:sz="4" w:space="0" w:color="auto"/>
              <w:right w:val="single" w:sz="4" w:space="0" w:color="auto"/>
            </w:tcBorders>
            <w:shd w:val="clear" w:color="auto" w:fill="auto"/>
            <w:noWrap/>
            <w:vAlign w:val="center"/>
            <w:hideMark/>
          </w:tcPr>
          <w:p w14:paraId="6060F864" w14:textId="77777777" w:rsidR="00C54BBB" w:rsidRPr="00BD7075" w:rsidRDefault="00C54BBB" w:rsidP="00E174C6">
            <w:pPr>
              <w:spacing w:after="0" w:line="240" w:lineRule="auto"/>
              <w:jc w:val="center"/>
              <w:rPr>
                <w:rFonts w:ascii="Times" w:hAnsi="Times" w:cs="Times"/>
                <w:sz w:val="18"/>
                <w:szCs w:val="18"/>
              </w:rPr>
            </w:pPr>
          </w:p>
        </w:tc>
        <w:tc>
          <w:tcPr>
            <w:tcW w:w="679" w:type="dxa"/>
            <w:tcBorders>
              <w:top w:val="nil"/>
              <w:left w:val="single" w:sz="4" w:space="0" w:color="auto"/>
              <w:bottom w:val="single" w:sz="4" w:space="0" w:color="auto"/>
              <w:right w:val="nil"/>
            </w:tcBorders>
            <w:shd w:val="clear" w:color="auto" w:fill="auto"/>
            <w:noWrap/>
            <w:vAlign w:val="center"/>
            <w:hideMark/>
          </w:tcPr>
          <w:p w14:paraId="0325ED6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auto"/>
            <w:noWrap/>
            <w:vAlign w:val="center"/>
            <w:hideMark/>
          </w:tcPr>
          <w:p w14:paraId="6111FA9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9" w:type="dxa"/>
            <w:tcBorders>
              <w:top w:val="nil"/>
              <w:left w:val="single" w:sz="4" w:space="0" w:color="auto"/>
              <w:bottom w:val="single" w:sz="4" w:space="0" w:color="auto"/>
              <w:right w:val="nil"/>
            </w:tcBorders>
            <w:shd w:val="clear" w:color="auto" w:fill="auto"/>
            <w:noWrap/>
            <w:vAlign w:val="center"/>
            <w:hideMark/>
          </w:tcPr>
          <w:p w14:paraId="09C728B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81" w:type="dxa"/>
            <w:tcBorders>
              <w:top w:val="nil"/>
              <w:left w:val="nil"/>
              <w:bottom w:val="single" w:sz="4" w:space="0" w:color="auto"/>
              <w:right w:val="single" w:sz="4" w:space="0" w:color="auto"/>
            </w:tcBorders>
            <w:shd w:val="clear" w:color="auto" w:fill="auto"/>
            <w:noWrap/>
            <w:vAlign w:val="center"/>
            <w:hideMark/>
          </w:tcPr>
          <w:p w14:paraId="38726F6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8" w:type="dxa"/>
            <w:tcBorders>
              <w:top w:val="nil"/>
              <w:left w:val="single" w:sz="4" w:space="0" w:color="auto"/>
              <w:bottom w:val="single" w:sz="4" w:space="0" w:color="auto"/>
              <w:right w:val="nil"/>
            </w:tcBorders>
            <w:shd w:val="clear" w:color="auto" w:fill="auto"/>
            <w:noWrap/>
            <w:vAlign w:val="center"/>
            <w:hideMark/>
          </w:tcPr>
          <w:p w14:paraId="19291B6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left w:val="nil"/>
              <w:bottom w:val="single" w:sz="4" w:space="0" w:color="auto"/>
              <w:right w:val="single" w:sz="4" w:space="0" w:color="auto"/>
            </w:tcBorders>
            <w:shd w:val="clear" w:color="auto" w:fill="auto"/>
            <w:noWrap/>
            <w:vAlign w:val="center"/>
            <w:hideMark/>
          </w:tcPr>
          <w:p w14:paraId="590D662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r>
      <w:tr w:rsidR="00C54BBB" w:rsidRPr="00BD7075" w14:paraId="579A80D7" w14:textId="77777777" w:rsidTr="00E174C6">
        <w:trPr>
          <w:trHeight w:val="385"/>
          <w:jc w:val="center"/>
        </w:trPr>
        <w:tc>
          <w:tcPr>
            <w:tcW w:w="455" w:type="dxa"/>
            <w:vMerge/>
            <w:tcBorders>
              <w:left w:val="nil"/>
              <w:right w:val="nil"/>
            </w:tcBorders>
            <w:shd w:val="clear" w:color="auto" w:fill="E7E6E6" w:themeFill="background2"/>
          </w:tcPr>
          <w:p w14:paraId="4D5180FC"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single" w:sz="4" w:space="0" w:color="auto"/>
              <w:left w:val="nil"/>
              <w:right w:val="nil"/>
            </w:tcBorders>
            <w:shd w:val="clear" w:color="auto" w:fill="E7E6E6" w:themeFill="background2"/>
            <w:noWrap/>
            <w:vAlign w:val="center"/>
            <w:hideMark/>
          </w:tcPr>
          <w:p w14:paraId="4ACE17D7"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5F757A3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38DE1AB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3BB2F78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5BCEE03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2A7C869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single" w:sz="4" w:space="0" w:color="auto"/>
              <w:left w:val="nil"/>
              <w:right w:val="single" w:sz="4" w:space="0" w:color="auto"/>
            </w:tcBorders>
            <w:shd w:val="clear" w:color="auto" w:fill="E7E6E6" w:themeFill="background2"/>
            <w:noWrap/>
            <w:vAlign w:val="center"/>
            <w:hideMark/>
          </w:tcPr>
          <w:p w14:paraId="0643CB7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5" w:type="dxa"/>
            <w:tcBorders>
              <w:top w:val="single" w:sz="4" w:space="0" w:color="auto"/>
              <w:left w:val="single" w:sz="4" w:space="0" w:color="auto"/>
              <w:right w:val="nil"/>
            </w:tcBorders>
            <w:shd w:val="clear" w:color="auto" w:fill="E7E6E6" w:themeFill="background2"/>
            <w:noWrap/>
            <w:vAlign w:val="center"/>
            <w:hideMark/>
          </w:tcPr>
          <w:p w14:paraId="71E2273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0C075A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E7E6E6" w:themeFill="background2"/>
            <w:noWrap/>
            <w:vAlign w:val="center"/>
            <w:hideMark/>
          </w:tcPr>
          <w:p w14:paraId="112D5AE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140576D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14</w:t>
            </w:r>
          </w:p>
        </w:tc>
        <w:tc>
          <w:tcPr>
            <w:tcW w:w="674" w:type="dxa"/>
            <w:tcBorders>
              <w:top w:val="single" w:sz="4" w:space="0" w:color="auto"/>
              <w:left w:val="single" w:sz="4" w:space="0" w:color="auto"/>
              <w:right w:val="nil"/>
            </w:tcBorders>
            <w:shd w:val="clear" w:color="auto" w:fill="E7E6E6" w:themeFill="background2"/>
            <w:noWrap/>
            <w:vAlign w:val="center"/>
            <w:hideMark/>
          </w:tcPr>
          <w:p w14:paraId="30ADA41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single" w:sz="4" w:space="0" w:color="auto"/>
              <w:left w:val="nil"/>
              <w:right w:val="single" w:sz="4" w:space="0" w:color="auto"/>
            </w:tcBorders>
            <w:shd w:val="clear" w:color="auto" w:fill="E7E6E6" w:themeFill="background2"/>
            <w:noWrap/>
            <w:vAlign w:val="center"/>
            <w:hideMark/>
          </w:tcPr>
          <w:p w14:paraId="107C31B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9" w:type="dxa"/>
            <w:tcBorders>
              <w:top w:val="single" w:sz="4" w:space="0" w:color="auto"/>
              <w:left w:val="single" w:sz="4" w:space="0" w:color="auto"/>
              <w:right w:val="nil"/>
            </w:tcBorders>
            <w:shd w:val="clear" w:color="auto" w:fill="E7E6E6" w:themeFill="background2"/>
            <w:noWrap/>
            <w:vAlign w:val="center"/>
            <w:hideMark/>
          </w:tcPr>
          <w:p w14:paraId="078AFD0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E7E6E6" w:themeFill="background2"/>
            <w:noWrap/>
            <w:vAlign w:val="center"/>
            <w:hideMark/>
          </w:tcPr>
          <w:p w14:paraId="7A1A22C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135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57B50455"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REML</w:t>
            </w:r>
          </w:p>
          <w:p w14:paraId="56741B33"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DL+HKSJ</w:t>
            </w:r>
          </w:p>
        </w:tc>
        <w:tc>
          <w:tcPr>
            <w:tcW w:w="679" w:type="dxa"/>
            <w:tcBorders>
              <w:top w:val="single" w:sz="4" w:space="0" w:color="auto"/>
              <w:left w:val="single" w:sz="4" w:space="0" w:color="auto"/>
              <w:right w:val="nil"/>
            </w:tcBorders>
            <w:shd w:val="clear" w:color="auto" w:fill="auto"/>
            <w:noWrap/>
            <w:vAlign w:val="center"/>
            <w:hideMark/>
          </w:tcPr>
          <w:p w14:paraId="3F446A1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single" w:sz="4" w:space="0" w:color="auto"/>
              <w:left w:val="nil"/>
              <w:right w:val="single" w:sz="4" w:space="0" w:color="auto"/>
            </w:tcBorders>
            <w:shd w:val="clear" w:color="auto" w:fill="auto"/>
            <w:noWrap/>
            <w:vAlign w:val="center"/>
            <w:hideMark/>
          </w:tcPr>
          <w:p w14:paraId="3EA5CF4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8" w:type="dxa"/>
            <w:tcBorders>
              <w:top w:val="single" w:sz="4" w:space="0" w:color="auto"/>
              <w:left w:val="single" w:sz="4" w:space="0" w:color="auto"/>
              <w:right w:val="nil"/>
            </w:tcBorders>
            <w:shd w:val="clear" w:color="auto" w:fill="auto"/>
            <w:noWrap/>
            <w:vAlign w:val="center"/>
            <w:hideMark/>
          </w:tcPr>
          <w:p w14:paraId="7A0E1DC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right w:val="single" w:sz="4" w:space="0" w:color="auto"/>
            </w:tcBorders>
            <w:shd w:val="clear" w:color="auto" w:fill="auto"/>
            <w:noWrap/>
            <w:vAlign w:val="center"/>
            <w:hideMark/>
          </w:tcPr>
          <w:p w14:paraId="0A9A2C1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14</w:t>
            </w:r>
          </w:p>
        </w:tc>
      </w:tr>
      <w:tr w:rsidR="00C54BBB" w:rsidRPr="00BD7075" w14:paraId="7C399187" w14:textId="77777777" w:rsidTr="00E174C6">
        <w:trPr>
          <w:trHeight w:val="385"/>
          <w:jc w:val="center"/>
        </w:trPr>
        <w:tc>
          <w:tcPr>
            <w:tcW w:w="455" w:type="dxa"/>
            <w:vMerge/>
            <w:tcBorders>
              <w:left w:val="nil"/>
              <w:right w:val="nil"/>
            </w:tcBorders>
            <w:shd w:val="clear" w:color="auto" w:fill="E7E6E6" w:themeFill="background2"/>
          </w:tcPr>
          <w:p w14:paraId="5D4D9610"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0482DB7A"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2B2A8DD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1A91607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562F189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67CE29E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6B2A315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4CB4FB0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560F1C9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1CC815D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42FB665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19149F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7DCFF52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5" w:type="dxa"/>
            <w:tcBorders>
              <w:top w:val="nil"/>
              <w:left w:val="nil"/>
              <w:bottom w:val="single" w:sz="4" w:space="0" w:color="auto"/>
              <w:right w:val="single" w:sz="4" w:space="0" w:color="auto"/>
            </w:tcBorders>
            <w:shd w:val="clear" w:color="auto" w:fill="E7E6E6" w:themeFill="background2"/>
            <w:noWrap/>
            <w:vAlign w:val="center"/>
            <w:hideMark/>
          </w:tcPr>
          <w:p w14:paraId="2DFBCFC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305DCDC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nil"/>
              <w:left w:val="nil"/>
              <w:bottom w:val="single" w:sz="4" w:space="0" w:color="auto"/>
              <w:right w:val="single" w:sz="4" w:space="0" w:color="auto"/>
            </w:tcBorders>
            <w:shd w:val="clear" w:color="auto" w:fill="E7E6E6" w:themeFill="background2"/>
            <w:noWrap/>
            <w:vAlign w:val="center"/>
            <w:hideMark/>
          </w:tcPr>
          <w:p w14:paraId="19ACC4C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1359" w:type="dxa"/>
            <w:gridSpan w:val="2"/>
            <w:vMerge/>
            <w:tcBorders>
              <w:left w:val="single" w:sz="4" w:space="0" w:color="auto"/>
              <w:bottom w:val="single" w:sz="4" w:space="0" w:color="auto"/>
              <w:right w:val="single" w:sz="4" w:space="0" w:color="auto"/>
            </w:tcBorders>
            <w:shd w:val="clear" w:color="auto" w:fill="auto"/>
            <w:noWrap/>
            <w:vAlign w:val="center"/>
            <w:hideMark/>
          </w:tcPr>
          <w:p w14:paraId="1406E76F" w14:textId="77777777" w:rsidR="00C54BBB" w:rsidRPr="00BD7075" w:rsidRDefault="00C54BBB" w:rsidP="00E174C6">
            <w:pPr>
              <w:spacing w:after="0" w:line="240" w:lineRule="auto"/>
              <w:jc w:val="center"/>
              <w:rPr>
                <w:rFonts w:ascii="Times" w:hAnsi="Times" w:cs="Times"/>
                <w:sz w:val="18"/>
                <w:szCs w:val="18"/>
              </w:rPr>
            </w:pPr>
          </w:p>
        </w:tc>
        <w:tc>
          <w:tcPr>
            <w:tcW w:w="679" w:type="dxa"/>
            <w:tcBorders>
              <w:top w:val="nil"/>
              <w:left w:val="single" w:sz="4" w:space="0" w:color="auto"/>
              <w:bottom w:val="single" w:sz="4" w:space="0" w:color="auto"/>
              <w:right w:val="nil"/>
            </w:tcBorders>
            <w:shd w:val="clear" w:color="auto" w:fill="auto"/>
            <w:noWrap/>
            <w:vAlign w:val="center"/>
            <w:hideMark/>
          </w:tcPr>
          <w:p w14:paraId="67E9439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auto"/>
            <w:noWrap/>
            <w:vAlign w:val="center"/>
            <w:hideMark/>
          </w:tcPr>
          <w:p w14:paraId="7AD2255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8" w:type="dxa"/>
            <w:tcBorders>
              <w:top w:val="nil"/>
              <w:left w:val="single" w:sz="4" w:space="0" w:color="auto"/>
              <w:bottom w:val="single" w:sz="4" w:space="0" w:color="auto"/>
              <w:right w:val="nil"/>
            </w:tcBorders>
            <w:shd w:val="clear" w:color="auto" w:fill="auto"/>
            <w:noWrap/>
            <w:vAlign w:val="center"/>
            <w:hideMark/>
          </w:tcPr>
          <w:p w14:paraId="6AF014C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left w:val="nil"/>
              <w:bottom w:val="single" w:sz="4" w:space="0" w:color="auto"/>
              <w:right w:val="single" w:sz="4" w:space="0" w:color="auto"/>
            </w:tcBorders>
            <w:shd w:val="clear" w:color="auto" w:fill="auto"/>
            <w:noWrap/>
            <w:vAlign w:val="center"/>
            <w:hideMark/>
          </w:tcPr>
          <w:p w14:paraId="175A3F4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r>
      <w:tr w:rsidR="00C54BBB" w:rsidRPr="00BD7075" w14:paraId="0272C351" w14:textId="77777777" w:rsidTr="00E174C6">
        <w:trPr>
          <w:trHeight w:val="385"/>
          <w:jc w:val="center"/>
        </w:trPr>
        <w:tc>
          <w:tcPr>
            <w:tcW w:w="455" w:type="dxa"/>
            <w:vMerge/>
            <w:tcBorders>
              <w:left w:val="nil"/>
              <w:right w:val="nil"/>
            </w:tcBorders>
            <w:shd w:val="clear" w:color="auto" w:fill="E7E6E6" w:themeFill="background2"/>
          </w:tcPr>
          <w:p w14:paraId="4790DDFB"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single" w:sz="4" w:space="0" w:color="auto"/>
              <w:left w:val="nil"/>
              <w:right w:val="nil"/>
            </w:tcBorders>
            <w:shd w:val="clear" w:color="auto" w:fill="E7E6E6" w:themeFill="background2"/>
            <w:noWrap/>
            <w:vAlign w:val="center"/>
            <w:hideMark/>
          </w:tcPr>
          <w:p w14:paraId="1BA0BC6E"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00697E1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6A15E4D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64F8A1F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316B2A4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77417E3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single" w:sz="4" w:space="0" w:color="auto"/>
              <w:left w:val="nil"/>
              <w:right w:val="single" w:sz="4" w:space="0" w:color="auto"/>
            </w:tcBorders>
            <w:shd w:val="clear" w:color="auto" w:fill="E7E6E6" w:themeFill="background2"/>
            <w:noWrap/>
            <w:vAlign w:val="center"/>
            <w:hideMark/>
          </w:tcPr>
          <w:p w14:paraId="26940C6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5" w:type="dxa"/>
            <w:tcBorders>
              <w:top w:val="single" w:sz="4" w:space="0" w:color="auto"/>
              <w:left w:val="single" w:sz="4" w:space="0" w:color="auto"/>
              <w:right w:val="nil"/>
            </w:tcBorders>
            <w:shd w:val="clear" w:color="auto" w:fill="E7E6E6" w:themeFill="background2"/>
            <w:noWrap/>
            <w:vAlign w:val="center"/>
            <w:hideMark/>
          </w:tcPr>
          <w:p w14:paraId="18AD829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5377E89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E7E6E6" w:themeFill="background2"/>
            <w:noWrap/>
            <w:vAlign w:val="center"/>
            <w:hideMark/>
          </w:tcPr>
          <w:p w14:paraId="3A23E8B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6" w:type="dxa"/>
            <w:tcBorders>
              <w:top w:val="single" w:sz="4" w:space="0" w:color="auto"/>
              <w:left w:val="nil"/>
              <w:right w:val="single" w:sz="4" w:space="0" w:color="auto"/>
            </w:tcBorders>
            <w:shd w:val="clear" w:color="auto" w:fill="E7E6E6" w:themeFill="background2"/>
            <w:noWrap/>
            <w:vAlign w:val="center"/>
            <w:hideMark/>
          </w:tcPr>
          <w:p w14:paraId="0EA37CD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E7E6E6" w:themeFill="background2"/>
            <w:noWrap/>
            <w:vAlign w:val="center"/>
            <w:hideMark/>
          </w:tcPr>
          <w:p w14:paraId="30F9EF9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5" w:type="dxa"/>
            <w:tcBorders>
              <w:top w:val="single" w:sz="4" w:space="0" w:color="auto"/>
              <w:left w:val="nil"/>
              <w:right w:val="single" w:sz="4" w:space="0" w:color="auto"/>
            </w:tcBorders>
            <w:shd w:val="clear" w:color="auto" w:fill="E7E6E6" w:themeFill="background2"/>
            <w:noWrap/>
            <w:vAlign w:val="center"/>
            <w:hideMark/>
          </w:tcPr>
          <w:p w14:paraId="7F6974B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9</w:t>
            </w:r>
          </w:p>
        </w:tc>
        <w:tc>
          <w:tcPr>
            <w:tcW w:w="679" w:type="dxa"/>
            <w:tcBorders>
              <w:top w:val="single" w:sz="4" w:space="0" w:color="auto"/>
              <w:left w:val="single" w:sz="4" w:space="0" w:color="auto"/>
              <w:right w:val="nil"/>
            </w:tcBorders>
            <w:shd w:val="clear" w:color="auto" w:fill="E7E6E6" w:themeFill="background2"/>
            <w:noWrap/>
            <w:vAlign w:val="center"/>
            <w:hideMark/>
          </w:tcPr>
          <w:p w14:paraId="0BB013F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1" w:type="dxa"/>
            <w:tcBorders>
              <w:top w:val="single" w:sz="4" w:space="0" w:color="auto"/>
              <w:left w:val="nil"/>
              <w:right w:val="single" w:sz="4" w:space="0" w:color="auto"/>
            </w:tcBorders>
            <w:shd w:val="clear" w:color="auto" w:fill="E7E6E6" w:themeFill="background2"/>
            <w:noWrap/>
            <w:vAlign w:val="center"/>
            <w:hideMark/>
          </w:tcPr>
          <w:p w14:paraId="7CFA78B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9" w:type="dxa"/>
            <w:tcBorders>
              <w:top w:val="single" w:sz="4" w:space="0" w:color="auto"/>
              <w:left w:val="single" w:sz="4" w:space="0" w:color="auto"/>
              <w:right w:val="nil"/>
            </w:tcBorders>
            <w:shd w:val="clear" w:color="auto" w:fill="E7E6E6" w:themeFill="background2"/>
            <w:noWrap/>
            <w:vAlign w:val="center"/>
            <w:hideMark/>
          </w:tcPr>
          <w:p w14:paraId="2FF6E99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0" w:type="dxa"/>
            <w:tcBorders>
              <w:top w:val="single" w:sz="4" w:space="0" w:color="auto"/>
              <w:left w:val="nil"/>
              <w:right w:val="single" w:sz="4" w:space="0" w:color="auto"/>
            </w:tcBorders>
            <w:shd w:val="clear" w:color="auto" w:fill="E7E6E6" w:themeFill="background2"/>
            <w:noWrap/>
            <w:vAlign w:val="center"/>
            <w:hideMark/>
          </w:tcPr>
          <w:p w14:paraId="2E6C144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1360"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0353D4FF"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REML</w:t>
            </w:r>
          </w:p>
          <w:p w14:paraId="421EFA40" w14:textId="77777777" w:rsidR="00C54BBB" w:rsidRPr="00BD7075" w:rsidRDefault="00C54BBB" w:rsidP="00E174C6">
            <w:pPr>
              <w:spacing w:after="0" w:line="240" w:lineRule="auto"/>
              <w:jc w:val="center"/>
              <w:rPr>
                <w:rFonts w:ascii="Times" w:hAnsi="Times" w:cs="Times"/>
                <w:sz w:val="18"/>
                <w:szCs w:val="18"/>
              </w:rPr>
            </w:pPr>
            <w:r w:rsidRPr="004724D8">
              <w:rPr>
                <w:rFonts w:ascii="Times" w:hAnsi="Times" w:cs="Times"/>
                <w:b/>
                <w:bCs/>
                <w:sz w:val="18"/>
                <w:szCs w:val="18"/>
              </w:rPr>
              <w:t>REML+WT</w:t>
            </w:r>
          </w:p>
        </w:tc>
        <w:tc>
          <w:tcPr>
            <w:tcW w:w="678" w:type="dxa"/>
            <w:tcBorders>
              <w:top w:val="single" w:sz="4" w:space="0" w:color="auto"/>
              <w:left w:val="single" w:sz="4" w:space="0" w:color="auto"/>
              <w:right w:val="nil"/>
            </w:tcBorders>
            <w:shd w:val="clear" w:color="auto" w:fill="auto"/>
            <w:noWrap/>
            <w:vAlign w:val="center"/>
            <w:hideMark/>
          </w:tcPr>
          <w:p w14:paraId="39734B4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171B03F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r>
      <w:tr w:rsidR="00C54BBB" w:rsidRPr="00BD7075" w14:paraId="45A88C10" w14:textId="77777777" w:rsidTr="00E174C6">
        <w:trPr>
          <w:trHeight w:val="385"/>
          <w:jc w:val="center"/>
        </w:trPr>
        <w:tc>
          <w:tcPr>
            <w:tcW w:w="455" w:type="dxa"/>
            <w:vMerge/>
            <w:tcBorders>
              <w:left w:val="nil"/>
              <w:right w:val="nil"/>
            </w:tcBorders>
            <w:shd w:val="clear" w:color="auto" w:fill="E7E6E6" w:themeFill="background2"/>
          </w:tcPr>
          <w:p w14:paraId="07BBA597"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44CC36F3"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6964CF5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5B746EE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1CCEF29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A3CD1C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1A47EFF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54CCE30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532EE57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9255F6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39CA624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24288EB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42F8BFC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nil"/>
              <w:bottom w:val="single" w:sz="4" w:space="0" w:color="auto"/>
              <w:right w:val="single" w:sz="4" w:space="0" w:color="auto"/>
            </w:tcBorders>
            <w:shd w:val="clear" w:color="auto" w:fill="E7E6E6" w:themeFill="background2"/>
            <w:noWrap/>
            <w:vAlign w:val="center"/>
            <w:hideMark/>
          </w:tcPr>
          <w:p w14:paraId="5BE2FED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5</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2E56DF5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1" w:type="dxa"/>
            <w:tcBorders>
              <w:top w:val="nil"/>
              <w:left w:val="nil"/>
              <w:bottom w:val="single" w:sz="4" w:space="0" w:color="auto"/>
              <w:right w:val="single" w:sz="4" w:space="0" w:color="auto"/>
            </w:tcBorders>
            <w:shd w:val="clear" w:color="auto" w:fill="E7E6E6" w:themeFill="background2"/>
            <w:noWrap/>
            <w:vAlign w:val="center"/>
            <w:hideMark/>
          </w:tcPr>
          <w:p w14:paraId="55C1C0C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050E4FE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0" w:type="dxa"/>
            <w:tcBorders>
              <w:top w:val="nil"/>
              <w:left w:val="nil"/>
              <w:bottom w:val="single" w:sz="4" w:space="0" w:color="auto"/>
              <w:right w:val="single" w:sz="4" w:space="0" w:color="auto"/>
            </w:tcBorders>
            <w:shd w:val="clear" w:color="auto" w:fill="E7E6E6" w:themeFill="background2"/>
            <w:noWrap/>
            <w:vAlign w:val="center"/>
            <w:hideMark/>
          </w:tcPr>
          <w:p w14:paraId="111C9CE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1360" w:type="dxa"/>
            <w:gridSpan w:val="2"/>
            <w:vMerge/>
            <w:tcBorders>
              <w:left w:val="single" w:sz="4" w:space="0" w:color="auto"/>
              <w:bottom w:val="single" w:sz="4" w:space="0" w:color="auto"/>
              <w:right w:val="single" w:sz="4" w:space="0" w:color="auto"/>
            </w:tcBorders>
            <w:shd w:val="clear" w:color="auto" w:fill="auto"/>
            <w:noWrap/>
            <w:vAlign w:val="center"/>
            <w:hideMark/>
          </w:tcPr>
          <w:p w14:paraId="11BB0130" w14:textId="77777777" w:rsidR="00C54BBB" w:rsidRPr="00BD7075" w:rsidRDefault="00C54BBB" w:rsidP="00E174C6">
            <w:pPr>
              <w:spacing w:after="0" w:line="240" w:lineRule="auto"/>
              <w:jc w:val="center"/>
              <w:rPr>
                <w:rFonts w:ascii="Times" w:hAnsi="Times" w:cs="Times"/>
                <w:sz w:val="18"/>
                <w:szCs w:val="18"/>
              </w:rPr>
            </w:pPr>
          </w:p>
        </w:tc>
        <w:tc>
          <w:tcPr>
            <w:tcW w:w="678" w:type="dxa"/>
            <w:tcBorders>
              <w:top w:val="nil"/>
              <w:left w:val="single" w:sz="4" w:space="0" w:color="auto"/>
              <w:bottom w:val="single" w:sz="4" w:space="0" w:color="auto"/>
              <w:right w:val="nil"/>
            </w:tcBorders>
            <w:shd w:val="clear" w:color="auto" w:fill="auto"/>
            <w:noWrap/>
            <w:vAlign w:val="center"/>
            <w:hideMark/>
          </w:tcPr>
          <w:p w14:paraId="4E2950A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714" w:type="dxa"/>
            <w:tcBorders>
              <w:top w:val="nil"/>
              <w:left w:val="nil"/>
              <w:bottom w:val="single" w:sz="4" w:space="0" w:color="auto"/>
              <w:right w:val="single" w:sz="4" w:space="0" w:color="auto"/>
            </w:tcBorders>
            <w:shd w:val="clear" w:color="auto" w:fill="auto"/>
            <w:noWrap/>
            <w:vAlign w:val="center"/>
            <w:hideMark/>
          </w:tcPr>
          <w:p w14:paraId="2208C63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r>
      <w:tr w:rsidR="00C54BBB" w:rsidRPr="00BD7075" w14:paraId="6637DCE1" w14:textId="77777777" w:rsidTr="00E174C6">
        <w:trPr>
          <w:trHeight w:val="385"/>
          <w:jc w:val="center"/>
        </w:trPr>
        <w:tc>
          <w:tcPr>
            <w:tcW w:w="455" w:type="dxa"/>
            <w:vMerge/>
            <w:tcBorders>
              <w:left w:val="nil"/>
              <w:right w:val="nil"/>
            </w:tcBorders>
            <w:shd w:val="clear" w:color="auto" w:fill="E7E6E6" w:themeFill="background2"/>
          </w:tcPr>
          <w:p w14:paraId="6E120D1D"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single" w:sz="4" w:space="0" w:color="auto"/>
              <w:left w:val="nil"/>
              <w:right w:val="nil"/>
            </w:tcBorders>
            <w:shd w:val="clear" w:color="auto" w:fill="E7E6E6" w:themeFill="background2"/>
            <w:noWrap/>
            <w:vAlign w:val="center"/>
            <w:hideMark/>
          </w:tcPr>
          <w:p w14:paraId="458E006E"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p≥0.05</w:t>
            </w:r>
          </w:p>
        </w:tc>
        <w:tc>
          <w:tcPr>
            <w:tcW w:w="672" w:type="dxa"/>
            <w:tcBorders>
              <w:top w:val="single" w:sz="4" w:space="0" w:color="auto"/>
              <w:left w:val="nil"/>
              <w:right w:val="nil"/>
            </w:tcBorders>
            <w:shd w:val="clear" w:color="auto" w:fill="E7E6E6" w:themeFill="background2"/>
            <w:noWrap/>
            <w:vAlign w:val="center"/>
            <w:hideMark/>
          </w:tcPr>
          <w:p w14:paraId="73B34F3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3" w:type="dxa"/>
            <w:tcBorders>
              <w:top w:val="single" w:sz="4" w:space="0" w:color="auto"/>
              <w:left w:val="nil"/>
              <w:right w:val="single" w:sz="4" w:space="0" w:color="auto"/>
            </w:tcBorders>
            <w:shd w:val="clear" w:color="auto" w:fill="E7E6E6" w:themeFill="background2"/>
            <w:noWrap/>
            <w:vAlign w:val="center"/>
            <w:hideMark/>
          </w:tcPr>
          <w:p w14:paraId="40F2768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5" w:type="dxa"/>
            <w:tcBorders>
              <w:top w:val="single" w:sz="4" w:space="0" w:color="auto"/>
              <w:left w:val="single" w:sz="4" w:space="0" w:color="auto"/>
              <w:right w:val="nil"/>
            </w:tcBorders>
            <w:shd w:val="clear" w:color="auto" w:fill="E7E6E6" w:themeFill="background2"/>
            <w:noWrap/>
            <w:vAlign w:val="center"/>
            <w:hideMark/>
          </w:tcPr>
          <w:p w14:paraId="30B9DD9B"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65773E8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11</w:t>
            </w:r>
          </w:p>
        </w:tc>
        <w:tc>
          <w:tcPr>
            <w:tcW w:w="675" w:type="dxa"/>
            <w:tcBorders>
              <w:top w:val="single" w:sz="4" w:space="0" w:color="auto"/>
              <w:left w:val="single" w:sz="4" w:space="0" w:color="auto"/>
              <w:right w:val="nil"/>
            </w:tcBorders>
            <w:shd w:val="clear" w:color="auto" w:fill="E7E6E6" w:themeFill="background2"/>
            <w:noWrap/>
            <w:vAlign w:val="center"/>
            <w:hideMark/>
          </w:tcPr>
          <w:p w14:paraId="2AA5A15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single" w:sz="4" w:space="0" w:color="auto"/>
              <w:left w:val="nil"/>
              <w:right w:val="single" w:sz="4" w:space="0" w:color="auto"/>
            </w:tcBorders>
            <w:shd w:val="clear" w:color="auto" w:fill="E7E6E6" w:themeFill="background2"/>
            <w:noWrap/>
            <w:vAlign w:val="center"/>
            <w:hideMark/>
          </w:tcPr>
          <w:p w14:paraId="2F2C906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5" w:type="dxa"/>
            <w:tcBorders>
              <w:top w:val="single" w:sz="4" w:space="0" w:color="auto"/>
              <w:left w:val="single" w:sz="4" w:space="0" w:color="auto"/>
              <w:right w:val="nil"/>
            </w:tcBorders>
            <w:shd w:val="clear" w:color="auto" w:fill="E7E6E6" w:themeFill="background2"/>
            <w:noWrap/>
            <w:vAlign w:val="center"/>
            <w:hideMark/>
          </w:tcPr>
          <w:p w14:paraId="5BAD9A6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2E098ECE"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674" w:type="dxa"/>
            <w:tcBorders>
              <w:top w:val="single" w:sz="4" w:space="0" w:color="auto"/>
              <w:left w:val="single" w:sz="4" w:space="0" w:color="auto"/>
              <w:right w:val="nil"/>
            </w:tcBorders>
            <w:shd w:val="clear" w:color="auto" w:fill="E7E6E6" w:themeFill="background2"/>
            <w:noWrap/>
            <w:vAlign w:val="center"/>
            <w:hideMark/>
          </w:tcPr>
          <w:p w14:paraId="3FB8347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6" w:type="dxa"/>
            <w:tcBorders>
              <w:top w:val="single" w:sz="4" w:space="0" w:color="auto"/>
              <w:left w:val="nil"/>
              <w:right w:val="single" w:sz="4" w:space="0" w:color="auto"/>
            </w:tcBorders>
            <w:shd w:val="clear" w:color="auto" w:fill="E7E6E6" w:themeFill="background2"/>
            <w:noWrap/>
            <w:vAlign w:val="center"/>
            <w:hideMark/>
          </w:tcPr>
          <w:p w14:paraId="18C101C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14</w:t>
            </w:r>
          </w:p>
        </w:tc>
        <w:tc>
          <w:tcPr>
            <w:tcW w:w="674" w:type="dxa"/>
            <w:tcBorders>
              <w:top w:val="single" w:sz="4" w:space="0" w:color="auto"/>
              <w:left w:val="single" w:sz="4" w:space="0" w:color="auto"/>
              <w:right w:val="nil"/>
            </w:tcBorders>
            <w:shd w:val="clear" w:color="auto" w:fill="E7E6E6" w:themeFill="background2"/>
            <w:noWrap/>
            <w:vAlign w:val="center"/>
            <w:hideMark/>
          </w:tcPr>
          <w:p w14:paraId="3F6E45F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single" w:sz="4" w:space="0" w:color="auto"/>
              <w:left w:val="nil"/>
              <w:right w:val="single" w:sz="4" w:space="0" w:color="auto"/>
            </w:tcBorders>
            <w:shd w:val="clear" w:color="auto" w:fill="E7E6E6" w:themeFill="background2"/>
            <w:noWrap/>
            <w:vAlign w:val="center"/>
            <w:hideMark/>
          </w:tcPr>
          <w:p w14:paraId="047F460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9" w:type="dxa"/>
            <w:tcBorders>
              <w:top w:val="single" w:sz="4" w:space="0" w:color="auto"/>
              <w:left w:val="single" w:sz="4" w:space="0" w:color="auto"/>
              <w:right w:val="nil"/>
            </w:tcBorders>
            <w:shd w:val="clear" w:color="auto" w:fill="E7E6E6" w:themeFill="background2"/>
            <w:noWrap/>
            <w:vAlign w:val="center"/>
            <w:hideMark/>
          </w:tcPr>
          <w:p w14:paraId="21ADB1C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E7E6E6" w:themeFill="background2"/>
            <w:noWrap/>
            <w:vAlign w:val="center"/>
            <w:hideMark/>
          </w:tcPr>
          <w:p w14:paraId="1F8A5DE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12</w:t>
            </w:r>
          </w:p>
        </w:tc>
        <w:tc>
          <w:tcPr>
            <w:tcW w:w="679" w:type="dxa"/>
            <w:tcBorders>
              <w:top w:val="single" w:sz="4" w:space="0" w:color="auto"/>
              <w:left w:val="single" w:sz="4" w:space="0" w:color="auto"/>
              <w:right w:val="nil"/>
            </w:tcBorders>
            <w:shd w:val="clear" w:color="auto" w:fill="E7E6E6" w:themeFill="background2"/>
            <w:noWrap/>
            <w:vAlign w:val="center"/>
            <w:hideMark/>
          </w:tcPr>
          <w:p w14:paraId="1A41911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80" w:type="dxa"/>
            <w:tcBorders>
              <w:top w:val="single" w:sz="4" w:space="0" w:color="auto"/>
              <w:left w:val="nil"/>
              <w:right w:val="single" w:sz="4" w:space="0" w:color="auto"/>
            </w:tcBorders>
            <w:shd w:val="clear" w:color="auto" w:fill="E7E6E6" w:themeFill="background2"/>
            <w:noWrap/>
            <w:vAlign w:val="center"/>
            <w:hideMark/>
          </w:tcPr>
          <w:p w14:paraId="6067998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14</w:t>
            </w:r>
          </w:p>
        </w:tc>
        <w:tc>
          <w:tcPr>
            <w:tcW w:w="679" w:type="dxa"/>
            <w:tcBorders>
              <w:top w:val="single" w:sz="4" w:space="0" w:color="auto"/>
              <w:left w:val="single" w:sz="4" w:space="0" w:color="auto"/>
              <w:right w:val="nil"/>
            </w:tcBorders>
            <w:shd w:val="clear" w:color="auto" w:fill="E7E6E6" w:themeFill="background2"/>
            <w:noWrap/>
            <w:vAlign w:val="center"/>
            <w:hideMark/>
          </w:tcPr>
          <w:p w14:paraId="017909F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81" w:type="dxa"/>
            <w:tcBorders>
              <w:top w:val="single" w:sz="4" w:space="0" w:color="auto"/>
              <w:left w:val="nil"/>
              <w:right w:val="single" w:sz="4" w:space="0" w:color="auto"/>
            </w:tcBorders>
            <w:shd w:val="clear" w:color="auto" w:fill="E7E6E6" w:themeFill="background2"/>
            <w:noWrap/>
            <w:vAlign w:val="center"/>
            <w:hideMark/>
          </w:tcPr>
          <w:p w14:paraId="1B80E8C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13</w:t>
            </w:r>
          </w:p>
        </w:tc>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E16A5" w14:textId="77777777" w:rsidR="00C54BBB" w:rsidRDefault="00C54BBB" w:rsidP="00E174C6">
            <w:pPr>
              <w:spacing w:after="0" w:line="240" w:lineRule="auto"/>
              <w:jc w:val="center"/>
              <w:rPr>
                <w:rFonts w:ascii="Times" w:hAnsi="Times" w:cs="Times"/>
                <w:b/>
                <w:bCs/>
                <w:sz w:val="18"/>
                <w:szCs w:val="18"/>
              </w:rPr>
            </w:pPr>
            <w:r>
              <w:rPr>
                <w:rFonts w:ascii="Times" w:hAnsi="Times" w:cs="Times"/>
                <w:b/>
                <w:bCs/>
                <w:sz w:val="18"/>
                <w:szCs w:val="18"/>
              </w:rPr>
              <w:t>REML</w:t>
            </w:r>
          </w:p>
          <w:p w14:paraId="096797D1" w14:textId="77777777" w:rsidR="00C54BBB" w:rsidRPr="00BD7075" w:rsidRDefault="00C54BBB" w:rsidP="00E174C6">
            <w:pPr>
              <w:spacing w:after="0" w:line="240" w:lineRule="auto"/>
              <w:jc w:val="center"/>
              <w:rPr>
                <w:rFonts w:ascii="Times" w:hAnsi="Times" w:cs="Times"/>
                <w:b/>
                <w:bCs/>
                <w:sz w:val="18"/>
                <w:szCs w:val="18"/>
              </w:rPr>
            </w:pPr>
            <w:r w:rsidRPr="004724D8">
              <w:rPr>
                <w:rFonts w:ascii="Times" w:hAnsi="Times" w:cs="Times"/>
                <w:b/>
                <w:bCs/>
                <w:sz w:val="18"/>
                <w:szCs w:val="18"/>
              </w:rPr>
              <w:t>REML+HKSJ</w:t>
            </w:r>
          </w:p>
        </w:tc>
      </w:tr>
      <w:tr w:rsidR="00C54BBB" w:rsidRPr="00BD7075" w14:paraId="551C5E54" w14:textId="77777777" w:rsidTr="00E174C6">
        <w:trPr>
          <w:trHeight w:val="385"/>
          <w:jc w:val="center"/>
        </w:trPr>
        <w:tc>
          <w:tcPr>
            <w:tcW w:w="455" w:type="dxa"/>
            <w:vMerge/>
            <w:tcBorders>
              <w:left w:val="nil"/>
              <w:bottom w:val="nil"/>
              <w:right w:val="nil"/>
            </w:tcBorders>
            <w:shd w:val="clear" w:color="auto" w:fill="E7E6E6" w:themeFill="background2"/>
          </w:tcPr>
          <w:p w14:paraId="0821872C" w14:textId="77777777" w:rsidR="00C54BBB" w:rsidRPr="00BD7075" w:rsidRDefault="00C54BBB" w:rsidP="00E174C6">
            <w:pPr>
              <w:spacing w:after="0" w:line="240" w:lineRule="auto"/>
              <w:jc w:val="center"/>
              <w:rPr>
                <w:rFonts w:ascii="Times" w:hAnsi="Times" w:cs="Times"/>
                <w:sz w:val="18"/>
                <w:szCs w:val="18"/>
              </w:rPr>
            </w:pPr>
          </w:p>
        </w:tc>
        <w:tc>
          <w:tcPr>
            <w:tcW w:w="863" w:type="dxa"/>
            <w:tcBorders>
              <w:top w:val="nil"/>
              <w:left w:val="nil"/>
              <w:bottom w:val="single" w:sz="4" w:space="0" w:color="auto"/>
              <w:right w:val="nil"/>
            </w:tcBorders>
            <w:shd w:val="clear" w:color="auto" w:fill="E7E6E6" w:themeFill="background2"/>
            <w:noWrap/>
            <w:vAlign w:val="center"/>
            <w:hideMark/>
          </w:tcPr>
          <w:p w14:paraId="094B57E3" w14:textId="77777777" w:rsidR="00C54BBB" w:rsidRPr="00BD7075" w:rsidRDefault="00C54BBB" w:rsidP="00E174C6">
            <w:pPr>
              <w:spacing w:after="0" w:line="240" w:lineRule="auto"/>
              <w:jc w:val="center"/>
              <w:rPr>
                <w:rFonts w:ascii="Times" w:hAnsi="Times" w:cs="Times"/>
                <w:sz w:val="18"/>
                <w:szCs w:val="18"/>
              </w:rPr>
            </w:pPr>
            <w:r w:rsidRPr="00BD7075">
              <w:rPr>
                <w:rFonts w:ascii="Times" w:hAnsi="Times" w:cs="Times"/>
                <w:sz w:val="18"/>
                <w:szCs w:val="18"/>
              </w:rPr>
              <w:t>p&lt;0.05</w:t>
            </w:r>
          </w:p>
        </w:tc>
        <w:tc>
          <w:tcPr>
            <w:tcW w:w="672" w:type="dxa"/>
            <w:tcBorders>
              <w:top w:val="nil"/>
              <w:left w:val="nil"/>
              <w:bottom w:val="single" w:sz="4" w:space="0" w:color="auto"/>
              <w:right w:val="nil"/>
            </w:tcBorders>
            <w:shd w:val="clear" w:color="auto" w:fill="E7E6E6" w:themeFill="background2"/>
            <w:noWrap/>
            <w:vAlign w:val="center"/>
            <w:hideMark/>
          </w:tcPr>
          <w:p w14:paraId="2A775C1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3" w:type="dxa"/>
            <w:tcBorders>
              <w:top w:val="nil"/>
              <w:left w:val="nil"/>
              <w:bottom w:val="single" w:sz="4" w:space="0" w:color="auto"/>
              <w:right w:val="single" w:sz="4" w:space="0" w:color="auto"/>
            </w:tcBorders>
            <w:shd w:val="clear" w:color="auto" w:fill="E7E6E6" w:themeFill="background2"/>
            <w:noWrap/>
            <w:vAlign w:val="center"/>
            <w:hideMark/>
          </w:tcPr>
          <w:p w14:paraId="40146972"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8</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6A1E0FC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1E4F5B0C"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65649F78"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4" w:type="dxa"/>
            <w:tcBorders>
              <w:top w:val="nil"/>
              <w:left w:val="nil"/>
              <w:bottom w:val="single" w:sz="4" w:space="0" w:color="auto"/>
              <w:right w:val="single" w:sz="4" w:space="0" w:color="auto"/>
            </w:tcBorders>
            <w:shd w:val="clear" w:color="auto" w:fill="E7E6E6" w:themeFill="background2"/>
            <w:noWrap/>
            <w:vAlign w:val="center"/>
            <w:hideMark/>
          </w:tcPr>
          <w:p w14:paraId="60469CB4"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5" w:type="dxa"/>
            <w:tcBorders>
              <w:top w:val="nil"/>
              <w:left w:val="single" w:sz="4" w:space="0" w:color="auto"/>
              <w:bottom w:val="single" w:sz="4" w:space="0" w:color="auto"/>
              <w:right w:val="nil"/>
            </w:tcBorders>
            <w:shd w:val="clear" w:color="auto" w:fill="E7E6E6" w:themeFill="background2"/>
            <w:noWrap/>
            <w:vAlign w:val="center"/>
            <w:hideMark/>
          </w:tcPr>
          <w:p w14:paraId="0FF684A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7F4AC2C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721FC953"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76" w:type="dxa"/>
            <w:tcBorders>
              <w:top w:val="nil"/>
              <w:left w:val="nil"/>
              <w:bottom w:val="single" w:sz="4" w:space="0" w:color="auto"/>
              <w:right w:val="single" w:sz="4" w:space="0" w:color="auto"/>
            </w:tcBorders>
            <w:shd w:val="clear" w:color="auto" w:fill="E7E6E6" w:themeFill="background2"/>
            <w:noWrap/>
            <w:vAlign w:val="center"/>
            <w:hideMark/>
          </w:tcPr>
          <w:p w14:paraId="487B5E6D"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4" w:type="dxa"/>
            <w:tcBorders>
              <w:top w:val="nil"/>
              <w:left w:val="single" w:sz="4" w:space="0" w:color="auto"/>
              <w:bottom w:val="single" w:sz="4" w:space="0" w:color="auto"/>
              <w:right w:val="nil"/>
            </w:tcBorders>
            <w:shd w:val="clear" w:color="auto" w:fill="E7E6E6" w:themeFill="background2"/>
            <w:noWrap/>
            <w:vAlign w:val="center"/>
            <w:hideMark/>
          </w:tcPr>
          <w:p w14:paraId="3FE25D61"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5" w:type="dxa"/>
            <w:tcBorders>
              <w:top w:val="nil"/>
              <w:left w:val="nil"/>
              <w:bottom w:val="single" w:sz="4" w:space="0" w:color="auto"/>
              <w:right w:val="single" w:sz="4" w:space="0" w:color="auto"/>
            </w:tcBorders>
            <w:shd w:val="clear" w:color="auto" w:fill="E7E6E6" w:themeFill="background2"/>
            <w:noWrap/>
            <w:vAlign w:val="center"/>
            <w:hideMark/>
          </w:tcPr>
          <w:p w14:paraId="6A252DA6"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6</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2F552A39"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nil"/>
              <w:left w:val="nil"/>
              <w:bottom w:val="single" w:sz="4" w:space="0" w:color="auto"/>
              <w:right w:val="single" w:sz="4" w:space="0" w:color="auto"/>
            </w:tcBorders>
            <w:shd w:val="clear" w:color="auto" w:fill="E7E6E6" w:themeFill="background2"/>
            <w:noWrap/>
            <w:vAlign w:val="center"/>
            <w:hideMark/>
          </w:tcPr>
          <w:p w14:paraId="71419C47"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7D154C3F"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3</w:t>
            </w:r>
          </w:p>
        </w:tc>
        <w:tc>
          <w:tcPr>
            <w:tcW w:w="680" w:type="dxa"/>
            <w:tcBorders>
              <w:top w:val="nil"/>
              <w:left w:val="nil"/>
              <w:bottom w:val="single" w:sz="4" w:space="0" w:color="auto"/>
              <w:right w:val="single" w:sz="4" w:space="0" w:color="auto"/>
            </w:tcBorders>
            <w:shd w:val="clear" w:color="auto" w:fill="E7E6E6" w:themeFill="background2"/>
            <w:noWrap/>
            <w:vAlign w:val="center"/>
            <w:hideMark/>
          </w:tcPr>
          <w:p w14:paraId="351B01DA"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0</w:t>
            </w:r>
          </w:p>
        </w:tc>
        <w:tc>
          <w:tcPr>
            <w:tcW w:w="679" w:type="dxa"/>
            <w:tcBorders>
              <w:top w:val="nil"/>
              <w:left w:val="single" w:sz="4" w:space="0" w:color="auto"/>
              <w:bottom w:val="single" w:sz="4" w:space="0" w:color="auto"/>
              <w:right w:val="nil"/>
            </w:tcBorders>
            <w:shd w:val="clear" w:color="auto" w:fill="E7E6E6" w:themeFill="background2"/>
            <w:noWrap/>
            <w:vAlign w:val="center"/>
            <w:hideMark/>
          </w:tcPr>
          <w:p w14:paraId="6822D080"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2</w:t>
            </w:r>
          </w:p>
        </w:tc>
        <w:tc>
          <w:tcPr>
            <w:tcW w:w="681" w:type="dxa"/>
            <w:tcBorders>
              <w:top w:val="nil"/>
              <w:left w:val="nil"/>
              <w:bottom w:val="single" w:sz="4" w:space="0" w:color="auto"/>
              <w:right w:val="single" w:sz="4" w:space="0" w:color="auto"/>
            </w:tcBorders>
            <w:shd w:val="clear" w:color="auto" w:fill="E7E6E6" w:themeFill="background2"/>
            <w:noWrap/>
            <w:vAlign w:val="center"/>
            <w:hideMark/>
          </w:tcPr>
          <w:p w14:paraId="1AA5A335" w14:textId="77777777" w:rsidR="00C54BBB" w:rsidRPr="00BD7075" w:rsidRDefault="00C54BBB" w:rsidP="00E174C6">
            <w:pPr>
              <w:spacing w:after="0" w:line="240" w:lineRule="auto"/>
              <w:jc w:val="center"/>
              <w:rPr>
                <w:rFonts w:ascii="Times" w:hAnsi="Times" w:cs="Times"/>
                <w:sz w:val="18"/>
                <w:szCs w:val="18"/>
              </w:rPr>
            </w:pPr>
            <w:r w:rsidRPr="00FD0E97">
              <w:rPr>
                <w:rFonts w:ascii="Times" w:hAnsi="Times" w:cs="Times"/>
                <w:sz w:val="18"/>
                <w:szCs w:val="18"/>
              </w:rPr>
              <w:t>1</w:t>
            </w:r>
          </w:p>
        </w:tc>
        <w:tc>
          <w:tcPr>
            <w:tcW w:w="1392" w:type="dxa"/>
            <w:gridSpan w:val="2"/>
            <w:vMerge/>
            <w:tcBorders>
              <w:left w:val="single" w:sz="4" w:space="0" w:color="auto"/>
              <w:bottom w:val="single" w:sz="4" w:space="0" w:color="auto"/>
              <w:right w:val="single" w:sz="4" w:space="0" w:color="auto"/>
            </w:tcBorders>
            <w:shd w:val="clear" w:color="auto" w:fill="auto"/>
            <w:noWrap/>
            <w:vAlign w:val="center"/>
            <w:hideMark/>
          </w:tcPr>
          <w:p w14:paraId="5F72E086" w14:textId="77777777" w:rsidR="00C54BBB" w:rsidRPr="00BD7075" w:rsidRDefault="00C54BBB" w:rsidP="00E174C6">
            <w:pPr>
              <w:spacing w:after="0" w:line="240" w:lineRule="auto"/>
              <w:jc w:val="center"/>
              <w:rPr>
                <w:rFonts w:ascii="Times" w:hAnsi="Times" w:cs="Times"/>
                <w:sz w:val="18"/>
                <w:szCs w:val="18"/>
              </w:rPr>
            </w:pPr>
          </w:p>
        </w:tc>
      </w:tr>
      <w:tr w:rsidR="00C54BBB" w:rsidRPr="00BD7075" w14:paraId="214AAB3B" w14:textId="77777777" w:rsidTr="00E174C6">
        <w:trPr>
          <w:trHeight w:val="385"/>
          <w:jc w:val="center"/>
        </w:trPr>
        <w:tc>
          <w:tcPr>
            <w:tcW w:w="14884" w:type="dxa"/>
            <w:gridSpan w:val="22"/>
            <w:tcBorders>
              <w:left w:val="nil"/>
              <w:bottom w:val="nil"/>
              <w:right w:val="nil"/>
            </w:tcBorders>
            <w:vAlign w:val="center"/>
          </w:tcPr>
          <w:p w14:paraId="3C5B9AB3" w14:textId="77777777" w:rsidR="00C54BBB" w:rsidRPr="00BD7075" w:rsidRDefault="00C54BBB" w:rsidP="00E174C6">
            <w:pPr>
              <w:spacing w:after="0" w:line="240" w:lineRule="auto"/>
              <w:rPr>
                <w:rFonts w:ascii="Times" w:hAnsi="Times" w:cs="Times"/>
                <w:sz w:val="18"/>
                <w:szCs w:val="18"/>
              </w:rPr>
            </w:pPr>
            <w:r w:rsidRPr="00852AEE">
              <w:rPr>
                <w:rFonts w:ascii="Times" w:hAnsi="Times" w:cs="Times"/>
                <w:sz w:val="18"/>
                <w:szCs w:val="18"/>
              </w:rPr>
              <w:t>DL, DerSimonian and Laird. HKSJ, Hartung-Knapp / Sidik-Jonkman. ITS, interrupted time series. OLS, ordinary least squares. REML, restricted maximum likelihood. WT, Wald-type.</w:t>
            </w:r>
          </w:p>
        </w:tc>
      </w:tr>
      <w:bookmarkEnd w:id="9"/>
    </w:tbl>
    <w:p w14:paraId="4897C6FB" w14:textId="77777777" w:rsidR="00C54BBB" w:rsidRPr="00D96847" w:rsidRDefault="00C54BBB" w:rsidP="002C71CC">
      <w:pPr>
        <w:rPr>
          <w:rFonts w:ascii="Times New Roman" w:hAnsi="Times New Roman" w:cs="Times New Roman"/>
        </w:rPr>
        <w:sectPr w:rsidR="00C54BBB" w:rsidRPr="00D96847" w:rsidSect="009B3DFB">
          <w:pgSz w:w="16838" w:h="11906" w:orient="landscape"/>
          <w:pgMar w:top="1440" w:right="1440" w:bottom="1440" w:left="1440" w:header="708" w:footer="708" w:gutter="0"/>
          <w:cols w:space="708"/>
          <w:docGrid w:linePitch="360"/>
        </w:sectPr>
      </w:pPr>
    </w:p>
    <w:p w14:paraId="01B96F24" w14:textId="3E9FC05F" w:rsidR="00C54BBB" w:rsidRDefault="00C54BBB" w:rsidP="002C71CC">
      <w:pPr>
        <w:pStyle w:val="Heading2"/>
        <w:rPr>
          <w:rFonts w:ascii="Times New Roman" w:hAnsi="Times New Roman" w:cs="Times New Roman"/>
        </w:rPr>
      </w:pPr>
      <w:bookmarkStart w:id="10" w:name="_Hlk115097043"/>
      <w:bookmarkStart w:id="11" w:name="_Toc121731915"/>
      <w:r w:rsidRPr="00D96847">
        <w:rPr>
          <w:rFonts w:ascii="Times New Roman" w:hAnsi="Times New Roman" w:cs="Times New Roman"/>
        </w:rPr>
        <w:lastRenderedPageBreak/>
        <w:t xml:space="preserve">Appendix </w:t>
      </w:r>
      <w:r>
        <w:rPr>
          <w:rFonts w:ascii="Times New Roman" w:hAnsi="Times New Roman" w:cs="Times New Roman"/>
        </w:rPr>
        <w:t>3</w:t>
      </w:r>
      <w:r w:rsidRPr="00D96847">
        <w:rPr>
          <w:rFonts w:ascii="Times New Roman" w:hAnsi="Times New Roman" w:cs="Times New Roman"/>
        </w:rPr>
        <w:t xml:space="preserve"> – </w:t>
      </w:r>
      <w:bookmarkEnd w:id="10"/>
      <w:r w:rsidRPr="00D96847">
        <w:rPr>
          <w:rFonts w:ascii="Times New Roman" w:hAnsi="Times New Roman" w:cs="Times New Roman"/>
        </w:rPr>
        <w:t>Sensitivity analysis</w:t>
      </w:r>
      <w:bookmarkEnd w:id="11"/>
      <w:r w:rsidR="009A61A2">
        <w:rPr>
          <w:rFonts w:ascii="Times New Roman" w:hAnsi="Times New Roman" w:cs="Times New Roman"/>
        </w:rPr>
        <w:t xml:space="preserve"> results</w:t>
      </w:r>
    </w:p>
    <w:p w14:paraId="41E97765" w14:textId="77777777" w:rsidR="00C54BBB" w:rsidRPr="007B6890" w:rsidRDefault="00C54BBB" w:rsidP="00230BAA">
      <w:pPr>
        <w:pStyle w:val="Heading3"/>
        <w:rPr>
          <w:rFonts w:ascii="Times" w:hAnsi="Times" w:cs="Times"/>
        </w:rPr>
      </w:pPr>
      <w:bookmarkStart w:id="12" w:name="_Toc121731916"/>
      <w:r w:rsidRPr="007B6890">
        <w:rPr>
          <w:rFonts w:ascii="Times" w:hAnsi="Times" w:cs="Times"/>
        </w:rPr>
        <w:t>Appendix Table S3. Differences in the number of ITS studies included in the primary analysis and the sensitivity analysis.</w:t>
      </w:r>
      <w:bookmarkEnd w:id="12"/>
    </w:p>
    <w:tbl>
      <w:tblPr>
        <w:tblStyle w:val="TableGrid"/>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4"/>
        <w:gridCol w:w="2912"/>
        <w:gridCol w:w="4611"/>
        <w:gridCol w:w="3445"/>
      </w:tblGrid>
      <w:tr w:rsidR="00C54BBB" w:rsidRPr="00A20892" w14:paraId="199928CE" w14:textId="77777777" w:rsidTr="00A20892">
        <w:trPr>
          <w:cantSplit/>
          <w:tblHeader/>
        </w:trPr>
        <w:tc>
          <w:tcPr>
            <w:tcW w:w="3005" w:type="dxa"/>
            <w:tcBorders>
              <w:top w:val="single" w:sz="4" w:space="0" w:color="auto"/>
              <w:bottom w:val="single" w:sz="4" w:space="0" w:color="auto"/>
            </w:tcBorders>
            <w:shd w:val="clear" w:color="auto" w:fill="D0CECE" w:themeFill="background2" w:themeFillShade="E6"/>
          </w:tcPr>
          <w:p w14:paraId="349623D4" w14:textId="77777777" w:rsidR="00C54BBB" w:rsidRPr="00A20892" w:rsidRDefault="00C54BBB" w:rsidP="0038743A">
            <w:pPr>
              <w:rPr>
                <w:rFonts w:ascii="Times" w:hAnsi="Times" w:cs="Times"/>
                <w:b/>
                <w:bCs/>
                <w:sz w:val="20"/>
                <w:szCs w:val="20"/>
              </w:rPr>
            </w:pPr>
            <w:r w:rsidRPr="00A20892">
              <w:rPr>
                <w:rFonts w:ascii="Times" w:hAnsi="Times" w:cs="Times"/>
                <w:b/>
                <w:bCs/>
                <w:sz w:val="20"/>
                <w:szCs w:val="20"/>
              </w:rPr>
              <w:lastRenderedPageBreak/>
              <w:t>Citation</w:t>
            </w:r>
          </w:p>
        </w:tc>
        <w:tc>
          <w:tcPr>
            <w:tcW w:w="3005" w:type="dxa"/>
            <w:tcBorders>
              <w:top w:val="single" w:sz="4" w:space="0" w:color="auto"/>
              <w:bottom w:val="single" w:sz="4" w:space="0" w:color="auto"/>
            </w:tcBorders>
            <w:shd w:val="clear" w:color="auto" w:fill="D0CECE" w:themeFill="background2" w:themeFillShade="E6"/>
          </w:tcPr>
          <w:p w14:paraId="7EE94717" w14:textId="77777777" w:rsidR="00C54BBB" w:rsidRPr="00A20892" w:rsidRDefault="00C54BBB" w:rsidP="0038743A">
            <w:pPr>
              <w:rPr>
                <w:rFonts w:ascii="Times" w:hAnsi="Times" w:cs="Times"/>
                <w:b/>
                <w:bCs/>
                <w:sz w:val="20"/>
                <w:szCs w:val="20"/>
              </w:rPr>
            </w:pPr>
            <w:r w:rsidRPr="00A20892">
              <w:rPr>
                <w:rFonts w:ascii="Times" w:hAnsi="Times" w:cs="Times"/>
                <w:b/>
                <w:bCs/>
                <w:sz w:val="20"/>
                <w:szCs w:val="20"/>
              </w:rPr>
              <w:t>Review</w:t>
            </w:r>
          </w:p>
        </w:tc>
        <w:tc>
          <w:tcPr>
            <w:tcW w:w="4758" w:type="dxa"/>
            <w:tcBorders>
              <w:top w:val="single" w:sz="4" w:space="0" w:color="auto"/>
              <w:bottom w:val="single" w:sz="4" w:space="0" w:color="auto"/>
            </w:tcBorders>
            <w:shd w:val="clear" w:color="auto" w:fill="D0CECE" w:themeFill="background2" w:themeFillShade="E6"/>
          </w:tcPr>
          <w:p w14:paraId="56593DB5" w14:textId="77777777" w:rsidR="00C54BBB" w:rsidRPr="00A20892" w:rsidRDefault="00C54BBB" w:rsidP="0038743A">
            <w:pPr>
              <w:rPr>
                <w:rFonts w:ascii="Times" w:hAnsi="Times" w:cs="Times"/>
                <w:b/>
                <w:bCs/>
                <w:sz w:val="20"/>
                <w:szCs w:val="20"/>
              </w:rPr>
            </w:pPr>
            <w:r w:rsidRPr="00A20892">
              <w:rPr>
                <w:rFonts w:ascii="Times" w:hAnsi="Times" w:cs="Times"/>
                <w:b/>
                <w:bCs/>
                <w:sz w:val="20"/>
                <w:szCs w:val="20"/>
              </w:rPr>
              <w:t>Primary analysis</w:t>
            </w:r>
          </w:p>
        </w:tc>
        <w:tc>
          <w:tcPr>
            <w:tcW w:w="3544" w:type="dxa"/>
            <w:tcBorders>
              <w:top w:val="single" w:sz="4" w:space="0" w:color="auto"/>
              <w:bottom w:val="single" w:sz="4" w:space="0" w:color="auto"/>
            </w:tcBorders>
            <w:shd w:val="clear" w:color="auto" w:fill="D0CECE" w:themeFill="background2" w:themeFillShade="E6"/>
          </w:tcPr>
          <w:p w14:paraId="38A12870" w14:textId="77777777" w:rsidR="00C54BBB" w:rsidRPr="00A20892" w:rsidRDefault="00C54BBB" w:rsidP="0038743A">
            <w:pPr>
              <w:rPr>
                <w:rFonts w:ascii="Times" w:hAnsi="Times" w:cs="Times"/>
                <w:b/>
                <w:bCs/>
                <w:sz w:val="20"/>
                <w:szCs w:val="20"/>
              </w:rPr>
            </w:pPr>
            <w:r w:rsidRPr="00A20892">
              <w:rPr>
                <w:rFonts w:ascii="Times" w:hAnsi="Times" w:cs="Times"/>
                <w:b/>
                <w:bCs/>
                <w:sz w:val="20"/>
                <w:szCs w:val="20"/>
              </w:rPr>
              <w:t>Sensitivity analysis</w:t>
            </w:r>
          </w:p>
        </w:tc>
      </w:tr>
      <w:tr w:rsidR="00C54BBB" w:rsidRPr="00A20892" w14:paraId="38F85502" w14:textId="77777777" w:rsidTr="00A20892">
        <w:trPr>
          <w:cantSplit/>
          <w:tblHeader/>
        </w:trPr>
        <w:tc>
          <w:tcPr>
            <w:tcW w:w="3005" w:type="dxa"/>
            <w:tcBorders>
              <w:top w:val="single" w:sz="4" w:space="0" w:color="auto"/>
            </w:tcBorders>
          </w:tcPr>
          <w:p w14:paraId="23BF31B1" w14:textId="77777777" w:rsidR="00C54BBB" w:rsidRPr="00A20892" w:rsidRDefault="00C54BBB" w:rsidP="0038743A">
            <w:pPr>
              <w:rPr>
                <w:rFonts w:ascii="Times" w:hAnsi="Times" w:cs="Times"/>
                <w:sz w:val="20"/>
                <w:szCs w:val="20"/>
              </w:rPr>
            </w:pPr>
            <w:proofErr w:type="spellStart"/>
            <w:r w:rsidRPr="00A20892">
              <w:rPr>
                <w:rFonts w:ascii="Segoe UI" w:hAnsi="Segoe UI" w:cs="Segoe UI"/>
                <w:color w:val="212121"/>
                <w:sz w:val="20"/>
                <w:szCs w:val="20"/>
                <w:shd w:val="clear" w:color="auto" w:fill="FFFFFF"/>
              </w:rPr>
              <w:t>Crifasi</w:t>
            </w:r>
            <w:proofErr w:type="spellEnd"/>
            <w:r w:rsidRPr="00A20892">
              <w:rPr>
                <w:rFonts w:ascii="Segoe UI" w:hAnsi="Segoe UI" w:cs="Segoe UI"/>
                <w:color w:val="212121"/>
                <w:sz w:val="20"/>
                <w:szCs w:val="20"/>
                <w:shd w:val="clear" w:color="auto" w:fill="FFFFFF"/>
              </w:rPr>
              <w:t xml:space="preserve"> CK, Pollack KM, Webster DW. Effects of state-level policy changes on homicide and nonfatal shootings of law enforcement officers. </w:t>
            </w:r>
            <w:proofErr w:type="spellStart"/>
            <w:r w:rsidRPr="00A20892">
              <w:rPr>
                <w:rFonts w:ascii="Segoe UI" w:hAnsi="Segoe UI" w:cs="Segoe UI"/>
                <w:color w:val="212121"/>
                <w:sz w:val="20"/>
                <w:szCs w:val="20"/>
                <w:shd w:val="clear" w:color="auto" w:fill="FFFFFF"/>
              </w:rPr>
              <w:t>Inj</w:t>
            </w:r>
            <w:proofErr w:type="spellEnd"/>
            <w:r w:rsidRPr="00A20892">
              <w:rPr>
                <w:rFonts w:ascii="Segoe UI" w:hAnsi="Segoe UI" w:cs="Segoe UI"/>
                <w:color w:val="212121"/>
                <w:sz w:val="20"/>
                <w:szCs w:val="20"/>
                <w:shd w:val="clear" w:color="auto" w:fill="FFFFFF"/>
              </w:rPr>
              <w:t xml:space="preserve"> Prev. 2016 Aug;22(4):274-8. </w:t>
            </w:r>
            <w:proofErr w:type="spellStart"/>
            <w:r w:rsidRPr="00A20892">
              <w:rPr>
                <w:rFonts w:ascii="Segoe UI" w:hAnsi="Segoe UI" w:cs="Segoe UI"/>
                <w:color w:val="212121"/>
                <w:sz w:val="20"/>
                <w:szCs w:val="20"/>
                <w:shd w:val="clear" w:color="auto" w:fill="FFFFFF"/>
              </w:rPr>
              <w:t>doi</w:t>
            </w:r>
            <w:proofErr w:type="spellEnd"/>
            <w:r w:rsidRPr="00A20892">
              <w:rPr>
                <w:rFonts w:ascii="Segoe UI" w:hAnsi="Segoe UI" w:cs="Segoe UI"/>
                <w:color w:val="212121"/>
                <w:sz w:val="20"/>
                <w:szCs w:val="20"/>
                <w:shd w:val="clear" w:color="auto" w:fill="FFFFFF"/>
              </w:rPr>
              <w:t xml:space="preserve">: 10.1136/injuryprev-2015-041825. </w:t>
            </w:r>
            <w:proofErr w:type="spellStart"/>
            <w:r w:rsidRPr="00A20892">
              <w:rPr>
                <w:rFonts w:ascii="Segoe UI" w:hAnsi="Segoe UI" w:cs="Segoe UI"/>
                <w:color w:val="212121"/>
                <w:sz w:val="20"/>
                <w:szCs w:val="20"/>
                <w:shd w:val="clear" w:color="auto" w:fill="FFFFFF"/>
              </w:rPr>
              <w:t>Epub</w:t>
            </w:r>
            <w:proofErr w:type="spellEnd"/>
            <w:r w:rsidRPr="00A20892">
              <w:rPr>
                <w:rFonts w:ascii="Segoe UI" w:hAnsi="Segoe UI" w:cs="Segoe UI"/>
                <w:color w:val="212121"/>
                <w:sz w:val="20"/>
                <w:szCs w:val="20"/>
                <w:shd w:val="clear" w:color="auto" w:fill="FFFFFF"/>
              </w:rPr>
              <w:t xml:space="preserve"> 2015 Dec 30. PMID: 26718550.</w:t>
            </w:r>
          </w:p>
        </w:tc>
        <w:tc>
          <w:tcPr>
            <w:tcW w:w="3005" w:type="dxa"/>
            <w:tcBorders>
              <w:top w:val="single" w:sz="4" w:space="0" w:color="auto"/>
            </w:tcBorders>
          </w:tcPr>
          <w:p w14:paraId="78E21862" w14:textId="77777777" w:rsidR="00C54BBB" w:rsidRPr="00A20892" w:rsidRDefault="00C54BBB" w:rsidP="0038743A">
            <w:pPr>
              <w:rPr>
                <w:rFonts w:ascii="Times" w:hAnsi="Times" w:cs="Times"/>
                <w:sz w:val="20"/>
                <w:szCs w:val="20"/>
              </w:rPr>
            </w:pPr>
            <w:proofErr w:type="spellStart"/>
            <w:r w:rsidRPr="00A20892">
              <w:rPr>
                <w:rFonts w:ascii="Times" w:hAnsi="Times" w:cs="Times"/>
                <w:sz w:val="20"/>
                <w:szCs w:val="20"/>
              </w:rPr>
              <w:t>Crifasi</w:t>
            </w:r>
            <w:proofErr w:type="spellEnd"/>
            <w:r w:rsidRPr="00A20892">
              <w:rPr>
                <w:rFonts w:ascii="Times" w:hAnsi="Times" w:cs="Times"/>
                <w:sz w:val="20"/>
                <w:szCs w:val="20"/>
              </w:rPr>
              <w:t xml:space="preserve"> 2016</w:t>
            </w:r>
          </w:p>
        </w:tc>
        <w:tc>
          <w:tcPr>
            <w:tcW w:w="4758" w:type="dxa"/>
            <w:tcBorders>
              <w:top w:val="single" w:sz="4" w:space="0" w:color="auto"/>
            </w:tcBorders>
          </w:tcPr>
          <w:p w14:paraId="14CE5394" w14:textId="77777777" w:rsidR="00C54BBB" w:rsidRPr="00A20892" w:rsidRDefault="00C54BBB" w:rsidP="0038743A">
            <w:pPr>
              <w:rPr>
                <w:rFonts w:ascii="Times" w:hAnsi="Times" w:cs="Times"/>
                <w:sz w:val="20"/>
                <w:szCs w:val="20"/>
              </w:rPr>
            </w:pPr>
            <w:r w:rsidRPr="00A20892">
              <w:rPr>
                <w:rFonts w:ascii="Times" w:hAnsi="Times" w:cs="Times"/>
                <w:sz w:val="20"/>
                <w:szCs w:val="20"/>
              </w:rPr>
              <w:t>24 ITS studies were provided. For our primary analysis, we excluded 12 because a high proportion of datapoints were 0 (n = 12).</w:t>
            </w:r>
          </w:p>
        </w:tc>
        <w:tc>
          <w:tcPr>
            <w:tcW w:w="3544" w:type="dxa"/>
            <w:tcBorders>
              <w:top w:val="single" w:sz="4" w:space="0" w:color="auto"/>
            </w:tcBorders>
          </w:tcPr>
          <w:p w14:paraId="4A68FE80" w14:textId="77777777" w:rsidR="00C54BBB" w:rsidRPr="00A20892" w:rsidRDefault="00C54BBB" w:rsidP="000961E6">
            <w:pPr>
              <w:rPr>
                <w:rFonts w:ascii="Times" w:hAnsi="Times" w:cs="Times"/>
                <w:sz w:val="20"/>
                <w:szCs w:val="20"/>
              </w:rPr>
            </w:pPr>
            <w:r w:rsidRPr="00A20892">
              <w:rPr>
                <w:rFonts w:ascii="Times" w:hAnsi="Times" w:cs="Times"/>
                <w:sz w:val="20"/>
                <w:szCs w:val="20"/>
              </w:rPr>
              <w:t>We excluded an additional five ITS studies because of a high proportion of zero observations (n = 7).</w:t>
            </w:r>
          </w:p>
        </w:tc>
      </w:tr>
      <w:tr w:rsidR="00C54BBB" w:rsidRPr="00A20892" w14:paraId="7673A238" w14:textId="77777777" w:rsidTr="00A20892">
        <w:trPr>
          <w:cantSplit/>
          <w:tblHeader/>
        </w:trPr>
        <w:tc>
          <w:tcPr>
            <w:tcW w:w="3005" w:type="dxa"/>
          </w:tcPr>
          <w:p w14:paraId="29E205C5" w14:textId="77777777" w:rsidR="00C54BBB" w:rsidRPr="00A20892" w:rsidRDefault="00C54BBB" w:rsidP="0038743A">
            <w:pPr>
              <w:rPr>
                <w:rFonts w:ascii="Times" w:hAnsi="Times" w:cs="Times"/>
                <w:sz w:val="20"/>
                <w:szCs w:val="20"/>
              </w:rPr>
            </w:pPr>
            <w:r w:rsidRPr="00A20892">
              <w:rPr>
                <w:rFonts w:ascii="Segoe UI" w:hAnsi="Segoe UI" w:cs="Segoe UI"/>
                <w:color w:val="212121"/>
                <w:sz w:val="20"/>
                <w:szCs w:val="20"/>
                <w:shd w:val="clear" w:color="auto" w:fill="FFFFFF"/>
              </w:rPr>
              <w:t xml:space="preserve">Davey P, Marwick CA, Scott CL, </w:t>
            </w:r>
            <w:proofErr w:type="spellStart"/>
            <w:r w:rsidRPr="00A20892">
              <w:rPr>
                <w:rFonts w:ascii="Segoe UI" w:hAnsi="Segoe UI" w:cs="Segoe UI"/>
                <w:color w:val="212121"/>
                <w:sz w:val="20"/>
                <w:szCs w:val="20"/>
                <w:shd w:val="clear" w:color="auto" w:fill="FFFFFF"/>
              </w:rPr>
              <w:t>Charani</w:t>
            </w:r>
            <w:proofErr w:type="spellEnd"/>
            <w:r w:rsidRPr="00A20892">
              <w:rPr>
                <w:rFonts w:ascii="Segoe UI" w:hAnsi="Segoe UI" w:cs="Segoe UI"/>
                <w:color w:val="212121"/>
                <w:sz w:val="20"/>
                <w:szCs w:val="20"/>
                <w:shd w:val="clear" w:color="auto" w:fill="FFFFFF"/>
              </w:rPr>
              <w:t xml:space="preserve"> E, McNeil K, Brown E, Gould IM, Ramsay CR, Michie S. Interventions to improve antibiotic prescribing practices for hospital inpatients. Cochrane Database Syst Rev. 2017 Feb 9;2(2):CD003543. </w:t>
            </w:r>
            <w:proofErr w:type="spellStart"/>
            <w:r w:rsidRPr="00A20892">
              <w:rPr>
                <w:rFonts w:ascii="Segoe UI" w:hAnsi="Segoe UI" w:cs="Segoe UI"/>
                <w:color w:val="212121"/>
                <w:sz w:val="20"/>
                <w:szCs w:val="20"/>
                <w:shd w:val="clear" w:color="auto" w:fill="FFFFFF"/>
              </w:rPr>
              <w:t>doi</w:t>
            </w:r>
            <w:proofErr w:type="spellEnd"/>
            <w:r w:rsidRPr="00A20892">
              <w:rPr>
                <w:rFonts w:ascii="Segoe UI" w:hAnsi="Segoe UI" w:cs="Segoe UI"/>
                <w:color w:val="212121"/>
                <w:sz w:val="20"/>
                <w:szCs w:val="20"/>
                <w:shd w:val="clear" w:color="auto" w:fill="FFFFFF"/>
              </w:rPr>
              <w:t>: 10.1002/14651858.CD003543.pub4. PMID: 28178770; PMCID: PMC6464541.</w:t>
            </w:r>
          </w:p>
        </w:tc>
        <w:tc>
          <w:tcPr>
            <w:tcW w:w="3005" w:type="dxa"/>
          </w:tcPr>
          <w:p w14:paraId="5F041A73" w14:textId="77777777" w:rsidR="00C54BBB" w:rsidRPr="00A20892" w:rsidRDefault="00C54BBB" w:rsidP="0038743A">
            <w:pPr>
              <w:rPr>
                <w:rFonts w:ascii="Times" w:hAnsi="Times" w:cs="Times"/>
                <w:sz w:val="20"/>
                <w:szCs w:val="20"/>
              </w:rPr>
            </w:pPr>
            <w:r w:rsidRPr="00A20892">
              <w:rPr>
                <w:rFonts w:ascii="Times" w:hAnsi="Times" w:cs="Times"/>
                <w:sz w:val="20"/>
                <w:szCs w:val="20"/>
              </w:rPr>
              <w:t>Davey 2017</w:t>
            </w:r>
          </w:p>
        </w:tc>
        <w:tc>
          <w:tcPr>
            <w:tcW w:w="4758" w:type="dxa"/>
          </w:tcPr>
          <w:p w14:paraId="3B779D59" w14:textId="77777777" w:rsidR="00C54BBB" w:rsidRPr="00A20892" w:rsidRDefault="00C54BBB" w:rsidP="0038743A">
            <w:pPr>
              <w:rPr>
                <w:rFonts w:ascii="Times" w:hAnsi="Times" w:cs="Times"/>
                <w:sz w:val="20"/>
                <w:szCs w:val="20"/>
              </w:rPr>
            </w:pPr>
            <w:r w:rsidRPr="00A20892">
              <w:rPr>
                <w:rFonts w:ascii="Times" w:hAnsi="Times" w:cs="Times"/>
                <w:sz w:val="20"/>
                <w:szCs w:val="20"/>
              </w:rPr>
              <w:t xml:space="preserve">88 of the 91 ITS studies examined in the original meta-analysis were provided by the authors. We extracted the raw ITS data from 1 of the 3 ITS studies not provided (n = 89). For our primary analysis, we excluded 32 ITS studies because they examined a different interruption type (we limited our analysis to Enablement interruptions) and excluded 11 ITS studies that did not use the most common unit of time (i.e., the most common interval was monthly while the excluded studies used quarterly/2 weekly intervals) (n = 46). </w:t>
            </w:r>
          </w:p>
        </w:tc>
        <w:tc>
          <w:tcPr>
            <w:tcW w:w="3544" w:type="dxa"/>
          </w:tcPr>
          <w:p w14:paraId="76DC2490" w14:textId="77777777" w:rsidR="00C54BBB" w:rsidRPr="00A20892" w:rsidRDefault="00C54BBB" w:rsidP="0038743A">
            <w:pPr>
              <w:rPr>
                <w:rFonts w:ascii="Times" w:hAnsi="Times" w:cs="Times"/>
                <w:sz w:val="20"/>
                <w:szCs w:val="20"/>
              </w:rPr>
            </w:pPr>
            <w:r w:rsidRPr="00A20892">
              <w:rPr>
                <w:rFonts w:ascii="Times" w:hAnsi="Times" w:cs="Times"/>
                <w:sz w:val="20"/>
                <w:szCs w:val="20"/>
              </w:rPr>
              <w:t>We excluded an additional five ITS studies because a high proportion of datapoints were 0 or 100 (n = 41).</w:t>
            </w:r>
          </w:p>
        </w:tc>
      </w:tr>
      <w:tr w:rsidR="00C54BBB" w:rsidRPr="00A20892" w14:paraId="4C471AB7" w14:textId="77777777" w:rsidTr="00A20892">
        <w:trPr>
          <w:cantSplit/>
          <w:tblHeader/>
        </w:trPr>
        <w:tc>
          <w:tcPr>
            <w:tcW w:w="3005" w:type="dxa"/>
          </w:tcPr>
          <w:p w14:paraId="4D232C90" w14:textId="77777777" w:rsidR="00C54BBB" w:rsidRPr="00A20892" w:rsidRDefault="00C54BBB" w:rsidP="0038743A">
            <w:pPr>
              <w:rPr>
                <w:rFonts w:ascii="Times" w:hAnsi="Times" w:cs="Times"/>
                <w:sz w:val="20"/>
                <w:szCs w:val="20"/>
              </w:rPr>
            </w:pPr>
            <w:r w:rsidRPr="00A20892">
              <w:rPr>
                <w:rFonts w:ascii="Segoe UI" w:hAnsi="Segoe UI" w:cs="Segoe UI"/>
                <w:color w:val="212121"/>
                <w:sz w:val="20"/>
                <w:szCs w:val="20"/>
                <w:shd w:val="clear" w:color="auto" w:fill="FFFFFF"/>
              </w:rPr>
              <w:t>Garcia-</w:t>
            </w:r>
            <w:proofErr w:type="spellStart"/>
            <w:r w:rsidRPr="00A20892">
              <w:rPr>
                <w:rFonts w:ascii="Segoe UI" w:hAnsi="Segoe UI" w:cs="Segoe UI"/>
                <w:color w:val="212121"/>
                <w:sz w:val="20"/>
                <w:szCs w:val="20"/>
                <w:shd w:val="clear" w:color="auto" w:fill="FFFFFF"/>
              </w:rPr>
              <w:t>Elorrio</w:t>
            </w:r>
            <w:proofErr w:type="spellEnd"/>
            <w:r w:rsidRPr="00A20892">
              <w:rPr>
                <w:rFonts w:ascii="Segoe UI" w:hAnsi="Segoe UI" w:cs="Segoe UI"/>
                <w:color w:val="212121"/>
                <w:sz w:val="20"/>
                <w:szCs w:val="20"/>
                <w:shd w:val="clear" w:color="auto" w:fill="FFFFFF"/>
              </w:rPr>
              <w:t xml:space="preserve"> E, Rowe SY, </w:t>
            </w:r>
            <w:proofErr w:type="spellStart"/>
            <w:r w:rsidRPr="00A20892">
              <w:rPr>
                <w:rFonts w:ascii="Segoe UI" w:hAnsi="Segoe UI" w:cs="Segoe UI"/>
                <w:color w:val="212121"/>
                <w:sz w:val="20"/>
                <w:szCs w:val="20"/>
                <w:shd w:val="clear" w:color="auto" w:fill="FFFFFF"/>
              </w:rPr>
              <w:t>Teijeiro</w:t>
            </w:r>
            <w:proofErr w:type="spellEnd"/>
            <w:r w:rsidRPr="00A20892">
              <w:rPr>
                <w:rFonts w:ascii="Segoe UI" w:hAnsi="Segoe UI" w:cs="Segoe UI"/>
                <w:color w:val="212121"/>
                <w:sz w:val="20"/>
                <w:szCs w:val="20"/>
                <w:shd w:val="clear" w:color="auto" w:fill="FFFFFF"/>
              </w:rPr>
              <w:t xml:space="preserve"> ME, </w:t>
            </w:r>
            <w:proofErr w:type="spellStart"/>
            <w:r w:rsidRPr="00A20892">
              <w:rPr>
                <w:rFonts w:ascii="Segoe UI" w:hAnsi="Segoe UI" w:cs="Segoe UI"/>
                <w:color w:val="212121"/>
                <w:sz w:val="20"/>
                <w:szCs w:val="20"/>
                <w:shd w:val="clear" w:color="auto" w:fill="FFFFFF"/>
              </w:rPr>
              <w:t>Ciapponi</w:t>
            </w:r>
            <w:proofErr w:type="spellEnd"/>
            <w:r w:rsidRPr="00A20892">
              <w:rPr>
                <w:rFonts w:ascii="Segoe UI" w:hAnsi="Segoe UI" w:cs="Segoe UI"/>
                <w:color w:val="212121"/>
                <w:sz w:val="20"/>
                <w:szCs w:val="20"/>
                <w:shd w:val="clear" w:color="auto" w:fill="FFFFFF"/>
              </w:rPr>
              <w:t xml:space="preserve"> A, Rowe AK. The effectiveness of the quality improvement collaborative strategy in low- and middle-income countries: A systematic review and meta-analysis. </w:t>
            </w:r>
            <w:proofErr w:type="spellStart"/>
            <w:r w:rsidRPr="00A20892">
              <w:rPr>
                <w:rFonts w:ascii="Segoe UI" w:hAnsi="Segoe UI" w:cs="Segoe UI"/>
                <w:color w:val="212121"/>
                <w:sz w:val="20"/>
                <w:szCs w:val="20"/>
                <w:shd w:val="clear" w:color="auto" w:fill="FFFFFF"/>
              </w:rPr>
              <w:t>PLoS</w:t>
            </w:r>
            <w:proofErr w:type="spellEnd"/>
            <w:r w:rsidRPr="00A20892">
              <w:rPr>
                <w:rFonts w:ascii="Segoe UI" w:hAnsi="Segoe UI" w:cs="Segoe UI"/>
                <w:color w:val="212121"/>
                <w:sz w:val="20"/>
                <w:szCs w:val="20"/>
                <w:shd w:val="clear" w:color="auto" w:fill="FFFFFF"/>
              </w:rPr>
              <w:t xml:space="preserve"> One. 2019 Oct 3;14(10):e0221919. </w:t>
            </w:r>
            <w:proofErr w:type="spellStart"/>
            <w:r w:rsidRPr="00A20892">
              <w:rPr>
                <w:rFonts w:ascii="Segoe UI" w:hAnsi="Segoe UI" w:cs="Segoe UI"/>
                <w:color w:val="212121"/>
                <w:sz w:val="20"/>
                <w:szCs w:val="20"/>
                <w:shd w:val="clear" w:color="auto" w:fill="FFFFFF"/>
              </w:rPr>
              <w:t>doi</w:t>
            </w:r>
            <w:proofErr w:type="spellEnd"/>
            <w:r w:rsidRPr="00A20892">
              <w:rPr>
                <w:rFonts w:ascii="Segoe UI" w:hAnsi="Segoe UI" w:cs="Segoe UI"/>
                <w:color w:val="212121"/>
                <w:sz w:val="20"/>
                <w:szCs w:val="20"/>
                <w:shd w:val="clear" w:color="auto" w:fill="FFFFFF"/>
              </w:rPr>
              <w:t>: 10.1371/journal.pone.0221919. PMID: 31581197; PMCID: PMC6776335.</w:t>
            </w:r>
          </w:p>
        </w:tc>
        <w:tc>
          <w:tcPr>
            <w:tcW w:w="3005" w:type="dxa"/>
          </w:tcPr>
          <w:p w14:paraId="597171A5" w14:textId="77777777" w:rsidR="00C54BBB" w:rsidRPr="00A20892" w:rsidRDefault="00C54BBB" w:rsidP="0038743A">
            <w:pPr>
              <w:rPr>
                <w:rFonts w:ascii="Times" w:hAnsi="Times" w:cs="Times"/>
                <w:sz w:val="20"/>
                <w:szCs w:val="20"/>
              </w:rPr>
            </w:pPr>
            <w:r w:rsidRPr="00A20892">
              <w:rPr>
                <w:rFonts w:ascii="Times" w:hAnsi="Times" w:cs="Times"/>
                <w:sz w:val="20"/>
                <w:szCs w:val="20"/>
              </w:rPr>
              <w:t>Garcia-</w:t>
            </w:r>
            <w:proofErr w:type="spellStart"/>
            <w:r w:rsidRPr="00A20892">
              <w:rPr>
                <w:rFonts w:ascii="Times" w:hAnsi="Times" w:cs="Times"/>
                <w:sz w:val="20"/>
                <w:szCs w:val="20"/>
              </w:rPr>
              <w:t>Elorrio</w:t>
            </w:r>
            <w:proofErr w:type="spellEnd"/>
            <w:r w:rsidRPr="00A20892">
              <w:rPr>
                <w:rFonts w:ascii="Times" w:hAnsi="Times" w:cs="Times"/>
                <w:sz w:val="20"/>
                <w:szCs w:val="20"/>
              </w:rPr>
              <w:t xml:space="preserve"> 2019</w:t>
            </w:r>
          </w:p>
        </w:tc>
        <w:tc>
          <w:tcPr>
            <w:tcW w:w="4758" w:type="dxa"/>
          </w:tcPr>
          <w:p w14:paraId="70219EE8" w14:textId="77777777" w:rsidR="00C54BBB" w:rsidRPr="00A20892" w:rsidRDefault="00C54BBB" w:rsidP="0038743A">
            <w:pPr>
              <w:rPr>
                <w:rFonts w:ascii="Times" w:hAnsi="Times" w:cs="Times"/>
                <w:sz w:val="20"/>
                <w:szCs w:val="20"/>
              </w:rPr>
            </w:pPr>
            <w:r w:rsidRPr="00A20892">
              <w:rPr>
                <w:rFonts w:ascii="Times" w:hAnsi="Times" w:cs="Times"/>
                <w:sz w:val="20"/>
                <w:szCs w:val="20"/>
              </w:rPr>
              <w:t xml:space="preserve">14 ITS studies were provided. For our primary analysis, we excluded 1 because a high proportion of datapoints were 0 (n = 13). </w:t>
            </w:r>
          </w:p>
        </w:tc>
        <w:tc>
          <w:tcPr>
            <w:tcW w:w="3544" w:type="dxa"/>
          </w:tcPr>
          <w:p w14:paraId="54DA0D8F" w14:textId="77777777" w:rsidR="00C54BBB" w:rsidRPr="00A20892" w:rsidRDefault="00C54BBB" w:rsidP="0038743A">
            <w:pPr>
              <w:rPr>
                <w:rFonts w:ascii="Times" w:hAnsi="Times" w:cs="Times"/>
                <w:sz w:val="20"/>
                <w:szCs w:val="20"/>
              </w:rPr>
            </w:pPr>
            <w:r w:rsidRPr="00A20892">
              <w:rPr>
                <w:rFonts w:ascii="Times" w:hAnsi="Times" w:cs="Times"/>
                <w:sz w:val="20"/>
                <w:szCs w:val="20"/>
              </w:rPr>
              <w:t>We excluded an additional two ITS because a high proportion of datapoints were at or near 0 or 100 (n = 11)</w:t>
            </w:r>
          </w:p>
        </w:tc>
      </w:tr>
      <w:tr w:rsidR="00C54BBB" w:rsidRPr="00A20892" w14:paraId="4D2E75A4" w14:textId="77777777" w:rsidTr="00A20892">
        <w:trPr>
          <w:cantSplit/>
          <w:tblHeader/>
        </w:trPr>
        <w:tc>
          <w:tcPr>
            <w:tcW w:w="3005" w:type="dxa"/>
          </w:tcPr>
          <w:p w14:paraId="5ED8AA4E" w14:textId="77777777" w:rsidR="00C54BBB" w:rsidRPr="00A20892" w:rsidRDefault="00C54BBB" w:rsidP="0038743A">
            <w:pPr>
              <w:rPr>
                <w:rFonts w:ascii="Times" w:hAnsi="Times" w:cs="Times"/>
                <w:sz w:val="20"/>
                <w:szCs w:val="20"/>
              </w:rPr>
            </w:pPr>
            <w:r w:rsidRPr="00A20892">
              <w:rPr>
                <w:rFonts w:ascii="Segoe UI" w:hAnsi="Segoe UI" w:cs="Segoe UI"/>
                <w:color w:val="212121"/>
                <w:sz w:val="20"/>
                <w:szCs w:val="20"/>
                <w:shd w:val="clear" w:color="auto" w:fill="FFFFFF"/>
              </w:rPr>
              <w:lastRenderedPageBreak/>
              <w:t xml:space="preserve">Pryce J, Choi L, Richardson M, Malone D. Insecticide space spraying for preventing malaria transmission. Cochrane Database Syst Rev. 2018 Nov 2;11(11):CD012689. </w:t>
            </w:r>
            <w:proofErr w:type="spellStart"/>
            <w:r w:rsidRPr="00A20892">
              <w:rPr>
                <w:rFonts w:ascii="Segoe UI" w:hAnsi="Segoe UI" w:cs="Segoe UI"/>
                <w:color w:val="212121"/>
                <w:sz w:val="20"/>
                <w:szCs w:val="20"/>
                <w:shd w:val="clear" w:color="auto" w:fill="FFFFFF"/>
              </w:rPr>
              <w:t>doi</w:t>
            </w:r>
            <w:proofErr w:type="spellEnd"/>
            <w:r w:rsidRPr="00A20892">
              <w:rPr>
                <w:rFonts w:ascii="Segoe UI" w:hAnsi="Segoe UI" w:cs="Segoe UI"/>
                <w:color w:val="212121"/>
                <w:sz w:val="20"/>
                <w:szCs w:val="20"/>
                <w:shd w:val="clear" w:color="auto" w:fill="FFFFFF"/>
              </w:rPr>
              <w:t>: 10.1002/14651858.CD012689.pub2. PMID: 30388303; PMCID: PMC6516806.</w:t>
            </w:r>
          </w:p>
        </w:tc>
        <w:tc>
          <w:tcPr>
            <w:tcW w:w="3005" w:type="dxa"/>
          </w:tcPr>
          <w:p w14:paraId="390A6BA5" w14:textId="77777777" w:rsidR="00C54BBB" w:rsidRPr="00A20892" w:rsidRDefault="00C54BBB" w:rsidP="0038743A">
            <w:pPr>
              <w:rPr>
                <w:rFonts w:ascii="Times" w:hAnsi="Times" w:cs="Times"/>
                <w:sz w:val="20"/>
                <w:szCs w:val="20"/>
              </w:rPr>
            </w:pPr>
            <w:r w:rsidRPr="00A20892">
              <w:rPr>
                <w:rFonts w:ascii="Times" w:hAnsi="Times" w:cs="Times"/>
                <w:sz w:val="20"/>
                <w:szCs w:val="20"/>
              </w:rPr>
              <w:t>Pryce 2018</w:t>
            </w:r>
          </w:p>
        </w:tc>
        <w:tc>
          <w:tcPr>
            <w:tcW w:w="4758" w:type="dxa"/>
          </w:tcPr>
          <w:p w14:paraId="5FD075B3" w14:textId="77777777" w:rsidR="00C54BBB" w:rsidRPr="00A20892" w:rsidRDefault="00C54BBB" w:rsidP="0038743A">
            <w:pPr>
              <w:rPr>
                <w:rFonts w:ascii="Times" w:hAnsi="Times" w:cs="Times"/>
                <w:sz w:val="20"/>
                <w:szCs w:val="20"/>
              </w:rPr>
            </w:pPr>
            <w:r w:rsidRPr="00A20892">
              <w:rPr>
                <w:rFonts w:ascii="Times" w:hAnsi="Times" w:cs="Times"/>
                <w:sz w:val="20"/>
                <w:szCs w:val="20"/>
              </w:rPr>
              <w:t>Four ITS studies were provided. All four ITS studies were analysed in the primary analysis.</w:t>
            </w:r>
          </w:p>
        </w:tc>
        <w:tc>
          <w:tcPr>
            <w:tcW w:w="3544" w:type="dxa"/>
          </w:tcPr>
          <w:p w14:paraId="5B404F48" w14:textId="77777777" w:rsidR="00C54BBB" w:rsidRPr="00A20892" w:rsidRDefault="00C54BBB" w:rsidP="0038743A">
            <w:pPr>
              <w:rPr>
                <w:rFonts w:ascii="Times" w:hAnsi="Times" w:cs="Times"/>
                <w:sz w:val="20"/>
                <w:szCs w:val="20"/>
              </w:rPr>
            </w:pPr>
            <w:r w:rsidRPr="00A20892">
              <w:rPr>
                <w:rFonts w:ascii="Times" w:hAnsi="Times" w:cs="Times"/>
                <w:sz w:val="20"/>
                <w:szCs w:val="20"/>
              </w:rPr>
              <w:t>We excluded an additional one ITS study because a high proportion of datapoints were 0 (n = 3).</w:t>
            </w:r>
          </w:p>
        </w:tc>
      </w:tr>
      <w:tr w:rsidR="00C54BBB" w:rsidRPr="00A20892" w14:paraId="64D8A7D0" w14:textId="77777777" w:rsidTr="00A20892">
        <w:trPr>
          <w:cantSplit/>
          <w:tblHeader/>
        </w:trPr>
        <w:tc>
          <w:tcPr>
            <w:tcW w:w="3005" w:type="dxa"/>
            <w:tcBorders>
              <w:bottom w:val="single" w:sz="4" w:space="0" w:color="auto"/>
            </w:tcBorders>
          </w:tcPr>
          <w:p w14:paraId="0A63F16B" w14:textId="77777777" w:rsidR="00C54BBB" w:rsidRPr="00A20892" w:rsidRDefault="00C54BBB" w:rsidP="0038743A">
            <w:pPr>
              <w:rPr>
                <w:rFonts w:ascii="Times" w:hAnsi="Times" w:cs="Times"/>
                <w:sz w:val="20"/>
                <w:szCs w:val="20"/>
              </w:rPr>
            </w:pPr>
            <w:r w:rsidRPr="00A20892">
              <w:rPr>
                <w:rFonts w:ascii="Segoe UI" w:hAnsi="Segoe UI" w:cs="Segoe UI"/>
                <w:color w:val="212121"/>
                <w:sz w:val="20"/>
                <w:szCs w:val="20"/>
                <w:shd w:val="clear" w:color="auto" w:fill="FFFFFF"/>
              </w:rPr>
              <w:t xml:space="preserve">Rowe AK, Rowe SY, Peters DH, Holloway KA, Chalker J, Ross-Degnan D. Effectiveness of strategies to improve health-care provider practices in low-income and middle-income countries: a systematic review. Lancet Glob Health. 2018 Nov;6(11):e1163-e1175. </w:t>
            </w:r>
            <w:proofErr w:type="spellStart"/>
            <w:r w:rsidRPr="00A20892">
              <w:rPr>
                <w:rFonts w:ascii="Segoe UI" w:hAnsi="Segoe UI" w:cs="Segoe UI"/>
                <w:color w:val="212121"/>
                <w:sz w:val="20"/>
                <w:szCs w:val="20"/>
                <w:shd w:val="clear" w:color="auto" w:fill="FFFFFF"/>
              </w:rPr>
              <w:t>doi</w:t>
            </w:r>
            <w:proofErr w:type="spellEnd"/>
            <w:r w:rsidRPr="00A20892">
              <w:rPr>
                <w:rFonts w:ascii="Segoe UI" w:hAnsi="Segoe UI" w:cs="Segoe UI"/>
                <w:color w:val="212121"/>
                <w:sz w:val="20"/>
                <w:szCs w:val="20"/>
                <w:shd w:val="clear" w:color="auto" w:fill="FFFFFF"/>
              </w:rPr>
              <w:t xml:space="preserve">: 10.1016/S2214-109X(18)30398-X. </w:t>
            </w:r>
            <w:proofErr w:type="spellStart"/>
            <w:r w:rsidRPr="00A20892">
              <w:rPr>
                <w:rFonts w:ascii="Segoe UI" w:hAnsi="Segoe UI" w:cs="Segoe UI"/>
                <w:color w:val="212121"/>
                <w:sz w:val="20"/>
                <w:szCs w:val="20"/>
                <w:shd w:val="clear" w:color="auto" w:fill="FFFFFF"/>
              </w:rPr>
              <w:t>Epub</w:t>
            </w:r>
            <w:proofErr w:type="spellEnd"/>
            <w:r w:rsidRPr="00A20892">
              <w:rPr>
                <w:rFonts w:ascii="Segoe UI" w:hAnsi="Segoe UI" w:cs="Segoe UI"/>
                <w:color w:val="212121"/>
                <w:sz w:val="20"/>
                <w:szCs w:val="20"/>
                <w:shd w:val="clear" w:color="auto" w:fill="FFFFFF"/>
              </w:rPr>
              <w:t xml:space="preserve"> 2018 Oct 8. PMID: 30309799; PMCID: PMC6185992.</w:t>
            </w:r>
          </w:p>
        </w:tc>
        <w:tc>
          <w:tcPr>
            <w:tcW w:w="3005" w:type="dxa"/>
            <w:tcBorders>
              <w:bottom w:val="single" w:sz="4" w:space="0" w:color="auto"/>
            </w:tcBorders>
          </w:tcPr>
          <w:p w14:paraId="37314B5F" w14:textId="77777777" w:rsidR="00C54BBB" w:rsidRPr="00A20892" w:rsidRDefault="00C54BBB" w:rsidP="0038743A">
            <w:pPr>
              <w:rPr>
                <w:rFonts w:ascii="Times" w:hAnsi="Times" w:cs="Times"/>
                <w:sz w:val="20"/>
                <w:szCs w:val="20"/>
              </w:rPr>
            </w:pPr>
            <w:r w:rsidRPr="00A20892">
              <w:rPr>
                <w:rFonts w:ascii="Times" w:hAnsi="Times" w:cs="Times"/>
                <w:sz w:val="20"/>
                <w:szCs w:val="20"/>
              </w:rPr>
              <w:t>Rowe 2018</w:t>
            </w:r>
          </w:p>
        </w:tc>
        <w:tc>
          <w:tcPr>
            <w:tcW w:w="4758" w:type="dxa"/>
            <w:tcBorders>
              <w:bottom w:val="single" w:sz="4" w:space="0" w:color="auto"/>
            </w:tcBorders>
          </w:tcPr>
          <w:p w14:paraId="79254982" w14:textId="77777777" w:rsidR="00C54BBB" w:rsidRPr="00A20892" w:rsidRDefault="00C54BBB" w:rsidP="0038743A">
            <w:pPr>
              <w:rPr>
                <w:rFonts w:ascii="Times" w:hAnsi="Times" w:cs="Times"/>
                <w:sz w:val="20"/>
                <w:szCs w:val="20"/>
              </w:rPr>
            </w:pPr>
            <w:r w:rsidRPr="00A20892">
              <w:rPr>
                <w:rFonts w:ascii="Times" w:hAnsi="Times" w:cs="Times"/>
                <w:sz w:val="20"/>
                <w:szCs w:val="20"/>
              </w:rPr>
              <w:t>Multiple study designs were included in the original meta-analysis. We included only the 15 ITS studies.</w:t>
            </w:r>
          </w:p>
        </w:tc>
        <w:tc>
          <w:tcPr>
            <w:tcW w:w="3544" w:type="dxa"/>
            <w:tcBorders>
              <w:bottom w:val="single" w:sz="4" w:space="0" w:color="auto"/>
            </w:tcBorders>
          </w:tcPr>
          <w:p w14:paraId="268203CD" w14:textId="77777777" w:rsidR="00C54BBB" w:rsidRPr="00A20892" w:rsidRDefault="00C54BBB" w:rsidP="0038743A">
            <w:pPr>
              <w:rPr>
                <w:rFonts w:ascii="Times" w:hAnsi="Times" w:cs="Times"/>
                <w:sz w:val="20"/>
                <w:szCs w:val="20"/>
              </w:rPr>
            </w:pPr>
            <w:r w:rsidRPr="00A20892">
              <w:rPr>
                <w:rFonts w:ascii="Times" w:hAnsi="Times" w:cs="Times"/>
                <w:sz w:val="20"/>
                <w:szCs w:val="20"/>
              </w:rPr>
              <w:t>We excluded an additional three ITS because a high proportion of datapoints were 0 or 100 (n = 12).</w:t>
            </w:r>
          </w:p>
        </w:tc>
      </w:tr>
    </w:tbl>
    <w:p w14:paraId="66AAB652" w14:textId="77777777" w:rsidR="00C54BBB" w:rsidRDefault="00C54BBB" w:rsidP="004E4DFD"/>
    <w:p w14:paraId="3E2146E0" w14:textId="77777777" w:rsidR="00C54BBB" w:rsidRPr="004E4DFD" w:rsidRDefault="00C54BBB" w:rsidP="004E4DFD"/>
    <w:p w14:paraId="1DA8C61C" w14:textId="77777777" w:rsidR="00C54BBB" w:rsidRDefault="00C54BBB" w:rsidP="007B6890">
      <w:pPr>
        <w:pStyle w:val="Heading3"/>
        <w:rPr>
          <w:rFonts w:ascii="Times" w:hAnsi="Times" w:cs="Times"/>
        </w:rPr>
      </w:pPr>
      <w:bookmarkStart w:id="13" w:name="_Toc121731917"/>
      <w:r>
        <w:rPr>
          <w:rFonts w:ascii="Times" w:hAnsi="Times" w:cs="Times"/>
        </w:rPr>
        <w:t>Appendix Table S4. Comparing the primary vs sensitivity analysis results for t</w:t>
      </w:r>
      <w:r w:rsidRPr="00E26091">
        <w:rPr>
          <w:rFonts w:ascii="Times" w:hAnsi="Times" w:cs="Times"/>
        </w:rPr>
        <w:t xml:space="preserve">he mean difference of effect estimates and 95% limits of agreement for the meta-analytic immediate level-change (top triangle, difference calculated as column method - row method) and slope-change (bottom triangle, difference calculated as row method - column method) </w:t>
      </w:r>
      <w:r>
        <w:rPr>
          <w:rFonts w:ascii="Times" w:hAnsi="Times" w:cs="Times"/>
        </w:rPr>
        <w:t>(n = 17)</w:t>
      </w:r>
      <w:bookmarkEnd w:id="13"/>
    </w:p>
    <w:tbl>
      <w:tblPr>
        <w:tblW w:w="13608" w:type="dxa"/>
        <w:jc w:val="center"/>
        <w:tblLayout w:type="fixed"/>
        <w:tblLook w:val="04A0" w:firstRow="1" w:lastRow="0" w:firstColumn="1" w:lastColumn="0" w:noHBand="0" w:noVBand="1"/>
      </w:tblPr>
      <w:tblGrid>
        <w:gridCol w:w="709"/>
        <w:gridCol w:w="2149"/>
        <w:gridCol w:w="2150"/>
        <w:gridCol w:w="2150"/>
        <w:gridCol w:w="2150"/>
        <w:gridCol w:w="2150"/>
        <w:gridCol w:w="2150"/>
      </w:tblGrid>
      <w:tr w:rsidR="00C54BBB" w:rsidRPr="00C362E1" w14:paraId="277D8E1F" w14:textId="77777777" w:rsidTr="00EF0E44">
        <w:trPr>
          <w:cantSplit/>
          <w:trHeight w:val="326"/>
          <w:jc w:val="center"/>
        </w:trPr>
        <w:tc>
          <w:tcPr>
            <w:tcW w:w="709" w:type="dxa"/>
            <w:shd w:val="clear" w:color="auto" w:fill="auto"/>
            <w:noWrap/>
            <w:vAlign w:val="center"/>
            <w:hideMark/>
          </w:tcPr>
          <w:p w14:paraId="6EC4E5A1" w14:textId="77777777" w:rsidR="00C54BBB" w:rsidRPr="00EF0E44" w:rsidRDefault="00C54BBB" w:rsidP="000D03C9">
            <w:pPr>
              <w:spacing w:after="0" w:line="240" w:lineRule="auto"/>
              <w:jc w:val="center"/>
              <w:rPr>
                <w:rFonts w:ascii="Times" w:hAnsi="Times" w:cs="Times"/>
                <w:sz w:val="20"/>
                <w:szCs w:val="20"/>
              </w:rPr>
            </w:pPr>
          </w:p>
        </w:tc>
        <w:tc>
          <w:tcPr>
            <w:tcW w:w="12899" w:type="dxa"/>
            <w:gridSpan w:val="6"/>
            <w:shd w:val="clear" w:color="auto" w:fill="auto"/>
            <w:noWrap/>
            <w:vAlign w:val="center"/>
            <w:hideMark/>
          </w:tcPr>
          <w:p w14:paraId="12AA39F1" w14:textId="77777777" w:rsidR="00C54BBB" w:rsidRPr="00EF0E44" w:rsidRDefault="00C54BBB" w:rsidP="000D03C9">
            <w:pPr>
              <w:spacing w:after="0" w:line="240" w:lineRule="auto"/>
              <w:jc w:val="center"/>
              <w:rPr>
                <w:rFonts w:ascii="Times" w:hAnsi="Times" w:cs="Times"/>
                <w:b/>
                <w:bCs/>
                <w:sz w:val="20"/>
                <w:szCs w:val="20"/>
              </w:rPr>
            </w:pPr>
            <w:r w:rsidRPr="00EF0E44">
              <w:rPr>
                <w:rFonts w:ascii="Times" w:hAnsi="Times" w:cs="Times"/>
                <w:b/>
                <w:bCs/>
                <w:sz w:val="20"/>
                <w:szCs w:val="20"/>
              </w:rPr>
              <w:t>Level-change</w:t>
            </w:r>
          </w:p>
        </w:tc>
      </w:tr>
      <w:tr w:rsidR="00C54BBB" w:rsidRPr="00C362E1" w14:paraId="2D5A6762" w14:textId="77777777" w:rsidTr="00B315BE">
        <w:trPr>
          <w:trHeight w:val="326"/>
          <w:jc w:val="center"/>
        </w:trPr>
        <w:tc>
          <w:tcPr>
            <w:tcW w:w="709" w:type="dxa"/>
            <w:vMerge w:val="restart"/>
            <w:shd w:val="clear" w:color="auto" w:fill="E7E6E6" w:themeFill="background2"/>
            <w:noWrap/>
            <w:textDirection w:val="btLr"/>
            <w:vAlign w:val="center"/>
            <w:hideMark/>
          </w:tcPr>
          <w:p w14:paraId="16C1FE40" w14:textId="77777777" w:rsidR="00C54BBB" w:rsidRPr="00EF0E44" w:rsidRDefault="00C54BBB" w:rsidP="00F40487">
            <w:pPr>
              <w:spacing w:after="0" w:line="240" w:lineRule="auto"/>
              <w:jc w:val="center"/>
              <w:rPr>
                <w:rFonts w:ascii="Times" w:hAnsi="Times" w:cs="Times"/>
                <w:b/>
                <w:bCs/>
                <w:sz w:val="20"/>
                <w:szCs w:val="20"/>
              </w:rPr>
            </w:pPr>
            <w:r w:rsidRPr="00EF0E44">
              <w:rPr>
                <w:rFonts w:ascii="Times" w:hAnsi="Times" w:cs="Times"/>
                <w:b/>
                <w:bCs/>
                <w:sz w:val="20"/>
                <w:szCs w:val="20"/>
              </w:rPr>
              <w:t>Slope-change</w:t>
            </w:r>
          </w:p>
        </w:tc>
        <w:tc>
          <w:tcPr>
            <w:tcW w:w="2149" w:type="dxa"/>
            <w:shd w:val="clear" w:color="auto" w:fill="auto"/>
            <w:noWrap/>
            <w:vAlign w:val="center"/>
            <w:hideMark/>
          </w:tcPr>
          <w:p w14:paraId="2B439F90" w14:textId="77777777" w:rsidR="00C54BBB" w:rsidRPr="00EF0E44" w:rsidRDefault="00C54BBB" w:rsidP="00F40487">
            <w:pPr>
              <w:spacing w:after="0" w:line="240" w:lineRule="auto"/>
              <w:jc w:val="center"/>
              <w:rPr>
                <w:rFonts w:ascii="Times" w:hAnsi="Times" w:cs="Times"/>
                <w:b/>
                <w:bCs/>
                <w:sz w:val="20"/>
                <w:szCs w:val="20"/>
              </w:rPr>
            </w:pPr>
            <w:r w:rsidRPr="00EF0E44">
              <w:rPr>
                <w:rFonts w:ascii="Times" w:hAnsi="Times" w:cs="Times"/>
                <w:b/>
                <w:bCs/>
                <w:sz w:val="20"/>
                <w:szCs w:val="20"/>
              </w:rPr>
              <w:t>OLS</w:t>
            </w:r>
          </w:p>
          <w:p w14:paraId="5C4D27A2" w14:textId="77777777" w:rsidR="00C54BBB" w:rsidRPr="00EF0E44" w:rsidRDefault="00C54BBB" w:rsidP="00F40487">
            <w:pPr>
              <w:spacing w:after="0" w:line="240" w:lineRule="auto"/>
              <w:jc w:val="center"/>
              <w:rPr>
                <w:rFonts w:ascii="Times" w:hAnsi="Times" w:cs="Times"/>
                <w:sz w:val="20"/>
                <w:szCs w:val="20"/>
              </w:rPr>
            </w:pPr>
            <w:r w:rsidRPr="00EF0E44">
              <w:rPr>
                <w:rFonts w:ascii="Times" w:hAnsi="Times" w:cs="Times"/>
                <w:b/>
                <w:bCs/>
                <w:sz w:val="20"/>
                <w:szCs w:val="20"/>
              </w:rPr>
              <w:t>Fixed</w:t>
            </w:r>
          </w:p>
        </w:tc>
        <w:tc>
          <w:tcPr>
            <w:tcW w:w="2150" w:type="dxa"/>
            <w:shd w:val="clear" w:color="auto" w:fill="auto"/>
            <w:noWrap/>
            <w:vAlign w:val="bottom"/>
            <w:hideMark/>
          </w:tcPr>
          <w:p w14:paraId="16F66744" w14:textId="77777777" w:rsidR="00C54BBB" w:rsidRDefault="00C54BBB" w:rsidP="00F40487">
            <w:pPr>
              <w:spacing w:after="0" w:line="240" w:lineRule="auto"/>
              <w:jc w:val="center"/>
              <w:rPr>
                <w:rFonts w:ascii="Times" w:hAnsi="Times" w:cs="Times"/>
                <w:sz w:val="20"/>
                <w:szCs w:val="20"/>
              </w:rPr>
            </w:pPr>
            <w:r w:rsidRPr="00F40487">
              <w:rPr>
                <w:rFonts w:ascii="Times" w:hAnsi="Times" w:cs="Times"/>
                <w:sz w:val="20"/>
                <w:szCs w:val="20"/>
              </w:rPr>
              <w:t>-0.04 (-0.24,0.16)</w:t>
            </w:r>
          </w:p>
          <w:p w14:paraId="05E46762" w14:textId="77777777" w:rsidR="00C54BBB" w:rsidRDefault="00C54BBB" w:rsidP="00F40487">
            <w:pPr>
              <w:spacing w:after="0" w:line="240" w:lineRule="auto"/>
              <w:jc w:val="center"/>
              <w:rPr>
                <w:rFonts w:ascii="Times" w:hAnsi="Times" w:cs="Times"/>
                <w:sz w:val="20"/>
                <w:szCs w:val="20"/>
              </w:rPr>
            </w:pPr>
            <w:r>
              <w:rPr>
                <w:rFonts w:ascii="Times" w:hAnsi="Times" w:cs="Times"/>
                <w:sz w:val="20"/>
                <w:szCs w:val="20"/>
              </w:rPr>
              <w:t>vs</w:t>
            </w:r>
          </w:p>
          <w:p w14:paraId="265EDF9D" w14:textId="77777777" w:rsidR="00C54BBB" w:rsidRPr="00EF0E44" w:rsidRDefault="00C54BBB" w:rsidP="00F40487">
            <w:pPr>
              <w:spacing w:after="0" w:line="240" w:lineRule="auto"/>
              <w:jc w:val="center"/>
              <w:rPr>
                <w:rFonts w:ascii="Times" w:hAnsi="Times" w:cs="Times"/>
                <w:sz w:val="20"/>
                <w:szCs w:val="20"/>
              </w:rPr>
            </w:pPr>
            <w:r w:rsidRPr="00F40487">
              <w:rPr>
                <w:rFonts w:ascii="Times" w:hAnsi="Times" w:cs="Times"/>
                <w:sz w:val="20"/>
                <w:szCs w:val="20"/>
              </w:rPr>
              <w:t>-0.07 (-0.25,0.11)</w:t>
            </w:r>
          </w:p>
        </w:tc>
        <w:tc>
          <w:tcPr>
            <w:tcW w:w="2150" w:type="dxa"/>
            <w:shd w:val="clear" w:color="auto" w:fill="auto"/>
            <w:noWrap/>
            <w:vAlign w:val="bottom"/>
            <w:hideMark/>
          </w:tcPr>
          <w:p w14:paraId="20B548AD" w14:textId="77777777" w:rsidR="00C54BBB" w:rsidRDefault="00C54BBB" w:rsidP="00F40487">
            <w:pPr>
              <w:spacing w:after="0" w:line="240" w:lineRule="auto"/>
              <w:jc w:val="center"/>
              <w:rPr>
                <w:rFonts w:ascii="Times" w:hAnsi="Times" w:cs="Times"/>
                <w:sz w:val="20"/>
                <w:szCs w:val="20"/>
              </w:rPr>
            </w:pPr>
            <w:r w:rsidRPr="00F40487">
              <w:rPr>
                <w:rFonts w:ascii="Times" w:hAnsi="Times" w:cs="Times"/>
                <w:sz w:val="20"/>
                <w:szCs w:val="20"/>
              </w:rPr>
              <w:t>-0.04 (-0.25,0.17)</w:t>
            </w:r>
          </w:p>
          <w:p w14:paraId="65B1E8FD" w14:textId="77777777" w:rsidR="00C54BBB" w:rsidRDefault="00C54BBB" w:rsidP="00F40487">
            <w:pPr>
              <w:spacing w:after="0" w:line="240" w:lineRule="auto"/>
              <w:jc w:val="center"/>
              <w:rPr>
                <w:rFonts w:ascii="Times" w:hAnsi="Times" w:cs="Times"/>
                <w:sz w:val="20"/>
                <w:szCs w:val="20"/>
              </w:rPr>
            </w:pPr>
            <w:r>
              <w:rPr>
                <w:rFonts w:ascii="Times" w:hAnsi="Times" w:cs="Times"/>
                <w:sz w:val="20"/>
                <w:szCs w:val="20"/>
              </w:rPr>
              <w:t>vs</w:t>
            </w:r>
          </w:p>
          <w:p w14:paraId="7544316F" w14:textId="77777777" w:rsidR="00C54BBB" w:rsidRPr="00EF0E44" w:rsidRDefault="00C54BBB" w:rsidP="00F40487">
            <w:pPr>
              <w:spacing w:after="0" w:line="240" w:lineRule="auto"/>
              <w:jc w:val="center"/>
              <w:rPr>
                <w:rFonts w:ascii="Times" w:hAnsi="Times" w:cs="Times"/>
                <w:sz w:val="20"/>
                <w:szCs w:val="20"/>
              </w:rPr>
            </w:pPr>
            <w:r w:rsidRPr="00F40487">
              <w:rPr>
                <w:rFonts w:ascii="Times" w:hAnsi="Times" w:cs="Times"/>
                <w:sz w:val="20"/>
                <w:szCs w:val="20"/>
              </w:rPr>
              <w:t>-0.07 (-0.26,0.11)</w:t>
            </w:r>
          </w:p>
        </w:tc>
        <w:tc>
          <w:tcPr>
            <w:tcW w:w="2150" w:type="dxa"/>
            <w:shd w:val="clear" w:color="auto" w:fill="auto"/>
            <w:noWrap/>
            <w:vAlign w:val="bottom"/>
            <w:hideMark/>
          </w:tcPr>
          <w:p w14:paraId="5429755F" w14:textId="77777777" w:rsidR="00C54BBB" w:rsidRDefault="00C54BBB" w:rsidP="00F40487">
            <w:pPr>
              <w:spacing w:after="0" w:line="240" w:lineRule="auto"/>
              <w:jc w:val="center"/>
              <w:rPr>
                <w:rFonts w:ascii="Times" w:hAnsi="Times" w:cs="Times"/>
                <w:sz w:val="20"/>
                <w:szCs w:val="20"/>
              </w:rPr>
            </w:pPr>
            <w:r w:rsidRPr="00F40487">
              <w:rPr>
                <w:rFonts w:ascii="Times" w:hAnsi="Times" w:cs="Times"/>
                <w:sz w:val="20"/>
                <w:szCs w:val="20"/>
              </w:rPr>
              <w:t>0.13 (-0.33,0.59)</w:t>
            </w:r>
          </w:p>
          <w:p w14:paraId="558895B4" w14:textId="77777777" w:rsidR="00C54BBB" w:rsidRDefault="00C54BBB" w:rsidP="00F40487">
            <w:pPr>
              <w:spacing w:after="0" w:line="240" w:lineRule="auto"/>
              <w:jc w:val="center"/>
              <w:rPr>
                <w:rFonts w:ascii="Times" w:hAnsi="Times" w:cs="Times"/>
                <w:sz w:val="20"/>
                <w:szCs w:val="20"/>
              </w:rPr>
            </w:pPr>
            <w:r>
              <w:rPr>
                <w:rFonts w:ascii="Times" w:hAnsi="Times" w:cs="Times"/>
                <w:sz w:val="20"/>
                <w:szCs w:val="20"/>
              </w:rPr>
              <w:t>vs</w:t>
            </w:r>
          </w:p>
          <w:p w14:paraId="73E3EC36" w14:textId="77777777" w:rsidR="00C54BBB" w:rsidRPr="00EF0E44" w:rsidRDefault="00C54BBB" w:rsidP="00F40487">
            <w:pPr>
              <w:spacing w:after="0" w:line="240" w:lineRule="auto"/>
              <w:jc w:val="center"/>
              <w:rPr>
                <w:rFonts w:ascii="Times" w:hAnsi="Times" w:cs="Times"/>
                <w:sz w:val="20"/>
                <w:szCs w:val="20"/>
              </w:rPr>
            </w:pPr>
            <w:r w:rsidRPr="00F40487">
              <w:rPr>
                <w:rFonts w:ascii="Times" w:hAnsi="Times" w:cs="Times"/>
                <w:sz w:val="20"/>
                <w:szCs w:val="20"/>
              </w:rPr>
              <w:t>0.12 (-0.31,0.56)</w:t>
            </w:r>
          </w:p>
        </w:tc>
        <w:tc>
          <w:tcPr>
            <w:tcW w:w="2150" w:type="dxa"/>
            <w:shd w:val="clear" w:color="auto" w:fill="auto"/>
            <w:noWrap/>
            <w:vAlign w:val="bottom"/>
            <w:hideMark/>
          </w:tcPr>
          <w:p w14:paraId="09E9BAF2" w14:textId="77777777" w:rsidR="00C54BBB" w:rsidRDefault="00C54BBB" w:rsidP="00F40487">
            <w:pPr>
              <w:spacing w:after="0" w:line="240" w:lineRule="auto"/>
              <w:jc w:val="center"/>
              <w:rPr>
                <w:rFonts w:ascii="Times" w:hAnsi="Times" w:cs="Times"/>
                <w:sz w:val="20"/>
                <w:szCs w:val="20"/>
              </w:rPr>
            </w:pPr>
            <w:r w:rsidRPr="00F40487">
              <w:rPr>
                <w:rFonts w:ascii="Times" w:hAnsi="Times" w:cs="Times"/>
                <w:sz w:val="20"/>
                <w:szCs w:val="20"/>
              </w:rPr>
              <w:t>-0.03 (-0.32,0.25)</w:t>
            </w:r>
          </w:p>
          <w:p w14:paraId="66B59BF8" w14:textId="77777777" w:rsidR="00C54BBB" w:rsidRDefault="00C54BBB" w:rsidP="00F40487">
            <w:pPr>
              <w:spacing w:after="0" w:line="240" w:lineRule="auto"/>
              <w:jc w:val="center"/>
              <w:rPr>
                <w:rFonts w:ascii="Times" w:hAnsi="Times" w:cs="Times"/>
                <w:sz w:val="20"/>
                <w:szCs w:val="20"/>
              </w:rPr>
            </w:pPr>
            <w:r>
              <w:rPr>
                <w:rFonts w:ascii="Times" w:hAnsi="Times" w:cs="Times"/>
                <w:sz w:val="20"/>
                <w:szCs w:val="20"/>
              </w:rPr>
              <w:t>vs</w:t>
            </w:r>
          </w:p>
          <w:p w14:paraId="602D72ED" w14:textId="77777777" w:rsidR="00C54BBB" w:rsidRPr="00EF0E44" w:rsidRDefault="00C54BBB" w:rsidP="00F40487">
            <w:pPr>
              <w:spacing w:after="0" w:line="240" w:lineRule="auto"/>
              <w:jc w:val="center"/>
              <w:rPr>
                <w:rFonts w:ascii="Times" w:hAnsi="Times" w:cs="Times"/>
                <w:sz w:val="20"/>
                <w:szCs w:val="20"/>
              </w:rPr>
            </w:pPr>
            <w:r w:rsidRPr="00F40487">
              <w:rPr>
                <w:rFonts w:ascii="Times" w:hAnsi="Times" w:cs="Times"/>
                <w:sz w:val="20"/>
                <w:szCs w:val="20"/>
              </w:rPr>
              <w:t>-0.05 (-0.33,0.22)</w:t>
            </w:r>
          </w:p>
        </w:tc>
        <w:tc>
          <w:tcPr>
            <w:tcW w:w="2150" w:type="dxa"/>
            <w:shd w:val="clear" w:color="auto" w:fill="auto"/>
            <w:noWrap/>
            <w:vAlign w:val="bottom"/>
            <w:hideMark/>
          </w:tcPr>
          <w:p w14:paraId="4A9ED546" w14:textId="77777777" w:rsidR="00C54BBB" w:rsidRDefault="00C54BBB" w:rsidP="00F40487">
            <w:pPr>
              <w:spacing w:after="0" w:line="240" w:lineRule="auto"/>
              <w:jc w:val="center"/>
              <w:rPr>
                <w:rFonts w:ascii="Times" w:hAnsi="Times" w:cs="Times"/>
                <w:sz w:val="20"/>
                <w:szCs w:val="20"/>
              </w:rPr>
            </w:pPr>
            <w:r w:rsidRPr="00F40487">
              <w:rPr>
                <w:rFonts w:ascii="Times" w:hAnsi="Times" w:cs="Times"/>
                <w:sz w:val="20"/>
                <w:szCs w:val="20"/>
              </w:rPr>
              <w:t>-0.03 (-0.32,0.27)</w:t>
            </w:r>
          </w:p>
          <w:p w14:paraId="4A68BCD7" w14:textId="77777777" w:rsidR="00C54BBB" w:rsidRDefault="00C54BBB" w:rsidP="00F40487">
            <w:pPr>
              <w:spacing w:after="0" w:line="240" w:lineRule="auto"/>
              <w:jc w:val="center"/>
              <w:rPr>
                <w:rFonts w:ascii="Times" w:hAnsi="Times" w:cs="Times"/>
                <w:sz w:val="20"/>
                <w:szCs w:val="20"/>
              </w:rPr>
            </w:pPr>
            <w:r>
              <w:rPr>
                <w:rFonts w:ascii="Times" w:hAnsi="Times" w:cs="Times"/>
                <w:sz w:val="20"/>
                <w:szCs w:val="20"/>
              </w:rPr>
              <w:t>vs</w:t>
            </w:r>
          </w:p>
          <w:p w14:paraId="2F2158DA" w14:textId="77777777" w:rsidR="00C54BBB" w:rsidRPr="00EF0E44" w:rsidRDefault="00C54BBB" w:rsidP="00F40487">
            <w:pPr>
              <w:spacing w:after="0" w:line="240" w:lineRule="auto"/>
              <w:jc w:val="center"/>
              <w:rPr>
                <w:rFonts w:ascii="Times" w:hAnsi="Times" w:cs="Times"/>
                <w:sz w:val="20"/>
                <w:szCs w:val="20"/>
              </w:rPr>
            </w:pPr>
            <w:r w:rsidRPr="00F40487">
              <w:rPr>
                <w:rFonts w:ascii="Times" w:hAnsi="Times" w:cs="Times"/>
                <w:sz w:val="20"/>
                <w:szCs w:val="20"/>
              </w:rPr>
              <w:t>-0.05 (-0.33,0.22)</w:t>
            </w:r>
          </w:p>
        </w:tc>
      </w:tr>
      <w:tr w:rsidR="00C54BBB" w:rsidRPr="00C362E1" w14:paraId="2CD286FF" w14:textId="77777777" w:rsidTr="007F563D">
        <w:trPr>
          <w:trHeight w:val="326"/>
          <w:jc w:val="center"/>
        </w:trPr>
        <w:tc>
          <w:tcPr>
            <w:tcW w:w="709" w:type="dxa"/>
            <w:vMerge/>
            <w:shd w:val="clear" w:color="auto" w:fill="E7E6E6" w:themeFill="background2"/>
            <w:noWrap/>
            <w:textDirection w:val="btLr"/>
            <w:vAlign w:val="center"/>
            <w:hideMark/>
          </w:tcPr>
          <w:p w14:paraId="003CD952" w14:textId="77777777" w:rsidR="00C54BBB" w:rsidRPr="00EF0E44" w:rsidRDefault="00C54BBB" w:rsidP="00EF0E44">
            <w:pPr>
              <w:spacing w:after="0" w:line="240" w:lineRule="auto"/>
              <w:jc w:val="center"/>
              <w:rPr>
                <w:rFonts w:ascii="Times" w:hAnsi="Times" w:cs="Times"/>
                <w:sz w:val="20"/>
                <w:szCs w:val="20"/>
              </w:rPr>
            </w:pPr>
          </w:p>
        </w:tc>
        <w:tc>
          <w:tcPr>
            <w:tcW w:w="2149" w:type="dxa"/>
            <w:shd w:val="clear" w:color="auto" w:fill="E7E6E6" w:themeFill="background2"/>
            <w:noWrap/>
            <w:vAlign w:val="bottom"/>
            <w:hideMark/>
          </w:tcPr>
          <w:p w14:paraId="3969D38A"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(-0.07,0.06)</w:t>
            </w:r>
          </w:p>
          <w:p w14:paraId="2BE52A2E"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118FEECC"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-0.01 (-0.07,0.06)</w:t>
            </w:r>
          </w:p>
        </w:tc>
        <w:tc>
          <w:tcPr>
            <w:tcW w:w="2150" w:type="dxa"/>
            <w:shd w:val="clear" w:color="auto" w:fill="auto"/>
            <w:noWrap/>
            <w:vAlign w:val="center"/>
            <w:hideMark/>
          </w:tcPr>
          <w:p w14:paraId="59C8B18B" w14:textId="77777777" w:rsidR="00C54BBB" w:rsidRPr="00EF0E44" w:rsidRDefault="00C54BBB" w:rsidP="00EF0E44">
            <w:pPr>
              <w:spacing w:after="0" w:line="240" w:lineRule="auto"/>
              <w:jc w:val="center"/>
              <w:rPr>
                <w:rFonts w:ascii="Times" w:hAnsi="Times" w:cs="Times"/>
                <w:b/>
                <w:bCs/>
                <w:sz w:val="20"/>
                <w:szCs w:val="20"/>
              </w:rPr>
            </w:pPr>
            <w:r w:rsidRPr="00EF0E44">
              <w:rPr>
                <w:rFonts w:ascii="Times" w:hAnsi="Times" w:cs="Times"/>
                <w:b/>
                <w:bCs/>
                <w:sz w:val="20"/>
                <w:szCs w:val="20"/>
              </w:rPr>
              <w:lastRenderedPageBreak/>
              <w:t>OLS</w:t>
            </w:r>
          </w:p>
          <w:p w14:paraId="03500C7F"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b/>
                <w:bCs/>
                <w:sz w:val="20"/>
                <w:szCs w:val="20"/>
              </w:rPr>
              <w:t>DL</w:t>
            </w:r>
          </w:p>
        </w:tc>
        <w:tc>
          <w:tcPr>
            <w:tcW w:w="2150" w:type="dxa"/>
            <w:shd w:val="clear" w:color="auto" w:fill="auto"/>
            <w:noWrap/>
            <w:vAlign w:val="bottom"/>
            <w:hideMark/>
          </w:tcPr>
          <w:p w14:paraId="30FC264D"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0.00 (-0.02,0.02)</w:t>
            </w:r>
          </w:p>
          <w:p w14:paraId="54561A5C"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063E29B8" w14:textId="77777777" w:rsidR="00C54BBB" w:rsidRPr="00EF0E44" w:rsidRDefault="00C54BBB" w:rsidP="00EF0E44">
            <w:pPr>
              <w:spacing w:after="0" w:line="240" w:lineRule="auto"/>
              <w:jc w:val="center"/>
              <w:rPr>
                <w:rFonts w:ascii="Times" w:hAnsi="Times" w:cs="Times"/>
                <w:sz w:val="20"/>
                <w:szCs w:val="20"/>
              </w:rPr>
            </w:pPr>
            <w:r>
              <w:rPr>
                <w:rFonts w:ascii="Times" w:hAnsi="Times" w:cs="Times"/>
                <w:sz w:val="20"/>
                <w:szCs w:val="20"/>
              </w:rPr>
              <w:lastRenderedPageBreak/>
              <w:t>0.00</w:t>
            </w:r>
            <w:r w:rsidRPr="00EF0E44">
              <w:rPr>
                <w:rFonts w:ascii="Times" w:hAnsi="Times" w:cs="Times"/>
                <w:sz w:val="20"/>
                <w:szCs w:val="20"/>
              </w:rPr>
              <w:t xml:space="preserve"> (-0.01,0.00)</w:t>
            </w:r>
          </w:p>
        </w:tc>
        <w:tc>
          <w:tcPr>
            <w:tcW w:w="2150" w:type="dxa"/>
            <w:shd w:val="clear" w:color="auto" w:fill="auto"/>
            <w:noWrap/>
            <w:vAlign w:val="bottom"/>
            <w:hideMark/>
          </w:tcPr>
          <w:p w14:paraId="19D339B5"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0.17 (-0.32,0.66)</w:t>
            </w:r>
          </w:p>
          <w:p w14:paraId="5759A1A1"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249A8544"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0.19 (-0.26,0.64)</w:t>
            </w:r>
          </w:p>
        </w:tc>
        <w:tc>
          <w:tcPr>
            <w:tcW w:w="2150" w:type="dxa"/>
            <w:shd w:val="clear" w:color="auto" w:fill="auto"/>
            <w:noWrap/>
            <w:vAlign w:val="bottom"/>
            <w:hideMark/>
          </w:tcPr>
          <w:p w14:paraId="56F74B22"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0.01 (-0.14,0.16)</w:t>
            </w:r>
          </w:p>
          <w:p w14:paraId="680A317D"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6A1975F4"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0.01 (-0.13,0.15)</w:t>
            </w:r>
          </w:p>
        </w:tc>
        <w:tc>
          <w:tcPr>
            <w:tcW w:w="2150" w:type="dxa"/>
            <w:shd w:val="clear" w:color="auto" w:fill="auto"/>
            <w:noWrap/>
            <w:vAlign w:val="bottom"/>
            <w:hideMark/>
          </w:tcPr>
          <w:p w14:paraId="6DCF00E8"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0.01 (-0.13,0.16)</w:t>
            </w:r>
          </w:p>
          <w:p w14:paraId="3962BA5E"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1B948C2E"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lastRenderedPageBreak/>
              <w:t>0.01 (-0.12,0.15)</w:t>
            </w:r>
          </w:p>
        </w:tc>
      </w:tr>
      <w:tr w:rsidR="00C54BBB" w:rsidRPr="00C362E1" w14:paraId="31489FD4" w14:textId="77777777" w:rsidTr="00664F37">
        <w:trPr>
          <w:trHeight w:val="326"/>
          <w:jc w:val="center"/>
        </w:trPr>
        <w:tc>
          <w:tcPr>
            <w:tcW w:w="709" w:type="dxa"/>
            <w:vMerge/>
            <w:shd w:val="clear" w:color="auto" w:fill="E7E6E6" w:themeFill="background2"/>
            <w:noWrap/>
            <w:textDirection w:val="btLr"/>
            <w:vAlign w:val="center"/>
            <w:hideMark/>
          </w:tcPr>
          <w:p w14:paraId="2391A6A7" w14:textId="77777777" w:rsidR="00C54BBB" w:rsidRPr="00EF0E44" w:rsidRDefault="00C54BBB" w:rsidP="00EF0E44">
            <w:pPr>
              <w:spacing w:after="0" w:line="240" w:lineRule="auto"/>
              <w:jc w:val="center"/>
              <w:rPr>
                <w:rFonts w:ascii="Times" w:hAnsi="Times" w:cs="Times"/>
                <w:sz w:val="20"/>
                <w:szCs w:val="20"/>
              </w:rPr>
            </w:pPr>
          </w:p>
        </w:tc>
        <w:tc>
          <w:tcPr>
            <w:tcW w:w="2149" w:type="dxa"/>
            <w:shd w:val="clear" w:color="auto" w:fill="E7E6E6" w:themeFill="background2"/>
            <w:noWrap/>
            <w:vAlign w:val="bottom"/>
            <w:hideMark/>
          </w:tcPr>
          <w:p w14:paraId="25B3091F"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0.00</w:t>
            </w:r>
            <w:r w:rsidRPr="00EF0E44">
              <w:rPr>
                <w:rFonts w:ascii="Times" w:hAnsi="Times" w:cs="Times"/>
                <w:sz w:val="20"/>
                <w:szCs w:val="20"/>
              </w:rPr>
              <w:t xml:space="preserve"> (-0.08,0.07)</w:t>
            </w:r>
          </w:p>
          <w:p w14:paraId="6071A36E"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0297A382"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0.00 (-0.08,0.09)</w:t>
            </w:r>
          </w:p>
        </w:tc>
        <w:tc>
          <w:tcPr>
            <w:tcW w:w="2150" w:type="dxa"/>
            <w:shd w:val="clear" w:color="auto" w:fill="E7E6E6" w:themeFill="background2"/>
            <w:noWrap/>
            <w:vAlign w:val="bottom"/>
            <w:hideMark/>
          </w:tcPr>
          <w:p w14:paraId="0E685EF6"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0.00 (-0.02,0.02)</w:t>
            </w:r>
          </w:p>
          <w:p w14:paraId="550FC7B4"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596D280B"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(-0.03,0.05)</w:t>
            </w:r>
          </w:p>
        </w:tc>
        <w:tc>
          <w:tcPr>
            <w:tcW w:w="2150" w:type="dxa"/>
            <w:shd w:val="clear" w:color="auto" w:fill="auto"/>
            <w:noWrap/>
            <w:vAlign w:val="center"/>
            <w:hideMark/>
          </w:tcPr>
          <w:p w14:paraId="4BA61E2A" w14:textId="77777777" w:rsidR="00C54BBB" w:rsidRPr="00EF0E44" w:rsidRDefault="00C54BBB" w:rsidP="00EF0E44">
            <w:pPr>
              <w:spacing w:after="0" w:line="240" w:lineRule="auto"/>
              <w:jc w:val="center"/>
              <w:rPr>
                <w:rFonts w:ascii="Times" w:hAnsi="Times" w:cs="Times"/>
                <w:b/>
                <w:bCs/>
                <w:sz w:val="20"/>
                <w:szCs w:val="20"/>
              </w:rPr>
            </w:pPr>
            <w:r w:rsidRPr="00EF0E44">
              <w:rPr>
                <w:rFonts w:ascii="Times" w:hAnsi="Times" w:cs="Times"/>
                <w:b/>
                <w:bCs/>
                <w:sz w:val="20"/>
                <w:szCs w:val="20"/>
              </w:rPr>
              <w:t>OLS</w:t>
            </w:r>
          </w:p>
          <w:p w14:paraId="3EE007E0"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b/>
                <w:bCs/>
                <w:sz w:val="20"/>
                <w:szCs w:val="20"/>
              </w:rPr>
              <w:t>REML</w:t>
            </w:r>
          </w:p>
        </w:tc>
        <w:tc>
          <w:tcPr>
            <w:tcW w:w="2150" w:type="dxa"/>
            <w:shd w:val="clear" w:color="auto" w:fill="auto"/>
            <w:noWrap/>
            <w:vAlign w:val="bottom"/>
            <w:hideMark/>
          </w:tcPr>
          <w:p w14:paraId="339AF551"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0.17 (-0.33,0.67)</w:t>
            </w:r>
          </w:p>
          <w:p w14:paraId="5AC1EF34"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5D02825E"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0.19 (-0.26,0.65)</w:t>
            </w:r>
          </w:p>
        </w:tc>
        <w:tc>
          <w:tcPr>
            <w:tcW w:w="2150" w:type="dxa"/>
            <w:shd w:val="clear" w:color="auto" w:fill="auto"/>
            <w:noWrap/>
            <w:vAlign w:val="bottom"/>
            <w:hideMark/>
          </w:tcPr>
          <w:p w14:paraId="4450403E"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(-0.14,0.16)</w:t>
            </w:r>
          </w:p>
          <w:p w14:paraId="55BD5A2C"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5C39270B"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(-0.12,0.16)</w:t>
            </w:r>
          </w:p>
        </w:tc>
        <w:tc>
          <w:tcPr>
            <w:tcW w:w="2150" w:type="dxa"/>
            <w:shd w:val="clear" w:color="auto" w:fill="auto"/>
            <w:noWrap/>
            <w:vAlign w:val="bottom"/>
            <w:hideMark/>
          </w:tcPr>
          <w:p w14:paraId="179BC1C4"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(-0.13,0.16)</w:t>
            </w:r>
          </w:p>
          <w:p w14:paraId="4D653DD7"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40023F71"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(-0.12,0.15)</w:t>
            </w:r>
          </w:p>
        </w:tc>
      </w:tr>
      <w:tr w:rsidR="00C54BBB" w:rsidRPr="00C362E1" w14:paraId="18F3F683" w14:textId="77777777" w:rsidTr="006052AC">
        <w:trPr>
          <w:trHeight w:val="326"/>
          <w:jc w:val="center"/>
        </w:trPr>
        <w:tc>
          <w:tcPr>
            <w:tcW w:w="709" w:type="dxa"/>
            <w:vMerge/>
            <w:shd w:val="clear" w:color="auto" w:fill="E7E6E6" w:themeFill="background2"/>
            <w:noWrap/>
            <w:textDirection w:val="btLr"/>
            <w:vAlign w:val="center"/>
            <w:hideMark/>
          </w:tcPr>
          <w:p w14:paraId="4A285052" w14:textId="77777777" w:rsidR="00C54BBB" w:rsidRPr="00EF0E44" w:rsidRDefault="00C54BBB" w:rsidP="00EF0E44">
            <w:pPr>
              <w:spacing w:after="0" w:line="240" w:lineRule="auto"/>
              <w:jc w:val="center"/>
              <w:rPr>
                <w:rFonts w:ascii="Times" w:hAnsi="Times" w:cs="Times"/>
                <w:sz w:val="20"/>
                <w:szCs w:val="20"/>
              </w:rPr>
            </w:pPr>
          </w:p>
        </w:tc>
        <w:tc>
          <w:tcPr>
            <w:tcW w:w="2149" w:type="dxa"/>
            <w:shd w:val="clear" w:color="auto" w:fill="E7E6E6" w:themeFill="background2"/>
            <w:noWrap/>
            <w:vAlign w:val="bottom"/>
            <w:hideMark/>
          </w:tcPr>
          <w:p w14:paraId="079E3E7F"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(-0.07,0.08)</w:t>
            </w:r>
          </w:p>
          <w:p w14:paraId="5CD04668"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3D29ED6E"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(-0.08,0.11)</w:t>
            </w:r>
          </w:p>
        </w:tc>
        <w:tc>
          <w:tcPr>
            <w:tcW w:w="2150" w:type="dxa"/>
            <w:shd w:val="clear" w:color="auto" w:fill="E7E6E6" w:themeFill="background2"/>
            <w:noWrap/>
            <w:vAlign w:val="bottom"/>
            <w:hideMark/>
          </w:tcPr>
          <w:p w14:paraId="0C867326"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(-0.02,0.05)</w:t>
            </w:r>
          </w:p>
          <w:p w14:paraId="1CFC38A5"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1315E27E"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(-0.04,0.08)</w:t>
            </w:r>
          </w:p>
        </w:tc>
        <w:tc>
          <w:tcPr>
            <w:tcW w:w="2150" w:type="dxa"/>
            <w:shd w:val="clear" w:color="auto" w:fill="E7E6E6" w:themeFill="background2"/>
            <w:noWrap/>
            <w:vAlign w:val="bottom"/>
            <w:hideMark/>
          </w:tcPr>
          <w:p w14:paraId="499EB95D"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(-0.04,0.06)</w:t>
            </w:r>
          </w:p>
          <w:p w14:paraId="693A0A76"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72B03D5C"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(-0.07,0.09)</w:t>
            </w:r>
          </w:p>
        </w:tc>
        <w:tc>
          <w:tcPr>
            <w:tcW w:w="2150" w:type="dxa"/>
            <w:shd w:val="clear" w:color="auto" w:fill="auto"/>
            <w:noWrap/>
            <w:vAlign w:val="center"/>
            <w:hideMark/>
          </w:tcPr>
          <w:p w14:paraId="6E2EF339" w14:textId="77777777" w:rsidR="00C54BBB" w:rsidRPr="00EF0E44" w:rsidRDefault="00C54BBB" w:rsidP="00EF0E44">
            <w:pPr>
              <w:spacing w:after="0" w:line="240" w:lineRule="auto"/>
              <w:jc w:val="center"/>
              <w:rPr>
                <w:rFonts w:ascii="Times" w:hAnsi="Times" w:cs="Times"/>
                <w:b/>
                <w:bCs/>
                <w:sz w:val="20"/>
                <w:szCs w:val="20"/>
              </w:rPr>
            </w:pPr>
            <w:r w:rsidRPr="00EF0E44">
              <w:rPr>
                <w:rFonts w:ascii="Times" w:hAnsi="Times" w:cs="Times"/>
                <w:b/>
                <w:bCs/>
                <w:sz w:val="20"/>
                <w:szCs w:val="20"/>
              </w:rPr>
              <w:t>REML</w:t>
            </w:r>
          </w:p>
          <w:p w14:paraId="1A35B4D7"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b/>
                <w:bCs/>
                <w:sz w:val="20"/>
                <w:szCs w:val="20"/>
              </w:rPr>
              <w:t>Fixed</w:t>
            </w:r>
          </w:p>
        </w:tc>
        <w:tc>
          <w:tcPr>
            <w:tcW w:w="2150" w:type="dxa"/>
            <w:shd w:val="clear" w:color="auto" w:fill="auto"/>
            <w:noWrap/>
            <w:vAlign w:val="bottom"/>
            <w:hideMark/>
          </w:tcPr>
          <w:p w14:paraId="19675B93"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-0.16 (-0.66,0.34)</w:t>
            </w:r>
          </w:p>
          <w:p w14:paraId="2D30C41C"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42E0385E"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-0.18 (-0.65,0.29)</w:t>
            </w:r>
          </w:p>
        </w:tc>
        <w:tc>
          <w:tcPr>
            <w:tcW w:w="2150" w:type="dxa"/>
            <w:shd w:val="clear" w:color="auto" w:fill="auto"/>
            <w:noWrap/>
            <w:vAlign w:val="bottom"/>
            <w:hideMark/>
          </w:tcPr>
          <w:p w14:paraId="2EDF51F4"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-0.16 (-0.66,0.34)</w:t>
            </w:r>
          </w:p>
          <w:p w14:paraId="4857D562"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6CA1DEF9"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-0.18 (-0.64,0.28)</w:t>
            </w:r>
          </w:p>
        </w:tc>
      </w:tr>
      <w:tr w:rsidR="00C54BBB" w:rsidRPr="00C362E1" w14:paraId="25FEE295" w14:textId="77777777" w:rsidTr="007A2257">
        <w:trPr>
          <w:trHeight w:val="326"/>
          <w:jc w:val="center"/>
        </w:trPr>
        <w:tc>
          <w:tcPr>
            <w:tcW w:w="709" w:type="dxa"/>
            <w:vMerge/>
            <w:shd w:val="clear" w:color="auto" w:fill="E7E6E6" w:themeFill="background2"/>
            <w:noWrap/>
            <w:vAlign w:val="center"/>
            <w:hideMark/>
          </w:tcPr>
          <w:p w14:paraId="6244C366" w14:textId="77777777" w:rsidR="00C54BBB" w:rsidRPr="00EF0E44" w:rsidRDefault="00C54BBB" w:rsidP="00EF0E44">
            <w:pPr>
              <w:spacing w:after="0" w:line="240" w:lineRule="auto"/>
              <w:jc w:val="center"/>
              <w:rPr>
                <w:rFonts w:ascii="Times" w:hAnsi="Times" w:cs="Times"/>
                <w:sz w:val="20"/>
                <w:szCs w:val="20"/>
              </w:rPr>
            </w:pPr>
          </w:p>
        </w:tc>
        <w:tc>
          <w:tcPr>
            <w:tcW w:w="2149" w:type="dxa"/>
            <w:shd w:val="clear" w:color="auto" w:fill="E7E6E6" w:themeFill="background2"/>
            <w:noWrap/>
            <w:vAlign w:val="bottom"/>
            <w:hideMark/>
          </w:tcPr>
          <w:p w14:paraId="030908A9"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(-0.09,0.11)</w:t>
            </w:r>
          </w:p>
          <w:p w14:paraId="0C9DDE64"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1F694F24"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(-0.09,0.13)</w:t>
            </w:r>
          </w:p>
        </w:tc>
        <w:tc>
          <w:tcPr>
            <w:tcW w:w="2150" w:type="dxa"/>
            <w:shd w:val="clear" w:color="auto" w:fill="E7E6E6" w:themeFill="background2"/>
            <w:noWrap/>
            <w:vAlign w:val="bottom"/>
            <w:hideMark/>
          </w:tcPr>
          <w:p w14:paraId="260DD403"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(-0.03,0.07)</w:t>
            </w:r>
          </w:p>
          <w:p w14:paraId="7B8B4DAB"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2A2F81C3"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0.03 (-0.03,0.08)</w:t>
            </w:r>
          </w:p>
        </w:tc>
        <w:tc>
          <w:tcPr>
            <w:tcW w:w="2150" w:type="dxa"/>
            <w:shd w:val="clear" w:color="auto" w:fill="E7E6E6" w:themeFill="background2"/>
            <w:noWrap/>
            <w:vAlign w:val="bottom"/>
            <w:hideMark/>
          </w:tcPr>
          <w:p w14:paraId="7B91CF9B"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(-0.03,0.06)</w:t>
            </w:r>
          </w:p>
          <w:p w14:paraId="23D66F3C"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7476296F"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(-0.02,0.06)</w:t>
            </w:r>
          </w:p>
        </w:tc>
        <w:tc>
          <w:tcPr>
            <w:tcW w:w="2150" w:type="dxa"/>
            <w:shd w:val="clear" w:color="auto" w:fill="E7E6E6" w:themeFill="background2"/>
            <w:noWrap/>
            <w:vAlign w:val="bottom"/>
            <w:hideMark/>
          </w:tcPr>
          <w:p w14:paraId="742082F4"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(-0.05,0.06)</w:t>
            </w:r>
          </w:p>
          <w:p w14:paraId="1E4CBFC2"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0165255C"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(-0.06,0.08)</w:t>
            </w:r>
          </w:p>
        </w:tc>
        <w:tc>
          <w:tcPr>
            <w:tcW w:w="2150" w:type="dxa"/>
            <w:shd w:val="clear" w:color="auto" w:fill="auto"/>
            <w:noWrap/>
            <w:vAlign w:val="center"/>
            <w:hideMark/>
          </w:tcPr>
          <w:p w14:paraId="2056F086" w14:textId="77777777" w:rsidR="00C54BBB" w:rsidRPr="00EF0E44" w:rsidRDefault="00C54BBB" w:rsidP="00EF0E44">
            <w:pPr>
              <w:spacing w:after="0" w:line="240" w:lineRule="auto"/>
              <w:jc w:val="center"/>
              <w:rPr>
                <w:rFonts w:ascii="Times" w:hAnsi="Times" w:cs="Times"/>
                <w:b/>
                <w:bCs/>
                <w:sz w:val="20"/>
                <w:szCs w:val="20"/>
              </w:rPr>
            </w:pPr>
            <w:r w:rsidRPr="00EF0E44">
              <w:rPr>
                <w:rFonts w:ascii="Times" w:hAnsi="Times" w:cs="Times"/>
                <w:b/>
                <w:bCs/>
                <w:sz w:val="20"/>
                <w:szCs w:val="20"/>
              </w:rPr>
              <w:t>REML</w:t>
            </w:r>
          </w:p>
          <w:p w14:paraId="4255FDB4"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b/>
                <w:bCs/>
                <w:sz w:val="20"/>
                <w:szCs w:val="20"/>
              </w:rPr>
              <w:t>DL</w:t>
            </w:r>
          </w:p>
        </w:tc>
        <w:tc>
          <w:tcPr>
            <w:tcW w:w="2150" w:type="dxa"/>
            <w:shd w:val="clear" w:color="auto" w:fill="auto"/>
            <w:noWrap/>
            <w:vAlign w:val="bottom"/>
            <w:hideMark/>
          </w:tcPr>
          <w:p w14:paraId="77F2AA22"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(-0.02,0.03)</w:t>
            </w:r>
          </w:p>
          <w:p w14:paraId="3375C44D"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47F891D1"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0.00 (-0.02,0.02)</w:t>
            </w:r>
          </w:p>
        </w:tc>
      </w:tr>
      <w:tr w:rsidR="00C54BBB" w:rsidRPr="00852AEE" w14:paraId="68548832" w14:textId="77777777" w:rsidTr="002275F2">
        <w:trPr>
          <w:trHeight w:val="326"/>
          <w:jc w:val="center"/>
        </w:trPr>
        <w:tc>
          <w:tcPr>
            <w:tcW w:w="709" w:type="dxa"/>
            <w:vMerge/>
            <w:shd w:val="clear" w:color="auto" w:fill="E7E6E6" w:themeFill="background2"/>
            <w:noWrap/>
            <w:vAlign w:val="center"/>
            <w:hideMark/>
          </w:tcPr>
          <w:p w14:paraId="3E4737EF" w14:textId="77777777" w:rsidR="00C54BBB" w:rsidRPr="00EF0E44" w:rsidRDefault="00C54BBB" w:rsidP="00EF0E44">
            <w:pPr>
              <w:spacing w:after="0" w:line="240" w:lineRule="auto"/>
              <w:jc w:val="center"/>
              <w:rPr>
                <w:rFonts w:ascii="Times" w:hAnsi="Times" w:cs="Times"/>
                <w:sz w:val="20"/>
                <w:szCs w:val="20"/>
              </w:rPr>
            </w:pPr>
          </w:p>
        </w:tc>
        <w:tc>
          <w:tcPr>
            <w:tcW w:w="2149" w:type="dxa"/>
            <w:shd w:val="clear" w:color="auto" w:fill="E7E6E6" w:themeFill="background2"/>
            <w:noWrap/>
            <w:vAlign w:val="bottom"/>
            <w:hideMark/>
          </w:tcPr>
          <w:p w14:paraId="4D39A271"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(-0.11,0.15)</w:t>
            </w:r>
          </w:p>
          <w:p w14:paraId="3719A1FE"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6D68580D"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0.04 (-0.10,0.18)</w:t>
            </w:r>
          </w:p>
        </w:tc>
        <w:tc>
          <w:tcPr>
            <w:tcW w:w="2150" w:type="dxa"/>
            <w:shd w:val="clear" w:color="auto" w:fill="E7E6E6" w:themeFill="background2"/>
            <w:noWrap/>
            <w:vAlign w:val="bottom"/>
            <w:hideMark/>
          </w:tcPr>
          <w:p w14:paraId="5706CF33"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(-0.06,0.11)</w:t>
            </w:r>
          </w:p>
          <w:p w14:paraId="3B47C7B2"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4BC4CE48"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0.04 (-0.05,0.14)</w:t>
            </w:r>
          </w:p>
        </w:tc>
        <w:tc>
          <w:tcPr>
            <w:tcW w:w="2150" w:type="dxa"/>
            <w:shd w:val="clear" w:color="auto" w:fill="E7E6E6" w:themeFill="background2"/>
            <w:noWrap/>
            <w:vAlign w:val="bottom"/>
            <w:hideMark/>
          </w:tcPr>
          <w:p w14:paraId="582A7918"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(-0.05,0.09)</w:t>
            </w:r>
          </w:p>
          <w:p w14:paraId="70747EDC"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4033A267"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0.03 (-0.03,0.10)</w:t>
            </w:r>
          </w:p>
        </w:tc>
        <w:tc>
          <w:tcPr>
            <w:tcW w:w="2150" w:type="dxa"/>
            <w:shd w:val="clear" w:color="auto" w:fill="E7E6E6" w:themeFill="background2"/>
            <w:noWrap/>
            <w:vAlign w:val="bottom"/>
            <w:hideMark/>
          </w:tcPr>
          <w:p w14:paraId="17EA133A"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(-0.08,0.10)</w:t>
            </w:r>
          </w:p>
          <w:p w14:paraId="09F04854"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62137117"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(-0.09,0.14)</w:t>
            </w:r>
          </w:p>
        </w:tc>
        <w:tc>
          <w:tcPr>
            <w:tcW w:w="2150" w:type="dxa"/>
            <w:shd w:val="clear" w:color="auto" w:fill="E7E6E6" w:themeFill="background2"/>
            <w:noWrap/>
            <w:vAlign w:val="bottom"/>
            <w:hideMark/>
          </w:tcPr>
          <w:p w14:paraId="1EE67080" w14:textId="77777777" w:rsidR="00C54BBB" w:rsidRDefault="00C54BBB" w:rsidP="00EF0E44">
            <w:pPr>
              <w:spacing w:after="0" w:line="240" w:lineRule="auto"/>
              <w:jc w:val="center"/>
              <w:rPr>
                <w:rFonts w:ascii="Times" w:hAnsi="Times" w:cs="Times"/>
                <w:sz w:val="20"/>
                <w:szCs w:val="20"/>
              </w:rPr>
            </w:pPr>
            <w:r w:rsidRPr="00EF0E44">
              <w:rPr>
                <w:rFonts w:ascii="Times" w:hAnsi="Times" w:cs="Times"/>
                <w:sz w:val="20"/>
                <w:szCs w:val="20"/>
              </w:rPr>
              <w:t>0.01 (-0.03,0.04)</w:t>
            </w:r>
          </w:p>
          <w:p w14:paraId="09769C9F" w14:textId="77777777" w:rsidR="00C54BBB" w:rsidRDefault="00C54BBB" w:rsidP="00EF0E44">
            <w:pPr>
              <w:spacing w:after="0" w:line="240" w:lineRule="auto"/>
              <w:jc w:val="center"/>
              <w:rPr>
                <w:rFonts w:ascii="Times" w:hAnsi="Times" w:cs="Times"/>
                <w:sz w:val="20"/>
                <w:szCs w:val="20"/>
              </w:rPr>
            </w:pPr>
            <w:r>
              <w:rPr>
                <w:rFonts w:ascii="Times" w:hAnsi="Times" w:cs="Times"/>
                <w:sz w:val="20"/>
                <w:szCs w:val="20"/>
              </w:rPr>
              <w:t>vs</w:t>
            </w:r>
          </w:p>
          <w:p w14:paraId="26632321"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sz w:val="20"/>
                <w:szCs w:val="20"/>
              </w:rPr>
              <w:t>0.02 (-0.03,0.06)</w:t>
            </w:r>
          </w:p>
        </w:tc>
        <w:tc>
          <w:tcPr>
            <w:tcW w:w="2150" w:type="dxa"/>
            <w:shd w:val="clear" w:color="auto" w:fill="auto"/>
            <w:noWrap/>
            <w:vAlign w:val="center"/>
            <w:hideMark/>
          </w:tcPr>
          <w:p w14:paraId="444778A3" w14:textId="77777777" w:rsidR="00C54BBB" w:rsidRPr="00EF0E44" w:rsidRDefault="00C54BBB" w:rsidP="00EF0E44">
            <w:pPr>
              <w:spacing w:after="0" w:line="240" w:lineRule="auto"/>
              <w:jc w:val="center"/>
              <w:rPr>
                <w:rFonts w:ascii="Times" w:hAnsi="Times" w:cs="Times"/>
                <w:b/>
                <w:bCs/>
                <w:sz w:val="20"/>
                <w:szCs w:val="20"/>
              </w:rPr>
            </w:pPr>
            <w:r w:rsidRPr="00EF0E44">
              <w:rPr>
                <w:rFonts w:ascii="Times" w:hAnsi="Times" w:cs="Times"/>
                <w:b/>
                <w:bCs/>
                <w:sz w:val="20"/>
                <w:szCs w:val="20"/>
              </w:rPr>
              <w:t>REML</w:t>
            </w:r>
          </w:p>
          <w:p w14:paraId="04EBE248" w14:textId="77777777" w:rsidR="00C54BBB" w:rsidRPr="00EF0E44" w:rsidRDefault="00C54BBB" w:rsidP="00EF0E44">
            <w:pPr>
              <w:spacing w:after="0" w:line="240" w:lineRule="auto"/>
              <w:jc w:val="center"/>
              <w:rPr>
                <w:rFonts w:ascii="Times" w:hAnsi="Times" w:cs="Times"/>
                <w:sz w:val="20"/>
                <w:szCs w:val="20"/>
              </w:rPr>
            </w:pPr>
            <w:r w:rsidRPr="00EF0E44">
              <w:rPr>
                <w:rFonts w:ascii="Times" w:hAnsi="Times" w:cs="Times"/>
                <w:b/>
                <w:bCs/>
                <w:sz w:val="20"/>
                <w:szCs w:val="20"/>
              </w:rPr>
              <w:t>REML</w:t>
            </w:r>
          </w:p>
        </w:tc>
      </w:tr>
      <w:tr w:rsidR="00C54BBB" w:rsidRPr="00305C49" w14:paraId="7638F9F1" w14:textId="77777777" w:rsidTr="00EF0E44">
        <w:trPr>
          <w:cantSplit/>
          <w:trHeight w:val="326"/>
          <w:jc w:val="center"/>
        </w:trPr>
        <w:tc>
          <w:tcPr>
            <w:tcW w:w="13608" w:type="dxa"/>
            <w:gridSpan w:val="7"/>
            <w:shd w:val="clear" w:color="auto" w:fill="auto"/>
            <w:noWrap/>
            <w:vAlign w:val="center"/>
          </w:tcPr>
          <w:p w14:paraId="0DF9CE2B" w14:textId="77777777" w:rsidR="00C54BBB" w:rsidRDefault="00C54BBB" w:rsidP="00EF0E44">
            <w:pPr>
              <w:spacing w:line="360" w:lineRule="auto"/>
              <w:rPr>
                <w:rFonts w:ascii="Times" w:hAnsi="Times" w:cs="Times"/>
                <w:sz w:val="24"/>
                <w:szCs w:val="24"/>
              </w:rPr>
            </w:pPr>
            <w:r>
              <w:rPr>
                <w:rFonts w:ascii="Times" w:hAnsi="Times" w:cs="Times"/>
                <w:sz w:val="24"/>
                <w:szCs w:val="24"/>
              </w:rPr>
              <w:t>The primary analysis included 17 meta-analyses with 283 included ITS studies. The sensitivity analysis included 17 meta-analyses with 267 included ITS studies, with the 16 ITS studies being removed from 5 meta-analyses because the author team could not reach consensus on whether to include them in the primary analysis (e.g., underlying model assumption may be violated).</w:t>
            </w:r>
          </w:p>
          <w:p w14:paraId="4366FF98" w14:textId="77777777" w:rsidR="00C54BBB" w:rsidRPr="00305C49" w:rsidRDefault="00C54BBB" w:rsidP="00EF0E44">
            <w:pPr>
              <w:spacing w:line="360" w:lineRule="auto"/>
              <w:rPr>
                <w:rFonts w:ascii="Times" w:hAnsi="Times" w:cs="Times"/>
                <w:sz w:val="24"/>
                <w:szCs w:val="24"/>
              </w:rPr>
            </w:pPr>
            <w:r>
              <w:rPr>
                <w:rFonts w:ascii="Times" w:hAnsi="Times" w:cs="Times"/>
                <w:sz w:val="24"/>
                <w:szCs w:val="24"/>
              </w:rPr>
              <w:t xml:space="preserve">Interpreting the table – example 1: in the primary analysis, </w:t>
            </w:r>
            <w:r w:rsidRPr="00305C49">
              <w:rPr>
                <w:rFonts w:ascii="Times" w:hAnsi="Times" w:cs="Times"/>
                <w:sz w:val="24"/>
                <w:szCs w:val="24"/>
              </w:rPr>
              <w:t>the mean meta-analytic level-change yielded by REML ITS analysis with fixed effect meta-analysis was 0.</w:t>
            </w:r>
            <w:r>
              <w:rPr>
                <w:rFonts w:ascii="Times" w:hAnsi="Times" w:cs="Times"/>
                <w:sz w:val="24"/>
                <w:szCs w:val="24"/>
              </w:rPr>
              <w:t>1</w:t>
            </w:r>
            <w:r w:rsidRPr="00305C49">
              <w:rPr>
                <w:rFonts w:ascii="Times" w:hAnsi="Times" w:cs="Times"/>
                <w:sz w:val="24"/>
                <w:szCs w:val="24"/>
              </w:rPr>
              <w:t>3 higher than th</w:t>
            </w:r>
            <w:r>
              <w:rPr>
                <w:rFonts w:ascii="Times" w:hAnsi="Times" w:cs="Times"/>
                <w:sz w:val="24"/>
                <w:szCs w:val="24"/>
              </w:rPr>
              <w:t>at</w:t>
            </w:r>
            <w:r w:rsidRPr="00305C49">
              <w:rPr>
                <w:rFonts w:ascii="Times" w:hAnsi="Times" w:cs="Times"/>
                <w:sz w:val="24"/>
                <w:szCs w:val="24"/>
              </w:rPr>
              <w:t xml:space="preserve"> yielded by OLS ITS analysis with fixed effect meta-analysis</w:t>
            </w:r>
            <w:r>
              <w:rPr>
                <w:rFonts w:ascii="Times" w:hAnsi="Times" w:cs="Times"/>
                <w:sz w:val="24"/>
                <w:szCs w:val="24"/>
              </w:rPr>
              <w:t>, but was 0.12 higher in the sensitivity analysis</w:t>
            </w:r>
            <w:r w:rsidRPr="00305C49">
              <w:rPr>
                <w:rFonts w:ascii="Times" w:hAnsi="Times" w:cs="Times"/>
                <w:sz w:val="24"/>
                <w:szCs w:val="24"/>
              </w:rPr>
              <w:t xml:space="preserve"> (column 4, row 1)</w:t>
            </w:r>
            <w:r>
              <w:rPr>
                <w:rFonts w:ascii="Times" w:hAnsi="Times" w:cs="Times"/>
                <w:sz w:val="24"/>
                <w:szCs w:val="24"/>
              </w:rPr>
              <w:t>. Example 2: in both the primary and sensitivity analyses, t</w:t>
            </w:r>
            <w:r w:rsidRPr="00305C49">
              <w:rPr>
                <w:rFonts w:ascii="Times" w:hAnsi="Times" w:cs="Times"/>
                <w:sz w:val="24"/>
                <w:szCs w:val="24"/>
              </w:rPr>
              <w:t xml:space="preserve">he mean meta-analytic slope-change yielded by </w:t>
            </w:r>
            <w:r>
              <w:rPr>
                <w:rFonts w:ascii="Times" w:hAnsi="Times" w:cs="Times"/>
                <w:sz w:val="24"/>
                <w:szCs w:val="24"/>
              </w:rPr>
              <w:t>REML</w:t>
            </w:r>
            <w:r w:rsidRPr="00305C49">
              <w:rPr>
                <w:rFonts w:ascii="Times" w:hAnsi="Times" w:cs="Times"/>
                <w:sz w:val="24"/>
                <w:szCs w:val="24"/>
              </w:rPr>
              <w:t xml:space="preserve"> ITS analysis with fixed effect meta-analysis was 0.0</w:t>
            </w:r>
            <w:r>
              <w:rPr>
                <w:rFonts w:ascii="Times" w:hAnsi="Times" w:cs="Times"/>
                <w:sz w:val="24"/>
                <w:szCs w:val="24"/>
              </w:rPr>
              <w:t>1</w:t>
            </w:r>
            <w:r w:rsidRPr="00305C49">
              <w:rPr>
                <w:rFonts w:ascii="Times" w:hAnsi="Times" w:cs="Times"/>
                <w:sz w:val="24"/>
                <w:szCs w:val="24"/>
              </w:rPr>
              <w:t xml:space="preserve"> higher than th</w:t>
            </w:r>
            <w:r>
              <w:rPr>
                <w:rFonts w:ascii="Times" w:hAnsi="Times" w:cs="Times"/>
                <w:sz w:val="24"/>
                <w:szCs w:val="24"/>
              </w:rPr>
              <w:t>at</w:t>
            </w:r>
            <w:r w:rsidRPr="00305C49">
              <w:rPr>
                <w:rFonts w:ascii="Times" w:hAnsi="Times" w:cs="Times"/>
                <w:sz w:val="24"/>
                <w:szCs w:val="24"/>
              </w:rPr>
              <w:t xml:space="preserve"> yielded by </w:t>
            </w:r>
            <w:r>
              <w:rPr>
                <w:rFonts w:ascii="Times" w:hAnsi="Times" w:cs="Times"/>
                <w:sz w:val="24"/>
                <w:szCs w:val="24"/>
              </w:rPr>
              <w:t>OLS</w:t>
            </w:r>
            <w:r w:rsidRPr="00305C49">
              <w:rPr>
                <w:rFonts w:ascii="Times" w:hAnsi="Times" w:cs="Times"/>
                <w:sz w:val="24"/>
                <w:szCs w:val="24"/>
              </w:rPr>
              <w:t xml:space="preserve"> ITS analysis with fixed effect meta-analysis (column 1, row 4).</w:t>
            </w:r>
          </w:p>
          <w:p w14:paraId="616837FE" w14:textId="77777777" w:rsidR="00C54BBB" w:rsidRPr="00305C49" w:rsidRDefault="00C54BBB" w:rsidP="000D03C9">
            <w:pPr>
              <w:spacing w:after="0" w:line="360" w:lineRule="auto"/>
              <w:rPr>
                <w:rFonts w:ascii="Times" w:hAnsi="Times" w:cs="Times"/>
                <w:sz w:val="24"/>
                <w:szCs w:val="24"/>
              </w:rPr>
            </w:pPr>
            <w:r w:rsidRPr="00305C49">
              <w:rPr>
                <w:rFonts w:ascii="Times" w:hAnsi="Times" w:cs="Times"/>
                <w:sz w:val="24"/>
                <w:szCs w:val="24"/>
              </w:rPr>
              <w:t>DL, DerSimonian and Laird. HKSJ, Hartung-Knapp / Sidik-Jonkman. ITS, interrupted time series. OLS, ordinary least squares. REML, restricted maximum likelihood. WT, Wald-type.</w:t>
            </w:r>
          </w:p>
        </w:tc>
      </w:tr>
    </w:tbl>
    <w:p w14:paraId="02D97742" w14:textId="77777777" w:rsidR="00C54BBB" w:rsidRDefault="00C54BBB" w:rsidP="00DB3533">
      <w:pPr>
        <w:rPr>
          <w:rFonts w:ascii="Times" w:hAnsi="Times" w:cs="Times"/>
          <w:sz w:val="24"/>
          <w:szCs w:val="24"/>
        </w:rPr>
      </w:pPr>
    </w:p>
    <w:p w14:paraId="6BC0D73F" w14:textId="77777777" w:rsidR="00C54BBB" w:rsidRDefault="00C54BBB" w:rsidP="007B6890">
      <w:pPr>
        <w:pStyle w:val="Heading3"/>
        <w:rPr>
          <w:rFonts w:ascii="Times" w:hAnsi="Times" w:cs="Times"/>
        </w:rPr>
      </w:pPr>
      <w:bookmarkStart w:id="14" w:name="_Toc121731918"/>
      <w:r>
        <w:rPr>
          <w:rFonts w:ascii="Times" w:hAnsi="Times" w:cs="Times"/>
        </w:rPr>
        <w:lastRenderedPageBreak/>
        <w:t>Appendix Table S5.</w:t>
      </w:r>
      <w:r w:rsidRPr="00AF157A">
        <w:rPr>
          <w:rFonts w:ascii="Times" w:hAnsi="Times" w:cs="Times"/>
        </w:rPr>
        <w:t xml:space="preserve"> </w:t>
      </w:r>
      <w:r>
        <w:rPr>
          <w:rFonts w:ascii="Times" w:hAnsi="Times" w:cs="Times"/>
        </w:rPr>
        <w:t>Comparing the primary vs sensitivity analysis results for t</w:t>
      </w:r>
      <w:r w:rsidRPr="00AF157A">
        <w:rPr>
          <w:rFonts w:ascii="Times" w:hAnsi="Times" w:cs="Times"/>
        </w:rPr>
        <w:t>he mean ratio of standard errors and 95% limits of</w:t>
      </w:r>
      <w:r w:rsidRPr="00852AEE">
        <w:rPr>
          <w:rFonts w:ascii="Times" w:hAnsi="Times" w:cs="Times"/>
        </w:rPr>
        <w:t xml:space="preserve"> agreement for the meta-analytic immediate level-change (top triangle</w:t>
      </w:r>
      <w:r>
        <w:rPr>
          <w:rFonts w:ascii="Times" w:hAnsi="Times" w:cs="Times"/>
        </w:rPr>
        <w:t xml:space="preserve">, ratio calculated as </w:t>
      </w:r>
      <w:r w:rsidRPr="00AF157A">
        <w:rPr>
          <w:rFonts w:ascii="Times" w:hAnsi="Times" w:cs="Times"/>
        </w:rPr>
        <w:t xml:space="preserve">column method </w:t>
      </w:r>
      <w:r>
        <w:rPr>
          <w:rFonts w:ascii="Times" w:hAnsi="Times" w:cs="Times"/>
        </w:rPr>
        <w:t>/</w:t>
      </w:r>
      <w:r w:rsidRPr="00AF157A">
        <w:rPr>
          <w:rFonts w:ascii="Times" w:hAnsi="Times" w:cs="Times"/>
        </w:rPr>
        <w:t xml:space="preserve"> row method</w:t>
      </w:r>
      <w:r w:rsidRPr="00852AEE">
        <w:rPr>
          <w:rFonts w:ascii="Times" w:hAnsi="Times" w:cs="Times"/>
        </w:rPr>
        <w:t>) and slope-change (bottom triangle</w:t>
      </w:r>
      <w:r>
        <w:rPr>
          <w:rFonts w:ascii="Times" w:hAnsi="Times" w:cs="Times"/>
        </w:rPr>
        <w:t xml:space="preserve">, ratio calculated as row </w:t>
      </w:r>
      <w:r w:rsidRPr="00AF157A">
        <w:rPr>
          <w:rFonts w:ascii="Times" w:hAnsi="Times" w:cs="Times"/>
        </w:rPr>
        <w:t xml:space="preserve">method </w:t>
      </w:r>
      <w:r>
        <w:rPr>
          <w:rFonts w:ascii="Times" w:hAnsi="Times" w:cs="Times"/>
        </w:rPr>
        <w:t>/</w:t>
      </w:r>
      <w:r w:rsidRPr="00AF157A">
        <w:rPr>
          <w:rFonts w:ascii="Times" w:hAnsi="Times" w:cs="Times"/>
        </w:rPr>
        <w:t xml:space="preserve"> </w:t>
      </w:r>
      <w:r>
        <w:rPr>
          <w:rFonts w:ascii="Times" w:hAnsi="Times" w:cs="Times"/>
        </w:rPr>
        <w:t>column</w:t>
      </w:r>
      <w:r w:rsidRPr="00AF157A">
        <w:rPr>
          <w:rFonts w:ascii="Times" w:hAnsi="Times" w:cs="Times"/>
        </w:rPr>
        <w:t xml:space="preserve"> method</w:t>
      </w:r>
      <w:r w:rsidRPr="00852AEE">
        <w:rPr>
          <w:rFonts w:ascii="Times" w:hAnsi="Times" w:cs="Times"/>
        </w:rPr>
        <w:t>) (n = 17).</w:t>
      </w:r>
      <w:bookmarkEnd w:id="14"/>
    </w:p>
    <w:tbl>
      <w:tblPr>
        <w:tblW w:w="16590" w:type="dxa"/>
        <w:jc w:val="center"/>
        <w:tblLayout w:type="fixed"/>
        <w:tblLook w:val="04A0" w:firstRow="1" w:lastRow="0" w:firstColumn="1" w:lastColumn="0" w:noHBand="0" w:noVBand="1"/>
      </w:tblPr>
      <w:tblGrid>
        <w:gridCol w:w="427"/>
        <w:gridCol w:w="1616"/>
        <w:gridCol w:w="1617"/>
        <w:gridCol w:w="1617"/>
        <w:gridCol w:w="1617"/>
        <w:gridCol w:w="1616"/>
        <w:gridCol w:w="1616"/>
        <w:gridCol w:w="1616"/>
        <w:gridCol w:w="1616"/>
        <w:gridCol w:w="1616"/>
        <w:gridCol w:w="1616"/>
      </w:tblGrid>
      <w:tr w:rsidR="00C54BBB" w:rsidRPr="00852AEE" w14:paraId="51815D02" w14:textId="77777777" w:rsidTr="00196FBC">
        <w:trPr>
          <w:trHeight w:val="336"/>
          <w:jc w:val="center"/>
        </w:trPr>
        <w:tc>
          <w:tcPr>
            <w:tcW w:w="427" w:type="dxa"/>
            <w:shd w:val="clear" w:color="auto" w:fill="auto"/>
            <w:noWrap/>
            <w:vAlign w:val="center"/>
            <w:hideMark/>
          </w:tcPr>
          <w:p w14:paraId="600E7589" w14:textId="77777777" w:rsidR="00C54BBB" w:rsidRPr="00196FBC" w:rsidRDefault="00C54BBB" w:rsidP="00196FBC">
            <w:bookmarkStart w:id="15" w:name="_Hlk121243624"/>
          </w:p>
        </w:tc>
        <w:tc>
          <w:tcPr>
            <w:tcW w:w="16163" w:type="dxa"/>
            <w:gridSpan w:val="10"/>
            <w:shd w:val="clear" w:color="auto" w:fill="auto"/>
            <w:noWrap/>
            <w:vAlign w:val="center"/>
            <w:hideMark/>
          </w:tcPr>
          <w:p w14:paraId="25BFFE09" w14:textId="77777777" w:rsidR="00C54BBB" w:rsidRPr="00C362E1" w:rsidRDefault="00C54BBB" w:rsidP="00554C54">
            <w:pPr>
              <w:spacing w:after="0" w:line="240" w:lineRule="auto"/>
              <w:jc w:val="center"/>
              <w:rPr>
                <w:rFonts w:ascii="Times" w:hAnsi="Times" w:cs="Times"/>
                <w:b/>
                <w:bCs/>
                <w:sz w:val="20"/>
                <w:szCs w:val="20"/>
              </w:rPr>
            </w:pPr>
            <w:r w:rsidRPr="00C362E1">
              <w:rPr>
                <w:rFonts w:ascii="Times" w:hAnsi="Times" w:cs="Times"/>
                <w:b/>
                <w:bCs/>
                <w:sz w:val="20"/>
                <w:szCs w:val="20"/>
              </w:rPr>
              <w:t>Level-change</w:t>
            </w:r>
          </w:p>
        </w:tc>
      </w:tr>
      <w:tr w:rsidR="00C54BBB" w:rsidRPr="00852AEE" w14:paraId="14DCF951" w14:textId="77777777" w:rsidTr="00196FBC">
        <w:trPr>
          <w:trHeight w:val="336"/>
          <w:jc w:val="center"/>
        </w:trPr>
        <w:tc>
          <w:tcPr>
            <w:tcW w:w="427" w:type="dxa"/>
            <w:vMerge w:val="restart"/>
            <w:shd w:val="clear" w:color="auto" w:fill="E7E6E6" w:themeFill="background2"/>
            <w:noWrap/>
            <w:textDirection w:val="btLr"/>
            <w:vAlign w:val="center"/>
            <w:hideMark/>
          </w:tcPr>
          <w:p w14:paraId="6ADA0957" w14:textId="77777777" w:rsidR="00C54BBB" w:rsidRPr="00C362E1" w:rsidRDefault="00C54BBB" w:rsidP="00554C54">
            <w:pPr>
              <w:spacing w:after="0" w:line="240" w:lineRule="auto"/>
              <w:ind w:left="113" w:right="113"/>
              <w:jc w:val="center"/>
              <w:rPr>
                <w:rFonts w:ascii="Times" w:hAnsi="Times" w:cs="Times"/>
                <w:b/>
                <w:bCs/>
                <w:sz w:val="20"/>
                <w:szCs w:val="20"/>
              </w:rPr>
            </w:pPr>
            <w:r w:rsidRPr="00C362E1">
              <w:rPr>
                <w:rFonts w:ascii="Times" w:hAnsi="Times" w:cs="Times"/>
                <w:b/>
                <w:bCs/>
                <w:sz w:val="20"/>
                <w:szCs w:val="20"/>
              </w:rPr>
              <w:t>Slope-change</w:t>
            </w:r>
          </w:p>
        </w:tc>
        <w:tc>
          <w:tcPr>
            <w:tcW w:w="1616" w:type="dxa"/>
            <w:shd w:val="clear" w:color="auto" w:fill="auto"/>
            <w:noWrap/>
            <w:vAlign w:val="center"/>
            <w:hideMark/>
          </w:tcPr>
          <w:p w14:paraId="49A532DC"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OLS</w:t>
            </w:r>
          </w:p>
          <w:p w14:paraId="619CFD4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Fixed</w:t>
            </w:r>
          </w:p>
        </w:tc>
        <w:tc>
          <w:tcPr>
            <w:tcW w:w="1617" w:type="dxa"/>
            <w:shd w:val="clear" w:color="auto" w:fill="auto"/>
            <w:noWrap/>
            <w:vAlign w:val="bottom"/>
            <w:hideMark/>
          </w:tcPr>
          <w:p w14:paraId="5EACB6EC"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1.72 (1.08,2.75)</w:t>
            </w:r>
          </w:p>
          <w:p w14:paraId="22F275C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A9DC277"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1.68 (1.05,2.69)</w:t>
            </w:r>
          </w:p>
        </w:tc>
        <w:tc>
          <w:tcPr>
            <w:tcW w:w="1617" w:type="dxa"/>
            <w:shd w:val="clear" w:color="auto" w:fill="auto"/>
            <w:noWrap/>
            <w:vAlign w:val="bottom"/>
            <w:hideMark/>
          </w:tcPr>
          <w:p w14:paraId="213A214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1.71 (0.97,3.04)</w:t>
            </w:r>
          </w:p>
          <w:p w14:paraId="4E1B76A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EA4116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1.64 (0.94,2.87)</w:t>
            </w:r>
          </w:p>
        </w:tc>
        <w:tc>
          <w:tcPr>
            <w:tcW w:w="1617" w:type="dxa"/>
            <w:shd w:val="clear" w:color="auto" w:fill="auto"/>
            <w:noWrap/>
            <w:vAlign w:val="bottom"/>
            <w:hideMark/>
          </w:tcPr>
          <w:p w14:paraId="473B83D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1.80 (1.08,3.01)</w:t>
            </w:r>
          </w:p>
          <w:p w14:paraId="513E9604"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90E0466"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1.74 (1.06,2.87)</w:t>
            </w:r>
          </w:p>
        </w:tc>
        <w:tc>
          <w:tcPr>
            <w:tcW w:w="1616" w:type="dxa"/>
            <w:shd w:val="clear" w:color="auto" w:fill="auto"/>
            <w:noWrap/>
            <w:vAlign w:val="bottom"/>
            <w:hideMark/>
          </w:tcPr>
          <w:p w14:paraId="59CB9AF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1.72 (0.97,3.07)</w:t>
            </w:r>
          </w:p>
          <w:p w14:paraId="7303D9E0"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5CA6DC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1.64 (0.94,2.88)</w:t>
            </w:r>
          </w:p>
        </w:tc>
        <w:tc>
          <w:tcPr>
            <w:tcW w:w="1616" w:type="dxa"/>
            <w:shd w:val="clear" w:color="auto" w:fill="auto"/>
            <w:noWrap/>
            <w:vAlign w:val="bottom"/>
            <w:hideMark/>
          </w:tcPr>
          <w:p w14:paraId="71E2011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(0.89,1.26)</w:t>
            </w:r>
          </w:p>
          <w:p w14:paraId="0650F088"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A2839CA"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1.07 (0.90,1.28)</w:t>
            </w:r>
          </w:p>
        </w:tc>
        <w:tc>
          <w:tcPr>
            <w:tcW w:w="1616" w:type="dxa"/>
            <w:vAlign w:val="bottom"/>
          </w:tcPr>
          <w:p w14:paraId="243DF6EA"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1.80 (1.15,2.81)</w:t>
            </w:r>
          </w:p>
          <w:p w14:paraId="7836447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4EEC601"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1.81 (1.19,2.75)</w:t>
            </w:r>
          </w:p>
        </w:tc>
        <w:tc>
          <w:tcPr>
            <w:tcW w:w="1616" w:type="dxa"/>
            <w:vAlign w:val="bottom"/>
          </w:tcPr>
          <w:p w14:paraId="672EF69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1.70 (0.96,3.00)</w:t>
            </w:r>
          </w:p>
          <w:p w14:paraId="0FB7041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B244B7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1.65 (0.94,2.89)</w:t>
            </w:r>
          </w:p>
        </w:tc>
        <w:tc>
          <w:tcPr>
            <w:tcW w:w="1616" w:type="dxa"/>
            <w:vAlign w:val="bottom"/>
          </w:tcPr>
          <w:p w14:paraId="3A6F995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1.85 (1.15,2.98)</w:t>
            </w:r>
          </w:p>
          <w:p w14:paraId="6659EC7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2D1F0A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1.84 (1.19,2.87)</w:t>
            </w:r>
          </w:p>
        </w:tc>
        <w:tc>
          <w:tcPr>
            <w:tcW w:w="1616" w:type="dxa"/>
            <w:vAlign w:val="bottom"/>
          </w:tcPr>
          <w:p w14:paraId="6B0A9C9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1.71 (0.96,3.03)</w:t>
            </w:r>
          </w:p>
          <w:p w14:paraId="11276B10"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042FC7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1.65 (0.94,2.91)</w:t>
            </w:r>
          </w:p>
        </w:tc>
      </w:tr>
      <w:tr w:rsidR="00C54BBB" w:rsidRPr="00852AEE" w14:paraId="4F343831" w14:textId="77777777" w:rsidTr="00196FBC">
        <w:trPr>
          <w:trHeight w:val="336"/>
          <w:jc w:val="center"/>
        </w:trPr>
        <w:tc>
          <w:tcPr>
            <w:tcW w:w="427" w:type="dxa"/>
            <w:vMerge/>
            <w:shd w:val="clear" w:color="auto" w:fill="E7E6E6" w:themeFill="background2"/>
            <w:noWrap/>
            <w:textDirection w:val="btLr"/>
            <w:vAlign w:val="center"/>
            <w:hideMark/>
          </w:tcPr>
          <w:p w14:paraId="7C554AD9" w14:textId="77777777" w:rsidR="00C54BBB" w:rsidRPr="00852AEE" w:rsidRDefault="00C54BBB" w:rsidP="00554C54">
            <w:pPr>
              <w:spacing w:after="0" w:line="240" w:lineRule="auto"/>
              <w:ind w:left="113" w:right="113"/>
              <w:jc w:val="center"/>
              <w:rPr>
                <w:rFonts w:ascii="Times" w:hAnsi="Times" w:cs="Times"/>
                <w:sz w:val="20"/>
                <w:szCs w:val="20"/>
              </w:rPr>
            </w:pPr>
          </w:p>
        </w:tc>
        <w:tc>
          <w:tcPr>
            <w:tcW w:w="1616" w:type="dxa"/>
            <w:shd w:val="clear" w:color="auto" w:fill="E7E6E6" w:themeFill="background2"/>
            <w:noWrap/>
            <w:vAlign w:val="bottom"/>
            <w:hideMark/>
          </w:tcPr>
          <w:p w14:paraId="6F257066"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2.23 (1.31,3.78)</w:t>
            </w:r>
          </w:p>
          <w:p w14:paraId="0A55E5C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C5CCC5A"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2.16 (1.28,3.62)</w:t>
            </w:r>
          </w:p>
        </w:tc>
        <w:tc>
          <w:tcPr>
            <w:tcW w:w="1617" w:type="dxa"/>
            <w:shd w:val="clear" w:color="auto" w:fill="auto"/>
            <w:noWrap/>
            <w:vAlign w:val="center"/>
            <w:hideMark/>
          </w:tcPr>
          <w:p w14:paraId="2F184FFE"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OLS</w:t>
            </w:r>
          </w:p>
          <w:p w14:paraId="52C19F0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DL+WT</w:t>
            </w:r>
          </w:p>
        </w:tc>
        <w:tc>
          <w:tcPr>
            <w:tcW w:w="1617" w:type="dxa"/>
            <w:shd w:val="clear" w:color="auto" w:fill="auto"/>
            <w:noWrap/>
            <w:vAlign w:val="bottom"/>
            <w:hideMark/>
          </w:tcPr>
          <w:p w14:paraId="68FFEFD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(0.86,1.15)</w:t>
            </w:r>
          </w:p>
          <w:p w14:paraId="3DA112C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75B1A7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(0.86,1.11)</w:t>
            </w:r>
          </w:p>
        </w:tc>
        <w:tc>
          <w:tcPr>
            <w:tcW w:w="1617" w:type="dxa"/>
            <w:shd w:val="clear" w:color="auto" w:fill="auto"/>
            <w:noWrap/>
            <w:vAlign w:val="bottom"/>
            <w:hideMark/>
          </w:tcPr>
          <w:p w14:paraId="2D121DF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(0.97,1.13)</w:t>
            </w:r>
          </w:p>
          <w:p w14:paraId="2B14806C"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C8F741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1.03 (0.96,1.11)</w:t>
            </w:r>
          </w:p>
        </w:tc>
        <w:tc>
          <w:tcPr>
            <w:tcW w:w="1616" w:type="dxa"/>
            <w:shd w:val="clear" w:color="auto" w:fill="auto"/>
            <w:noWrap/>
            <w:vAlign w:val="bottom"/>
            <w:hideMark/>
          </w:tcPr>
          <w:p w14:paraId="366593C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1.00 (0.86,1.16)</w:t>
            </w:r>
          </w:p>
          <w:p w14:paraId="71E3626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B43083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(0.86,1.12)</w:t>
            </w:r>
          </w:p>
        </w:tc>
        <w:tc>
          <w:tcPr>
            <w:tcW w:w="1616" w:type="dxa"/>
            <w:shd w:val="clear" w:color="auto" w:fill="auto"/>
            <w:noWrap/>
            <w:vAlign w:val="bottom"/>
            <w:hideMark/>
          </w:tcPr>
          <w:p w14:paraId="159E4CE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0.61 (0.37,1.01)</w:t>
            </w:r>
          </w:p>
          <w:p w14:paraId="74F8A1C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163AFD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0.64 (0.38,1.06)</w:t>
            </w:r>
          </w:p>
        </w:tc>
        <w:tc>
          <w:tcPr>
            <w:tcW w:w="1616" w:type="dxa"/>
            <w:vAlign w:val="bottom"/>
          </w:tcPr>
          <w:p w14:paraId="685E269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(0.86,1.27)</w:t>
            </w:r>
          </w:p>
          <w:p w14:paraId="7EFA89D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C875B31"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1.07 (0.89,1.29)</w:t>
            </w:r>
          </w:p>
        </w:tc>
        <w:tc>
          <w:tcPr>
            <w:tcW w:w="1616" w:type="dxa"/>
            <w:vAlign w:val="bottom"/>
          </w:tcPr>
          <w:p w14:paraId="1FC24F5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(0.80,1.21)</w:t>
            </w:r>
          </w:p>
          <w:p w14:paraId="7C6A0BF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B5A541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(0.80,1.21)</w:t>
            </w:r>
          </w:p>
        </w:tc>
        <w:tc>
          <w:tcPr>
            <w:tcW w:w="1616" w:type="dxa"/>
            <w:vAlign w:val="bottom"/>
          </w:tcPr>
          <w:p w14:paraId="2358709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1.08 (0.93,1.24)</w:t>
            </w:r>
          </w:p>
          <w:p w14:paraId="12E404DC"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09B21A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(0.95,1.26)</w:t>
            </w:r>
          </w:p>
        </w:tc>
        <w:tc>
          <w:tcPr>
            <w:tcW w:w="1616" w:type="dxa"/>
            <w:vAlign w:val="bottom"/>
          </w:tcPr>
          <w:p w14:paraId="6A6699D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(0.80,1.22)</w:t>
            </w:r>
          </w:p>
          <w:p w14:paraId="7D28EAA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5BFEEAD"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(0.80,1.21)</w:t>
            </w:r>
          </w:p>
        </w:tc>
      </w:tr>
      <w:tr w:rsidR="00C54BBB" w:rsidRPr="00852AEE" w14:paraId="2CCD2899" w14:textId="77777777" w:rsidTr="00196FBC">
        <w:trPr>
          <w:trHeight w:val="336"/>
          <w:jc w:val="center"/>
        </w:trPr>
        <w:tc>
          <w:tcPr>
            <w:tcW w:w="427" w:type="dxa"/>
            <w:vMerge/>
            <w:shd w:val="clear" w:color="auto" w:fill="E7E6E6" w:themeFill="background2"/>
            <w:noWrap/>
            <w:textDirection w:val="btLr"/>
            <w:vAlign w:val="center"/>
            <w:hideMark/>
          </w:tcPr>
          <w:p w14:paraId="215C855F" w14:textId="77777777" w:rsidR="00C54BBB" w:rsidRPr="00852AEE" w:rsidRDefault="00C54BBB" w:rsidP="00554C54">
            <w:pPr>
              <w:spacing w:after="0" w:line="240" w:lineRule="auto"/>
              <w:ind w:left="113" w:right="113"/>
              <w:jc w:val="center"/>
              <w:rPr>
                <w:rFonts w:ascii="Times" w:hAnsi="Times" w:cs="Times"/>
                <w:sz w:val="20"/>
                <w:szCs w:val="20"/>
              </w:rPr>
            </w:pPr>
          </w:p>
        </w:tc>
        <w:tc>
          <w:tcPr>
            <w:tcW w:w="1616" w:type="dxa"/>
            <w:shd w:val="clear" w:color="auto" w:fill="E7E6E6" w:themeFill="background2"/>
            <w:noWrap/>
            <w:vAlign w:val="bottom"/>
            <w:hideMark/>
          </w:tcPr>
          <w:p w14:paraId="7575519E"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2.45 (1.17,5.14)</w:t>
            </w:r>
          </w:p>
          <w:p w14:paraId="30C91ED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EB2303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2.37 (1.13,4.99)</w:t>
            </w:r>
          </w:p>
        </w:tc>
        <w:tc>
          <w:tcPr>
            <w:tcW w:w="1617" w:type="dxa"/>
            <w:shd w:val="clear" w:color="auto" w:fill="E7E6E6" w:themeFill="background2"/>
            <w:noWrap/>
            <w:vAlign w:val="bottom"/>
            <w:hideMark/>
          </w:tcPr>
          <w:p w14:paraId="04F1B58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(0.82,1.47)</w:t>
            </w:r>
          </w:p>
          <w:p w14:paraId="47CEEC2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846F07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(0.82,1.48)</w:t>
            </w:r>
          </w:p>
        </w:tc>
        <w:tc>
          <w:tcPr>
            <w:tcW w:w="1617" w:type="dxa"/>
            <w:shd w:val="clear" w:color="auto" w:fill="auto"/>
            <w:noWrap/>
            <w:vAlign w:val="center"/>
            <w:hideMark/>
          </w:tcPr>
          <w:p w14:paraId="0483933F"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OLS</w:t>
            </w:r>
          </w:p>
          <w:p w14:paraId="46B48A17" w14:textId="77777777" w:rsidR="00C54BBB" w:rsidRPr="004F726E" w:rsidRDefault="00C54BBB" w:rsidP="00554C54">
            <w:pPr>
              <w:spacing w:after="0" w:line="240" w:lineRule="auto"/>
              <w:jc w:val="center"/>
              <w:rPr>
                <w:rFonts w:ascii="Times" w:hAnsi="Times" w:cs="Times"/>
                <w:b/>
                <w:bCs/>
                <w:sz w:val="20"/>
                <w:szCs w:val="20"/>
              </w:rPr>
            </w:pPr>
            <w:r w:rsidRPr="004F726E">
              <w:rPr>
                <w:rFonts w:ascii="Times" w:hAnsi="Times" w:cs="Times"/>
                <w:b/>
                <w:bCs/>
                <w:sz w:val="20"/>
                <w:szCs w:val="20"/>
              </w:rPr>
              <w:t>DL+HKSJ</w:t>
            </w:r>
          </w:p>
        </w:tc>
        <w:tc>
          <w:tcPr>
            <w:tcW w:w="1617" w:type="dxa"/>
            <w:shd w:val="clear" w:color="auto" w:fill="auto"/>
            <w:noWrap/>
            <w:vAlign w:val="bottom"/>
            <w:hideMark/>
          </w:tcPr>
          <w:p w14:paraId="172262A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(0.95,1.16)</w:t>
            </w:r>
          </w:p>
          <w:p w14:paraId="1D2F99C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62A48F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(0.96,1.18)</w:t>
            </w:r>
          </w:p>
        </w:tc>
        <w:tc>
          <w:tcPr>
            <w:tcW w:w="1616" w:type="dxa"/>
            <w:shd w:val="clear" w:color="auto" w:fill="auto"/>
            <w:noWrap/>
            <w:vAlign w:val="bottom"/>
            <w:hideMark/>
          </w:tcPr>
          <w:p w14:paraId="5F3E335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1.00 (1.00,1.01)</w:t>
            </w:r>
          </w:p>
          <w:p w14:paraId="7044D4B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BA071B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1.00 (1.00,1.01)</w:t>
            </w:r>
          </w:p>
        </w:tc>
        <w:tc>
          <w:tcPr>
            <w:tcW w:w="1616" w:type="dxa"/>
            <w:shd w:val="clear" w:color="auto" w:fill="auto"/>
            <w:noWrap/>
            <w:vAlign w:val="bottom"/>
            <w:hideMark/>
          </w:tcPr>
          <w:p w14:paraId="7536D35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0.62 (0.33,1.14)</w:t>
            </w:r>
          </w:p>
          <w:p w14:paraId="53569F5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D2C052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0.65 (0.36,1.19)</w:t>
            </w:r>
          </w:p>
        </w:tc>
        <w:tc>
          <w:tcPr>
            <w:tcW w:w="1616" w:type="dxa"/>
            <w:vAlign w:val="bottom"/>
          </w:tcPr>
          <w:p w14:paraId="5CCE919E"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(0.80,1.37)</w:t>
            </w:r>
          </w:p>
          <w:p w14:paraId="7BB53C2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2D28C1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(0.87,1.40)</w:t>
            </w:r>
          </w:p>
        </w:tc>
        <w:tc>
          <w:tcPr>
            <w:tcW w:w="1616" w:type="dxa"/>
            <w:vAlign w:val="bottom"/>
          </w:tcPr>
          <w:p w14:paraId="1256722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(0.84,1.17)</w:t>
            </w:r>
          </w:p>
          <w:p w14:paraId="19671E5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4048C7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(0.87,1.16)</w:t>
            </w:r>
          </w:p>
        </w:tc>
        <w:tc>
          <w:tcPr>
            <w:tcW w:w="1616" w:type="dxa"/>
            <w:vAlign w:val="bottom"/>
          </w:tcPr>
          <w:p w14:paraId="5D8E3B73"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1.08 (0.90,1.30)</w:t>
            </w:r>
          </w:p>
          <w:p w14:paraId="348B92C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98ABAA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(0.93,1.35)</w:t>
            </w:r>
          </w:p>
        </w:tc>
        <w:tc>
          <w:tcPr>
            <w:tcW w:w="1616" w:type="dxa"/>
            <w:vAlign w:val="bottom"/>
          </w:tcPr>
          <w:p w14:paraId="0A26804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1.00 (0.84,1.17)</w:t>
            </w:r>
          </w:p>
          <w:p w14:paraId="0213790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016266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(0.87,1.16)</w:t>
            </w:r>
          </w:p>
        </w:tc>
      </w:tr>
      <w:tr w:rsidR="00C54BBB" w:rsidRPr="00852AEE" w14:paraId="5A4F3683" w14:textId="77777777" w:rsidTr="00196FBC">
        <w:trPr>
          <w:trHeight w:val="336"/>
          <w:jc w:val="center"/>
        </w:trPr>
        <w:tc>
          <w:tcPr>
            <w:tcW w:w="427" w:type="dxa"/>
            <w:vMerge/>
            <w:shd w:val="clear" w:color="auto" w:fill="E7E6E6" w:themeFill="background2"/>
            <w:noWrap/>
            <w:textDirection w:val="btLr"/>
            <w:vAlign w:val="center"/>
            <w:hideMark/>
          </w:tcPr>
          <w:p w14:paraId="559B4FDF" w14:textId="77777777" w:rsidR="00C54BBB" w:rsidRPr="00852AEE" w:rsidRDefault="00C54BBB" w:rsidP="00554C54">
            <w:pPr>
              <w:spacing w:after="0" w:line="240" w:lineRule="auto"/>
              <w:ind w:left="113" w:right="113"/>
              <w:jc w:val="center"/>
              <w:rPr>
                <w:rFonts w:ascii="Times" w:hAnsi="Times" w:cs="Times"/>
                <w:sz w:val="20"/>
                <w:szCs w:val="20"/>
              </w:rPr>
            </w:pPr>
          </w:p>
        </w:tc>
        <w:tc>
          <w:tcPr>
            <w:tcW w:w="1616" w:type="dxa"/>
            <w:shd w:val="clear" w:color="auto" w:fill="E7E6E6" w:themeFill="background2"/>
            <w:noWrap/>
            <w:vAlign w:val="bottom"/>
            <w:hideMark/>
          </w:tcPr>
          <w:p w14:paraId="4253F32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2.59 (1.32,5.06)</w:t>
            </w:r>
          </w:p>
          <w:p w14:paraId="29A32004"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21009E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2.52 (1.27,5.00)</w:t>
            </w:r>
          </w:p>
        </w:tc>
        <w:tc>
          <w:tcPr>
            <w:tcW w:w="1617" w:type="dxa"/>
            <w:shd w:val="clear" w:color="auto" w:fill="E7E6E6" w:themeFill="background2"/>
            <w:noWrap/>
            <w:vAlign w:val="bottom"/>
            <w:hideMark/>
          </w:tcPr>
          <w:p w14:paraId="6C59A61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1.16 (0.93,1.45)</w:t>
            </w:r>
          </w:p>
          <w:p w14:paraId="46455D8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E20EAAA"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1.17 (0.90,1.51)</w:t>
            </w:r>
          </w:p>
        </w:tc>
        <w:tc>
          <w:tcPr>
            <w:tcW w:w="1617" w:type="dxa"/>
            <w:shd w:val="clear" w:color="auto" w:fill="E7E6E6" w:themeFill="background2"/>
            <w:noWrap/>
            <w:vAlign w:val="bottom"/>
            <w:hideMark/>
          </w:tcPr>
          <w:p w14:paraId="7FD75C9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(0.88,1.26)</w:t>
            </w:r>
          </w:p>
          <w:p w14:paraId="0406F43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9D42EE9"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(0.87,1.30)</w:t>
            </w:r>
          </w:p>
        </w:tc>
        <w:tc>
          <w:tcPr>
            <w:tcW w:w="1617" w:type="dxa"/>
            <w:shd w:val="clear" w:color="auto" w:fill="auto"/>
            <w:noWrap/>
            <w:vAlign w:val="center"/>
            <w:hideMark/>
          </w:tcPr>
          <w:p w14:paraId="7C187250"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OLS</w:t>
            </w:r>
          </w:p>
          <w:p w14:paraId="50E666D1"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REML+WT</w:t>
            </w:r>
          </w:p>
        </w:tc>
        <w:tc>
          <w:tcPr>
            <w:tcW w:w="1616" w:type="dxa"/>
            <w:shd w:val="clear" w:color="auto" w:fill="auto"/>
            <w:noWrap/>
            <w:vAlign w:val="bottom"/>
            <w:hideMark/>
          </w:tcPr>
          <w:p w14:paraId="32032E3A"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0.96 (0.86,1.06)</w:t>
            </w:r>
          </w:p>
          <w:p w14:paraId="3F1139C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2E2E89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0.94 (0.85,1.05)</w:t>
            </w:r>
          </w:p>
        </w:tc>
        <w:tc>
          <w:tcPr>
            <w:tcW w:w="1616" w:type="dxa"/>
            <w:shd w:val="clear" w:color="auto" w:fill="auto"/>
            <w:noWrap/>
            <w:vAlign w:val="bottom"/>
            <w:hideMark/>
          </w:tcPr>
          <w:p w14:paraId="26023D3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0.59 (0.34,1.02)</w:t>
            </w:r>
          </w:p>
          <w:p w14:paraId="3EF2C4E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2781FD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0.62 (0.36,1.05)</w:t>
            </w:r>
          </w:p>
        </w:tc>
        <w:tc>
          <w:tcPr>
            <w:tcW w:w="1616" w:type="dxa"/>
            <w:vAlign w:val="bottom"/>
          </w:tcPr>
          <w:p w14:paraId="556B549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1.00 (0.79,1.27)</w:t>
            </w:r>
          </w:p>
          <w:p w14:paraId="1199605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41152D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(0.85,1.27)</w:t>
            </w:r>
          </w:p>
        </w:tc>
        <w:tc>
          <w:tcPr>
            <w:tcW w:w="1616" w:type="dxa"/>
            <w:vAlign w:val="bottom"/>
          </w:tcPr>
          <w:p w14:paraId="67A36076"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0.94 (0.77,1.15)</w:t>
            </w:r>
          </w:p>
          <w:p w14:paraId="01B879B8"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D223C1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0.95 (0.77,1.17)</w:t>
            </w:r>
          </w:p>
        </w:tc>
        <w:tc>
          <w:tcPr>
            <w:tcW w:w="1616" w:type="dxa"/>
            <w:vAlign w:val="bottom"/>
          </w:tcPr>
          <w:p w14:paraId="4567492C"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1.03 (0.89,1.19)</w:t>
            </w:r>
          </w:p>
          <w:p w14:paraId="266EE42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7340E8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(0.92,1.22)</w:t>
            </w:r>
          </w:p>
        </w:tc>
        <w:tc>
          <w:tcPr>
            <w:tcW w:w="1616" w:type="dxa"/>
            <w:vAlign w:val="bottom"/>
          </w:tcPr>
          <w:p w14:paraId="731E20C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0.95 (0.77,1.16)</w:t>
            </w:r>
          </w:p>
          <w:p w14:paraId="65DBE33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FA93B2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0.95 (0.77,1.17)</w:t>
            </w:r>
          </w:p>
        </w:tc>
      </w:tr>
      <w:tr w:rsidR="00C54BBB" w:rsidRPr="00852AEE" w14:paraId="1EB3C8C5" w14:textId="77777777" w:rsidTr="00196FBC">
        <w:trPr>
          <w:trHeight w:val="336"/>
          <w:jc w:val="center"/>
        </w:trPr>
        <w:tc>
          <w:tcPr>
            <w:tcW w:w="427" w:type="dxa"/>
            <w:vMerge/>
            <w:shd w:val="clear" w:color="auto" w:fill="E7E6E6" w:themeFill="background2"/>
            <w:noWrap/>
            <w:vAlign w:val="center"/>
            <w:hideMark/>
          </w:tcPr>
          <w:p w14:paraId="2BEB1649"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hideMark/>
          </w:tcPr>
          <w:p w14:paraId="74C2A81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2.57 (1.17,5.61)</w:t>
            </w:r>
          </w:p>
          <w:p w14:paraId="6AB65AD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0C7824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2.49 (1.13,5.51)</w:t>
            </w:r>
          </w:p>
        </w:tc>
        <w:tc>
          <w:tcPr>
            <w:tcW w:w="1617" w:type="dxa"/>
            <w:shd w:val="clear" w:color="auto" w:fill="E7E6E6" w:themeFill="background2"/>
            <w:noWrap/>
            <w:vAlign w:val="bottom"/>
            <w:hideMark/>
          </w:tcPr>
          <w:p w14:paraId="30DEDDE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1.15 (0.81,1.63)</w:t>
            </w:r>
          </w:p>
          <w:p w14:paraId="70F2B7C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A826D7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1.16 (0.80,1.67)</w:t>
            </w:r>
          </w:p>
        </w:tc>
        <w:tc>
          <w:tcPr>
            <w:tcW w:w="1617" w:type="dxa"/>
            <w:shd w:val="clear" w:color="auto" w:fill="E7E6E6" w:themeFill="background2"/>
            <w:noWrap/>
            <w:vAlign w:val="bottom"/>
            <w:hideMark/>
          </w:tcPr>
          <w:p w14:paraId="68AD81F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(0.97,1.13)</w:t>
            </w:r>
          </w:p>
          <w:p w14:paraId="635F8226"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210C617"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(0.95,1.16)</w:t>
            </w:r>
          </w:p>
        </w:tc>
        <w:tc>
          <w:tcPr>
            <w:tcW w:w="1617" w:type="dxa"/>
            <w:shd w:val="clear" w:color="auto" w:fill="E7E6E6" w:themeFill="background2"/>
            <w:noWrap/>
            <w:vAlign w:val="bottom"/>
            <w:hideMark/>
          </w:tcPr>
          <w:p w14:paraId="388C5BD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(0.81,1.22)</w:t>
            </w:r>
          </w:p>
          <w:p w14:paraId="7BAC07C4"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1B2E10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(0.81,1.21)</w:t>
            </w:r>
          </w:p>
        </w:tc>
        <w:tc>
          <w:tcPr>
            <w:tcW w:w="1616" w:type="dxa"/>
            <w:shd w:val="clear" w:color="auto" w:fill="auto"/>
            <w:noWrap/>
            <w:vAlign w:val="center"/>
            <w:hideMark/>
          </w:tcPr>
          <w:p w14:paraId="167019C6"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OLS</w:t>
            </w:r>
          </w:p>
          <w:p w14:paraId="65996BF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REML+HKSJ</w:t>
            </w:r>
          </w:p>
        </w:tc>
        <w:tc>
          <w:tcPr>
            <w:tcW w:w="1616" w:type="dxa"/>
            <w:shd w:val="clear" w:color="auto" w:fill="auto"/>
            <w:noWrap/>
            <w:vAlign w:val="bottom"/>
            <w:hideMark/>
          </w:tcPr>
          <w:p w14:paraId="49CEBA1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0.61 (0.33,1.14)</w:t>
            </w:r>
          </w:p>
          <w:p w14:paraId="1AC4FCE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2265AB9"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0.65 (0.36,1.19)</w:t>
            </w:r>
          </w:p>
        </w:tc>
        <w:tc>
          <w:tcPr>
            <w:tcW w:w="1616" w:type="dxa"/>
            <w:vAlign w:val="bottom"/>
          </w:tcPr>
          <w:p w14:paraId="64731EE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(0.79,1.38)</w:t>
            </w:r>
          </w:p>
          <w:p w14:paraId="2F7590DC"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C4314F3"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(0.86,1.40)</w:t>
            </w:r>
          </w:p>
        </w:tc>
        <w:tc>
          <w:tcPr>
            <w:tcW w:w="1616" w:type="dxa"/>
            <w:vAlign w:val="bottom"/>
          </w:tcPr>
          <w:p w14:paraId="44877DA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(0.83,1.17)</w:t>
            </w:r>
          </w:p>
          <w:p w14:paraId="1CEB4AAE"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99CA9BD"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1.00 (0.87,1.16)</w:t>
            </w:r>
          </w:p>
        </w:tc>
        <w:tc>
          <w:tcPr>
            <w:tcW w:w="1616" w:type="dxa"/>
            <w:vAlign w:val="bottom"/>
          </w:tcPr>
          <w:p w14:paraId="5A2877CC"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1.08 (0.89,1.30)</w:t>
            </w:r>
          </w:p>
          <w:p w14:paraId="5D88B98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14269E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(0.93,1.35)</w:t>
            </w:r>
          </w:p>
        </w:tc>
        <w:tc>
          <w:tcPr>
            <w:tcW w:w="1616" w:type="dxa"/>
            <w:vAlign w:val="bottom"/>
          </w:tcPr>
          <w:p w14:paraId="4BE49D8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(0.84,1.17)</w:t>
            </w:r>
          </w:p>
          <w:p w14:paraId="1C7D08A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3C10399"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(0.87,1.16)</w:t>
            </w:r>
          </w:p>
        </w:tc>
      </w:tr>
      <w:tr w:rsidR="00C54BBB" w:rsidRPr="00852AEE" w14:paraId="363A394A" w14:textId="77777777" w:rsidTr="00196FBC">
        <w:trPr>
          <w:trHeight w:val="336"/>
          <w:jc w:val="center"/>
        </w:trPr>
        <w:tc>
          <w:tcPr>
            <w:tcW w:w="427" w:type="dxa"/>
            <w:vMerge/>
            <w:shd w:val="clear" w:color="auto" w:fill="E7E6E6" w:themeFill="background2"/>
            <w:noWrap/>
            <w:vAlign w:val="center"/>
            <w:hideMark/>
          </w:tcPr>
          <w:p w14:paraId="7229EC47"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hideMark/>
          </w:tcPr>
          <w:p w14:paraId="4D5A614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1.20 (1.00,1.43)</w:t>
            </w:r>
          </w:p>
          <w:p w14:paraId="1F52691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797373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1.22 (1.01,1.47)</w:t>
            </w:r>
          </w:p>
        </w:tc>
        <w:tc>
          <w:tcPr>
            <w:tcW w:w="1617" w:type="dxa"/>
            <w:shd w:val="clear" w:color="auto" w:fill="E7E6E6" w:themeFill="background2"/>
            <w:noWrap/>
            <w:vAlign w:val="bottom"/>
            <w:hideMark/>
          </w:tcPr>
          <w:p w14:paraId="3F2EA70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0.54 (0.32,0.91)</w:t>
            </w:r>
          </w:p>
          <w:p w14:paraId="7BCA942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5A2897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0.56 (0.33,0.96)</w:t>
            </w:r>
          </w:p>
        </w:tc>
        <w:tc>
          <w:tcPr>
            <w:tcW w:w="1617" w:type="dxa"/>
            <w:shd w:val="clear" w:color="auto" w:fill="E7E6E6" w:themeFill="background2"/>
            <w:noWrap/>
            <w:vAlign w:val="bottom"/>
            <w:hideMark/>
          </w:tcPr>
          <w:p w14:paraId="67815AD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0.49 (0.23,1.03)</w:t>
            </w:r>
          </w:p>
          <w:p w14:paraId="688719E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1F8F84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0.51 (0.24,1.11)</w:t>
            </w:r>
          </w:p>
        </w:tc>
        <w:tc>
          <w:tcPr>
            <w:tcW w:w="1617" w:type="dxa"/>
            <w:shd w:val="clear" w:color="auto" w:fill="E7E6E6" w:themeFill="background2"/>
            <w:noWrap/>
            <w:vAlign w:val="bottom"/>
            <w:hideMark/>
          </w:tcPr>
          <w:p w14:paraId="6758807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0.46 (0.24,0.90)</w:t>
            </w:r>
          </w:p>
          <w:p w14:paraId="494577E6"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9159983"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0.48 (0.24,0.98)</w:t>
            </w:r>
          </w:p>
        </w:tc>
        <w:tc>
          <w:tcPr>
            <w:tcW w:w="1616" w:type="dxa"/>
            <w:shd w:val="clear" w:color="auto" w:fill="E7E6E6" w:themeFill="background2"/>
            <w:noWrap/>
            <w:vAlign w:val="bottom"/>
            <w:hideMark/>
          </w:tcPr>
          <w:p w14:paraId="1CAED9BC"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0.47 (0.21,1.03)</w:t>
            </w:r>
          </w:p>
          <w:p w14:paraId="7AE3BC0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DB1B50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0.49 (0.22,1.11)</w:t>
            </w:r>
          </w:p>
        </w:tc>
        <w:tc>
          <w:tcPr>
            <w:tcW w:w="1616" w:type="dxa"/>
            <w:shd w:val="clear" w:color="auto" w:fill="auto"/>
            <w:noWrap/>
            <w:vAlign w:val="center"/>
            <w:hideMark/>
          </w:tcPr>
          <w:p w14:paraId="757BC9CD"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REML</w:t>
            </w:r>
          </w:p>
          <w:p w14:paraId="28F9B70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Fixed</w:t>
            </w:r>
          </w:p>
        </w:tc>
        <w:tc>
          <w:tcPr>
            <w:tcW w:w="1616" w:type="dxa"/>
            <w:vAlign w:val="bottom"/>
          </w:tcPr>
          <w:p w14:paraId="0EEE932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1.70 (1.06,2.74)</w:t>
            </w:r>
          </w:p>
          <w:p w14:paraId="7191222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7D909B6"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1.68 (1.06,2.67)</w:t>
            </w:r>
          </w:p>
        </w:tc>
        <w:tc>
          <w:tcPr>
            <w:tcW w:w="1616" w:type="dxa"/>
            <w:vAlign w:val="bottom"/>
          </w:tcPr>
          <w:p w14:paraId="0C568494"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1.61 (0.88,2.94)</w:t>
            </w:r>
          </w:p>
          <w:p w14:paraId="6E28E61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2104019"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1.54 (0.84,2.82)</w:t>
            </w:r>
          </w:p>
        </w:tc>
        <w:tc>
          <w:tcPr>
            <w:tcW w:w="1616" w:type="dxa"/>
            <w:vAlign w:val="bottom"/>
          </w:tcPr>
          <w:p w14:paraId="3477D207"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1.76 (1.06,2.92)</w:t>
            </w:r>
          </w:p>
          <w:p w14:paraId="73C1334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5DA0C3B"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1.72 (1.07,2.77)</w:t>
            </w:r>
          </w:p>
        </w:tc>
        <w:tc>
          <w:tcPr>
            <w:tcW w:w="1616" w:type="dxa"/>
            <w:vAlign w:val="bottom"/>
          </w:tcPr>
          <w:p w14:paraId="291405A2"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1.62 (0.88,2.97)</w:t>
            </w:r>
          </w:p>
          <w:p w14:paraId="0028D54C"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98B75FD"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1.54 (0.84,2.84)</w:t>
            </w:r>
          </w:p>
        </w:tc>
      </w:tr>
      <w:tr w:rsidR="00C54BBB" w:rsidRPr="00852AEE" w14:paraId="44189F04" w14:textId="77777777" w:rsidTr="00196FBC">
        <w:trPr>
          <w:trHeight w:val="336"/>
          <w:jc w:val="center"/>
        </w:trPr>
        <w:tc>
          <w:tcPr>
            <w:tcW w:w="427" w:type="dxa"/>
            <w:vMerge/>
            <w:shd w:val="clear" w:color="auto" w:fill="E7E6E6" w:themeFill="background2"/>
            <w:noWrap/>
            <w:vAlign w:val="center"/>
          </w:tcPr>
          <w:p w14:paraId="72B48D98"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tcPr>
          <w:p w14:paraId="13A8E586"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2.39 (1.48,3.85)</w:t>
            </w:r>
          </w:p>
          <w:p w14:paraId="517A0F5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2AB1EE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2.41 (1.50,3.85)</w:t>
            </w:r>
          </w:p>
        </w:tc>
        <w:tc>
          <w:tcPr>
            <w:tcW w:w="1617" w:type="dxa"/>
            <w:shd w:val="clear" w:color="auto" w:fill="E7E6E6" w:themeFill="background2"/>
            <w:noWrap/>
            <w:vAlign w:val="bottom"/>
          </w:tcPr>
          <w:p w14:paraId="09CE24EC"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1.07 (0.90,1.28)</w:t>
            </w:r>
          </w:p>
          <w:p w14:paraId="446B1566"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B20D593"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(0.86,1.44)</w:t>
            </w:r>
          </w:p>
        </w:tc>
        <w:tc>
          <w:tcPr>
            <w:tcW w:w="1617" w:type="dxa"/>
            <w:shd w:val="clear" w:color="auto" w:fill="E7E6E6" w:themeFill="background2"/>
            <w:noWrap/>
            <w:vAlign w:val="bottom"/>
          </w:tcPr>
          <w:p w14:paraId="15AE5B5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(0.67,1.42)</w:t>
            </w:r>
          </w:p>
          <w:p w14:paraId="5CF30AD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2F4E6E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(0.66,1.54)</w:t>
            </w:r>
          </w:p>
        </w:tc>
        <w:tc>
          <w:tcPr>
            <w:tcW w:w="1617" w:type="dxa"/>
            <w:shd w:val="clear" w:color="auto" w:fill="E7E6E6" w:themeFill="background2"/>
            <w:noWrap/>
            <w:vAlign w:val="bottom"/>
          </w:tcPr>
          <w:p w14:paraId="384BEAB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0.92 (0.69,1.23)</w:t>
            </w:r>
          </w:p>
          <w:p w14:paraId="53792A0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A4D3DE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0.95 (0.67,1.36)</w:t>
            </w:r>
          </w:p>
        </w:tc>
        <w:tc>
          <w:tcPr>
            <w:tcW w:w="1616" w:type="dxa"/>
            <w:shd w:val="clear" w:color="auto" w:fill="E7E6E6" w:themeFill="background2"/>
            <w:noWrap/>
            <w:vAlign w:val="bottom"/>
          </w:tcPr>
          <w:p w14:paraId="304DBDE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0.93 (0.61,1.41)</w:t>
            </w:r>
          </w:p>
          <w:p w14:paraId="317C57E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A464B1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0.97 (0.61,1.53)</w:t>
            </w:r>
          </w:p>
        </w:tc>
        <w:tc>
          <w:tcPr>
            <w:tcW w:w="1616" w:type="dxa"/>
            <w:shd w:val="clear" w:color="auto" w:fill="E7E6E6" w:themeFill="background2"/>
            <w:noWrap/>
            <w:vAlign w:val="bottom"/>
          </w:tcPr>
          <w:p w14:paraId="45BA531E"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2.00 (1.25,3.19)</w:t>
            </w:r>
          </w:p>
          <w:p w14:paraId="1813897B"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08DF68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1.97 (1.23,3.18)</w:t>
            </w:r>
          </w:p>
        </w:tc>
        <w:tc>
          <w:tcPr>
            <w:tcW w:w="1616" w:type="dxa"/>
            <w:vAlign w:val="center"/>
          </w:tcPr>
          <w:p w14:paraId="2137270F"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REML</w:t>
            </w:r>
          </w:p>
          <w:p w14:paraId="5BE21CA6"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DL+WT</w:t>
            </w:r>
          </w:p>
        </w:tc>
        <w:tc>
          <w:tcPr>
            <w:tcW w:w="1616" w:type="dxa"/>
            <w:vAlign w:val="bottom"/>
          </w:tcPr>
          <w:p w14:paraId="0C7200F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0.94 (0.76,1.17)</w:t>
            </w:r>
          </w:p>
          <w:p w14:paraId="0C9BFCD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73EA5C8"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0.91 (0.72,1.16)</w:t>
            </w:r>
          </w:p>
        </w:tc>
        <w:tc>
          <w:tcPr>
            <w:tcW w:w="1616" w:type="dxa"/>
            <w:vAlign w:val="bottom"/>
          </w:tcPr>
          <w:p w14:paraId="196ACAEA"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1.03 (0.91,1.17)</w:t>
            </w:r>
          </w:p>
          <w:p w14:paraId="30F74402"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8F8C1C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1.02 (0.93,1.12)</w:t>
            </w:r>
          </w:p>
        </w:tc>
        <w:tc>
          <w:tcPr>
            <w:tcW w:w="1616" w:type="dxa"/>
            <w:vAlign w:val="bottom"/>
          </w:tcPr>
          <w:p w14:paraId="1A2E492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0.95 (0.76,1.18)</w:t>
            </w:r>
          </w:p>
          <w:p w14:paraId="7CB94BE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BA2155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0.91 (0.72,1.16)</w:t>
            </w:r>
          </w:p>
        </w:tc>
      </w:tr>
      <w:tr w:rsidR="00C54BBB" w:rsidRPr="00852AEE" w14:paraId="1E74BC49" w14:textId="77777777" w:rsidTr="00196FBC">
        <w:trPr>
          <w:trHeight w:val="336"/>
          <w:jc w:val="center"/>
        </w:trPr>
        <w:tc>
          <w:tcPr>
            <w:tcW w:w="427" w:type="dxa"/>
            <w:vMerge/>
            <w:shd w:val="clear" w:color="auto" w:fill="E7E6E6" w:themeFill="background2"/>
            <w:noWrap/>
            <w:vAlign w:val="center"/>
          </w:tcPr>
          <w:p w14:paraId="7F992727"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tcPr>
          <w:p w14:paraId="3180070B"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2.49 (1.20,5.15)</w:t>
            </w:r>
          </w:p>
          <w:p w14:paraId="179AFED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02F9A1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2.56 (1.22,5.39)</w:t>
            </w:r>
          </w:p>
        </w:tc>
        <w:tc>
          <w:tcPr>
            <w:tcW w:w="1617" w:type="dxa"/>
            <w:shd w:val="clear" w:color="auto" w:fill="E7E6E6" w:themeFill="background2"/>
            <w:noWrap/>
            <w:vAlign w:val="bottom"/>
          </w:tcPr>
          <w:p w14:paraId="2D37DE6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(0.80,1.55)</w:t>
            </w:r>
          </w:p>
          <w:p w14:paraId="535B8156"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87DA65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1.19 (0.78,1.80)</w:t>
            </w:r>
          </w:p>
        </w:tc>
        <w:tc>
          <w:tcPr>
            <w:tcW w:w="1617" w:type="dxa"/>
            <w:shd w:val="clear" w:color="auto" w:fill="E7E6E6" w:themeFill="background2"/>
            <w:noWrap/>
            <w:vAlign w:val="bottom"/>
          </w:tcPr>
          <w:p w14:paraId="0764541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(0.88,1.17)</w:t>
            </w:r>
          </w:p>
          <w:p w14:paraId="2EFADE9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6939C701"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1.08 (0.81,1.44)</w:t>
            </w:r>
          </w:p>
        </w:tc>
        <w:tc>
          <w:tcPr>
            <w:tcW w:w="1617" w:type="dxa"/>
            <w:shd w:val="clear" w:color="auto" w:fill="E7E6E6" w:themeFill="background2"/>
            <w:noWrap/>
            <w:vAlign w:val="bottom"/>
          </w:tcPr>
          <w:p w14:paraId="68945923"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0.96 (0.77,1.20)</w:t>
            </w:r>
          </w:p>
          <w:p w14:paraId="1E2C838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CBDEC5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1.02 (0.73,1.42)</w:t>
            </w:r>
          </w:p>
        </w:tc>
        <w:tc>
          <w:tcPr>
            <w:tcW w:w="1616" w:type="dxa"/>
            <w:shd w:val="clear" w:color="auto" w:fill="E7E6E6" w:themeFill="background2"/>
            <w:noWrap/>
            <w:vAlign w:val="bottom"/>
          </w:tcPr>
          <w:p w14:paraId="0D21995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0.97 (0.85,1.11)</w:t>
            </w:r>
          </w:p>
          <w:p w14:paraId="5D041AC8"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18460B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1.03 (0.78,1.36)</w:t>
            </w:r>
          </w:p>
        </w:tc>
        <w:tc>
          <w:tcPr>
            <w:tcW w:w="1616" w:type="dxa"/>
            <w:shd w:val="clear" w:color="auto" w:fill="E7E6E6" w:themeFill="background2"/>
            <w:noWrap/>
            <w:vAlign w:val="bottom"/>
          </w:tcPr>
          <w:p w14:paraId="4E803D0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2.08 (0.98,4.39)</w:t>
            </w:r>
          </w:p>
          <w:p w14:paraId="28B3085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754F1F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2.10 (0.98,4.53)</w:t>
            </w:r>
          </w:p>
        </w:tc>
        <w:tc>
          <w:tcPr>
            <w:tcW w:w="1616" w:type="dxa"/>
            <w:shd w:val="clear" w:color="auto" w:fill="E7E6E6" w:themeFill="background2"/>
            <w:vAlign w:val="bottom"/>
          </w:tcPr>
          <w:p w14:paraId="10D449B6"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(0.73,1.49)</w:t>
            </w:r>
          </w:p>
          <w:p w14:paraId="3B1C73A7"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D8DB1C6"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(0.74,1.53)</w:t>
            </w:r>
          </w:p>
        </w:tc>
        <w:tc>
          <w:tcPr>
            <w:tcW w:w="1616" w:type="dxa"/>
            <w:vAlign w:val="center"/>
          </w:tcPr>
          <w:p w14:paraId="4FE9C62E"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REML</w:t>
            </w:r>
          </w:p>
          <w:p w14:paraId="5664B6F7"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DL+HKSJ</w:t>
            </w:r>
          </w:p>
        </w:tc>
        <w:tc>
          <w:tcPr>
            <w:tcW w:w="1616" w:type="dxa"/>
            <w:vAlign w:val="bottom"/>
          </w:tcPr>
          <w:p w14:paraId="70CBFCEA"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1.09 (0.94,1.27)</w:t>
            </w:r>
          </w:p>
          <w:p w14:paraId="5CB29F62"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B994E8A"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(0.91,1.37)</w:t>
            </w:r>
          </w:p>
        </w:tc>
        <w:tc>
          <w:tcPr>
            <w:tcW w:w="1616" w:type="dxa"/>
            <w:vAlign w:val="bottom"/>
          </w:tcPr>
          <w:p w14:paraId="5366D91A"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1.01 (0.99,1.02)</w:t>
            </w:r>
          </w:p>
          <w:p w14:paraId="2BA39389"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D5FC77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1.00 (1.00,1.01)</w:t>
            </w:r>
          </w:p>
        </w:tc>
      </w:tr>
      <w:tr w:rsidR="00C54BBB" w:rsidRPr="00852AEE" w14:paraId="570B4F4C" w14:textId="77777777" w:rsidTr="00196FBC">
        <w:trPr>
          <w:trHeight w:val="336"/>
          <w:jc w:val="center"/>
        </w:trPr>
        <w:tc>
          <w:tcPr>
            <w:tcW w:w="427" w:type="dxa"/>
            <w:vMerge/>
            <w:shd w:val="clear" w:color="auto" w:fill="E7E6E6" w:themeFill="background2"/>
            <w:noWrap/>
            <w:vAlign w:val="center"/>
          </w:tcPr>
          <w:p w14:paraId="7F6806FF"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tcPr>
          <w:p w14:paraId="54E1539B"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2.70 (1.41,5.18)</w:t>
            </w:r>
          </w:p>
          <w:p w14:paraId="63513B98"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E6831B3"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2.83 (1.43,5.60)</w:t>
            </w:r>
          </w:p>
        </w:tc>
        <w:tc>
          <w:tcPr>
            <w:tcW w:w="1617" w:type="dxa"/>
            <w:shd w:val="clear" w:color="auto" w:fill="E7E6E6" w:themeFill="background2"/>
            <w:noWrap/>
            <w:vAlign w:val="bottom"/>
          </w:tcPr>
          <w:p w14:paraId="3E47870E"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1.21 (0.85,1.72)</w:t>
            </w:r>
          </w:p>
          <w:p w14:paraId="5914F48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3F6EEF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1.31 (0.85,2.01)</w:t>
            </w:r>
          </w:p>
        </w:tc>
        <w:tc>
          <w:tcPr>
            <w:tcW w:w="1617" w:type="dxa"/>
            <w:shd w:val="clear" w:color="auto" w:fill="E7E6E6" w:themeFill="background2"/>
            <w:noWrap/>
            <w:vAlign w:val="bottom"/>
          </w:tcPr>
          <w:p w14:paraId="033930A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(0.77,1.58)</w:t>
            </w:r>
          </w:p>
          <w:p w14:paraId="440B2FE2"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C38CF1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1.19 (0.79,1.80)</w:t>
            </w:r>
          </w:p>
        </w:tc>
        <w:tc>
          <w:tcPr>
            <w:tcW w:w="1617" w:type="dxa"/>
            <w:shd w:val="clear" w:color="auto" w:fill="E7E6E6" w:themeFill="background2"/>
            <w:noWrap/>
            <w:vAlign w:val="bottom"/>
          </w:tcPr>
          <w:p w14:paraId="2A6C811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(0.80,1.37)</w:t>
            </w:r>
          </w:p>
          <w:p w14:paraId="1FA20962"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64EB1E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(0.80,1.57)</w:t>
            </w:r>
          </w:p>
        </w:tc>
        <w:tc>
          <w:tcPr>
            <w:tcW w:w="1616" w:type="dxa"/>
            <w:shd w:val="clear" w:color="auto" w:fill="E7E6E6" w:themeFill="background2"/>
            <w:noWrap/>
            <w:vAlign w:val="bottom"/>
          </w:tcPr>
          <w:p w14:paraId="340B67F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(0.73,1.51)</w:t>
            </w:r>
          </w:p>
          <w:p w14:paraId="34A17841"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18F2E8E"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1.13 (0.76,1.70)</w:t>
            </w:r>
          </w:p>
        </w:tc>
        <w:tc>
          <w:tcPr>
            <w:tcW w:w="1616" w:type="dxa"/>
            <w:shd w:val="clear" w:color="auto" w:fill="E7E6E6" w:themeFill="background2"/>
            <w:noWrap/>
            <w:vAlign w:val="bottom"/>
          </w:tcPr>
          <w:p w14:paraId="5CF9C85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2.26 (1.17,4.37)</w:t>
            </w:r>
          </w:p>
          <w:p w14:paraId="75887C4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1014067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2.32 (1.16,4.64)</w:t>
            </w:r>
          </w:p>
        </w:tc>
        <w:tc>
          <w:tcPr>
            <w:tcW w:w="1616" w:type="dxa"/>
            <w:shd w:val="clear" w:color="auto" w:fill="E7E6E6" w:themeFill="background2"/>
            <w:vAlign w:val="bottom"/>
          </w:tcPr>
          <w:p w14:paraId="6B479FF8"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1.13 (0.86,1.48)</w:t>
            </w:r>
          </w:p>
          <w:p w14:paraId="35D0F08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BA7E8D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1.18 (0.88,1.57)</w:t>
            </w:r>
          </w:p>
        </w:tc>
        <w:tc>
          <w:tcPr>
            <w:tcW w:w="1616" w:type="dxa"/>
            <w:shd w:val="clear" w:color="auto" w:fill="E7E6E6" w:themeFill="background2"/>
            <w:vAlign w:val="bottom"/>
          </w:tcPr>
          <w:p w14:paraId="639D829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1.09 (0.82,1.44)</w:t>
            </w:r>
          </w:p>
          <w:p w14:paraId="2CA78A96"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327C6B0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(0.85,1.44)</w:t>
            </w:r>
          </w:p>
        </w:tc>
        <w:tc>
          <w:tcPr>
            <w:tcW w:w="1616" w:type="dxa"/>
            <w:vAlign w:val="center"/>
          </w:tcPr>
          <w:p w14:paraId="6A226014"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REML</w:t>
            </w:r>
          </w:p>
          <w:p w14:paraId="43CCC11F"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REML+WT</w:t>
            </w:r>
          </w:p>
        </w:tc>
        <w:tc>
          <w:tcPr>
            <w:tcW w:w="1616" w:type="dxa"/>
            <w:vAlign w:val="bottom"/>
          </w:tcPr>
          <w:p w14:paraId="2119A4A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0.92 (0.79,1.08)</w:t>
            </w:r>
          </w:p>
          <w:p w14:paraId="6FCE145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FF076D3"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0.90 (0.73,1.10)</w:t>
            </w:r>
          </w:p>
        </w:tc>
      </w:tr>
      <w:tr w:rsidR="00C54BBB" w:rsidRPr="00852AEE" w14:paraId="234326BA" w14:textId="77777777" w:rsidTr="00196FBC">
        <w:trPr>
          <w:trHeight w:val="336"/>
          <w:jc w:val="center"/>
        </w:trPr>
        <w:tc>
          <w:tcPr>
            <w:tcW w:w="427" w:type="dxa"/>
            <w:vMerge/>
            <w:shd w:val="clear" w:color="auto" w:fill="E7E6E6" w:themeFill="background2"/>
            <w:noWrap/>
            <w:vAlign w:val="center"/>
          </w:tcPr>
          <w:p w14:paraId="67EDFDDC" w14:textId="77777777" w:rsidR="00C54BBB" w:rsidRPr="00852AEE" w:rsidRDefault="00C54BBB" w:rsidP="00554C54">
            <w:pPr>
              <w:spacing w:after="0" w:line="240" w:lineRule="auto"/>
              <w:jc w:val="center"/>
              <w:rPr>
                <w:rFonts w:ascii="Times" w:hAnsi="Times" w:cs="Times"/>
                <w:sz w:val="20"/>
                <w:szCs w:val="20"/>
              </w:rPr>
            </w:pPr>
          </w:p>
        </w:tc>
        <w:tc>
          <w:tcPr>
            <w:tcW w:w="1616" w:type="dxa"/>
            <w:shd w:val="clear" w:color="auto" w:fill="E7E6E6" w:themeFill="background2"/>
            <w:noWrap/>
            <w:vAlign w:val="bottom"/>
          </w:tcPr>
          <w:p w14:paraId="3030C64D"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2.54 (1.16,5.53)</w:t>
            </w:r>
          </w:p>
          <w:p w14:paraId="5A344898"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2D1DA25"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2.65 (1.18,5.93)</w:t>
            </w:r>
          </w:p>
        </w:tc>
        <w:tc>
          <w:tcPr>
            <w:tcW w:w="1617" w:type="dxa"/>
            <w:shd w:val="clear" w:color="auto" w:fill="E7E6E6" w:themeFill="background2"/>
            <w:noWrap/>
            <w:vAlign w:val="bottom"/>
          </w:tcPr>
          <w:p w14:paraId="67AA78A2"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1.14 (0.76,1.70)</w:t>
            </w:r>
          </w:p>
          <w:p w14:paraId="11E2CBBA"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44AE4F2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1.23 (0.75,2.01)</w:t>
            </w:r>
          </w:p>
        </w:tc>
        <w:tc>
          <w:tcPr>
            <w:tcW w:w="1617" w:type="dxa"/>
            <w:shd w:val="clear" w:color="auto" w:fill="E7E6E6" w:themeFill="background2"/>
            <w:noWrap/>
            <w:vAlign w:val="bottom"/>
          </w:tcPr>
          <w:p w14:paraId="6E1E4D13"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1.04 (0.84,1.28)</w:t>
            </w:r>
          </w:p>
          <w:p w14:paraId="1B7FB290"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0CF1FE1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1.12 (0.79,1.57)</w:t>
            </w:r>
          </w:p>
        </w:tc>
        <w:tc>
          <w:tcPr>
            <w:tcW w:w="1617" w:type="dxa"/>
            <w:shd w:val="clear" w:color="auto" w:fill="E7E6E6" w:themeFill="background2"/>
            <w:noWrap/>
            <w:vAlign w:val="bottom"/>
          </w:tcPr>
          <w:p w14:paraId="3AAD0ED9"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0.98 (0.74,1.29)</w:t>
            </w:r>
          </w:p>
          <w:p w14:paraId="1C1F5C8C"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A2E25C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1.05 (0.72,1.54)</w:t>
            </w:r>
          </w:p>
        </w:tc>
        <w:tc>
          <w:tcPr>
            <w:tcW w:w="1616" w:type="dxa"/>
            <w:shd w:val="clear" w:color="auto" w:fill="E7E6E6" w:themeFill="background2"/>
            <w:noWrap/>
            <w:vAlign w:val="bottom"/>
          </w:tcPr>
          <w:p w14:paraId="576CF320"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0.99 (0.82,1.19)</w:t>
            </w:r>
          </w:p>
          <w:p w14:paraId="09B801B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327BE2C"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(0.78,1.45)</w:t>
            </w:r>
          </w:p>
        </w:tc>
        <w:tc>
          <w:tcPr>
            <w:tcW w:w="1616" w:type="dxa"/>
            <w:shd w:val="clear" w:color="auto" w:fill="E7E6E6" w:themeFill="background2"/>
            <w:noWrap/>
            <w:vAlign w:val="bottom"/>
          </w:tcPr>
          <w:p w14:paraId="56B78A4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2.12 (0.95,4.73)</w:t>
            </w:r>
          </w:p>
          <w:p w14:paraId="5A3FCB95"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5C720984"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2.17 (0.95,4.99)</w:t>
            </w:r>
          </w:p>
        </w:tc>
        <w:tc>
          <w:tcPr>
            <w:tcW w:w="1616" w:type="dxa"/>
            <w:shd w:val="clear" w:color="auto" w:fill="E7E6E6" w:themeFill="background2"/>
            <w:vAlign w:val="bottom"/>
          </w:tcPr>
          <w:p w14:paraId="1DE3E67F"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1.06 (0.70,1.60)</w:t>
            </w:r>
          </w:p>
          <w:p w14:paraId="4B0E4BEF"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E83F9B2"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1.10 (0.72,1.69)</w:t>
            </w:r>
          </w:p>
        </w:tc>
        <w:tc>
          <w:tcPr>
            <w:tcW w:w="1616" w:type="dxa"/>
            <w:shd w:val="clear" w:color="auto" w:fill="E7E6E6" w:themeFill="background2"/>
            <w:vAlign w:val="bottom"/>
          </w:tcPr>
          <w:p w14:paraId="280F14C1"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1.02 (0.93,1.12)</w:t>
            </w:r>
          </w:p>
          <w:p w14:paraId="659C09F3"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2E36A750"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1.03 (0.94,1.14)</w:t>
            </w:r>
          </w:p>
        </w:tc>
        <w:tc>
          <w:tcPr>
            <w:tcW w:w="1616" w:type="dxa"/>
            <w:shd w:val="clear" w:color="auto" w:fill="E7E6E6" w:themeFill="background2"/>
            <w:vAlign w:val="bottom"/>
          </w:tcPr>
          <w:p w14:paraId="01BD8175" w14:textId="77777777" w:rsidR="00C54BBB" w:rsidRDefault="00C54BBB" w:rsidP="00554C54">
            <w:pPr>
              <w:spacing w:after="0" w:line="240" w:lineRule="auto"/>
              <w:jc w:val="center"/>
              <w:rPr>
                <w:rFonts w:ascii="Times" w:hAnsi="Times" w:cs="Times"/>
                <w:sz w:val="20"/>
                <w:szCs w:val="20"/>
              </w:rPr>
            </w:pPr>
            <w:r w:rsidRPr="004F726E">
              <w:rPr>
                <w:rFonts w:ascii="Times" w:hAnsi="Times" w:cs="Times"/>
                <w:sz w:val="20"/>
                <w:szCs w:val="20"/>
              </w:rPr>
              <w:t>0.94 (0.71,1.24)</w:t>
            </w:r>
          </w:p>
          <w:p w14:paraId="5E1C0D5D" w14:textId="77777777" w:rsidR="00C54BBB" w:rsidRDefault="00C54BBB" w:rsidP="00554C54">
            <w:pPr>
              <w:spacing w:after="0" w:line="240" w:lineRule="auto"/>
              <w:jc w:val="center"/>
              <w:rPr>
                <w:rFonts w:ascii="Times" w:hAnsi="Times" w:cs="Times"/>
                <w:sz w:val="20"/>
                <w:szCs w:val="20"/>
              </w:rPr>
            </w:pPr>
            <w:r>
              <w:rPr>
                <w:rFonts w:ascii="Times" w:hAnsi="Times" w:cs="Times"/>
                <w:sz w:val="20"/>
                <w:szCs w:val="20"/>
              </w:rPr>
              <w:t>vs</w:t>
            </w:r>
          </w:p>
          <w:p w14:paraId="75399AE6"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sz w:val="20"/>
                <w:szCs w:val="20"/>
              </w:rPr>
              <w:t>0.94 (0.72,1.22)</w:t>
            </w:r>
          </w:p>
        </w:tc>
        <w:tc>
          <w:tcPr>
            <w:tcW w:w="1616" w:type="dxa"/>
            <w:vAlign w:val="center"/>
          </w:tcPr>
          <w:p w14:paraId="3DF872E6" w14:textId="77777777" w:rsidR="00C54BBB" w:rsidRPr="004F726E" w:rsidRDefault="00C54BBB" w:rsidP="00554C54">
            <w:pPr>
              <w:spacing w:after="0" w:line="240" w:lineRule="auto"/>
              <w:ind w:left="113" w:right="113"/>
              <w:jc w:val="center"/>
              <w:rPr>
                <w:rFonts w:ascii="Times" w:hAnsi="Times" w:cs="Times"/>
                <w:b/>
                <w:bCs/>
                <w:sz w:val="20"/>
                <w:szCs w:val="20"/>
              </w:rPr>
            </w:pPr>
            <w:r w:rsidRPr="004F726E">
              <w:rPr>
                <w:rFonts w:ascii="Times" w:hAnsi="Times" w:cs="Times"/>
                <w:b/>
                <w:bCs/>
                <w:sz w:val="20"/>
                <w:szCs w:val="20"/>
              </w:rPr>
              <w:t>REML</w:t>
            </w:r>
          </w:p>
          <w:p w14:paraId="7F5CB971" w14:textId="77777777" w:rsidR="00C54BBB" w:rsidRPr="004F726E" w:rsidRDefault="00C54BBB" w:rsidP="00554C54">
            <w:pPr>
              <w:spacing w:after="0" w:line="240" w:lineRule="auto"/>
              <w:jc w:val="center"/>
              <w:rPr>
                <w:rFonts w:ascii="Times" w:hAnsi="Times" w:cs="Times"/>
                <w:sz w:val="20"/>
                <w:szCs w:val="20"/>
              </w:rPr>
            </w:pPr>
            <w:r w:rsidRPr="004F726E">
              <w:rPr>
                <w:rFonts w:ascii="Times" w:hAnsi="Times" w:cs="Times"/>
                <w:b/>
                <w:bCs/>
                <w:sz w:val="20"/>
                <w:szCs w:val="20"/>
              </w:rPr>
              <w:t>REML+HKSJ</w:t>
            </w:r>
          </w:p>
        </w:tc>
      </w:tr>
      <w:tr w:rsidR="00C54BBB" w:rsidRPr="00852AEE" w14:paraId="4B80E118" w14:textId="77777777" w:rsidTr="00196FBC">
        <w:trPr>
          <w:trHeight w:val="336"/>
          <w:jc w:val="center"/>
        </w:trPr>
        <w:tc>
          <w:tcPr>
            <w:tcW w:w="16590" w:type="dxa"/>
            <w:gridSpan w:val="11"/>
            <w:shd w:val="clear" w:color="auto" w:fill="auto"/>
            <w:noWrap/>
            <w:vAlign w:val="center"/>
          </w:tcPr>
          <w:p w14:paraId="62317F04" w14:textId="77777777" w:rsidR="00C54BBB" w:rsidRDefault="00C54BBB" w:rsidP="00196FBC">
            <w:pPr>
              <w:spacing w:line="360" w:lineRule="auto"/>
              <w:rPr>
                <w:rFonts w:ascii="Times" w:hAnsi="Times" w:cs="Times"/>
                <w:sz w:val="24"/>
                <w:szCs w:val="24"/>
              </w:rPr>
            </w:pPr>
            <w:r>
              <w:rPr>
                <w:rFonts w:ascii="Times" w:hAnsi="Times" w:cs="Times"/>
                <w:sz w:val="24"/>
                <w:szCs w:val="24"/>
              </w:rPr>
              <w:lastRenderedPageBreak/>
              <w:t xml:space="preserve">The primary analysis included 17 meta-analyses with 283 included ITS studies. The sensitivity analysis included 17 meta-analyses with 267 included ITS studies, with the 16 ITS studies being removed from 5 meta-analyses because the author team could not reach consensus on whether to include them in the primary analysis (e.g., underlying model assumption may be violated). </w:t>
            </w:r>
          </w:p>
          <w:p w14:paraId="1FE2A74E" w14:textId="77777777" w:rsidR="00C54BBB" w:rsidRDefault="00C54BBB" w:rsidP="00196FBC">
            <w:pPr>
              <w:spacing w:line="360" w:lineRule="auto"/>
              <w:rPr>
                <w:rFonts w:ascii="Times" w:hAnsi="Times" w:cs="Times"/>
                <w:sz w:val="24"/>
                <w:szCs w:val="24"/>
              </w:rPr>
            </w:pPr>
            <w:r>
              <w:rPr>
                <w:rFonts w:ascii="Times" w:hAnsi="Times" w:cs="Times"/>
                <w:sz w:val="24"/>
                <w:szCs w:val="24"/>
              </w:rPr>
              <w:t>The top row of the label indicates the ITS analysis methods, bottom row indicates the meta-analysis method, e.g., OLS Fixed indicates OLS ITS analysis and fixed-effect meta-analysis.</w:t>
            </w:r>
          </w:p>
          <w:p w14:paraId="55390F8F" w14:textId="77777777" w:rsidR="00C54BBB" w:rsidRPr="00305C49" w:rsidRDefault="00C54BBB" w:rsidP="00196FBC">
            <w:pPr>
              <w:spacing w:line="360" w:lineRule="auto"/>
              <w:rPr>
                <w:rFonts w:ascii="Times" w:hAnsi="Times" w:cs="Times"/>
                <w:sz w:val="24"/>
                <w:szCs w:val="24"/>
              </w:rPr>
            </w:pPr>
            <w:r>
              <w:rPr>
                <w:rFonts w:ascii="Times" w:hAnsi="Times" w:cs="Times"/>
                <w:sz w:val="24"/>
                <w:szCs w:val="24"/>
              </w:rPr>
              <w:t xml:space="preserve">Interpreting the table – example 1: in the primary analysis, </w:t>
            </w:r>
            <w:r w:rsidRPr="002A7A06">
              <w:rPr>
                <w:rFonts w:ascii="Times" w:hAnsi="Times" w:cs="Times"/>
                <w:sz w:val="24"/>
                <w:szCs w:val="24"/>
              </w:rPr>
              <w:t xml:space="preserve">on average the standard error of the meta-analytic level-change yielded by REML ITS analysis with </w:t>
            </w:r>
            <w:r>
              <w:rPr>
                <w:rFonts w:ascii="Times" w:hAnsi="Times" w:cs="Times"/>
                <w:sz w:val="24"/>
                <w:szCs w:val="24"/>
              </w:rPr>
              <w:t>fixed-effect</w:t>
            </w:r>
            <w:r w:rsidRPr="002A7A06">
              <w:rPr>
                <w:rFonts w:ascii="Times" w:hAnsi="Times" w:cs="Times"/>
                <w:sz w:val="24"/>
                <w:szCs w:val="24"/>
              </w:rPr>
              <w:t xml:space="preserve"> meta-analysis was 6% higher than the standard error yielded by OLS ITS analysis with </w:t>
            </w:r>
            <w:r>
              <w:rPr>
                <w:rFonts w:ascii="Times" w:hAnsi="Times" w:cs="Times"/>
                <w:sz w:val="24"/>
                <w:szCs w:val="24"/>
              </w:rPr>
              <w:t>fixed-effect</w:t>
            </w:r>
            <w:r w:rsidRPr="002A7A06">
              <w:rPr>
                <w:rFonts w:ascii="Times" w:hAnsi="Times" w:cs="Times"/>
                <w:sz w:val="24"/>
                <w:szCs w:val="24"/>
              </w:rPr>
              <w:t xml:space="preserve"> meta-analysis</w:t>
            </w:r>
            <w:r>
              <w:rPr>
                <w:rFonts w:ascii="Times" w:hAnsi="Times" w:cs="Times"/>
                <w:sz w:val="24"/>
                <w:szCs w:val="24"/>
              </w:rPr>
              <w:t>, but was 7% higher in the sensitivity analysis</w:t>
            </w:r>
            <w:r w:rsidRPr="00305C49">
              <w:rPr>
                <w:rFonts w:ascii="Times" w:hAnsi="Times" w:cs="Times"/>
                <w:sz w:val="24"/>
                <w:szCs w:val="24"/>
              </w:rPr>
              <w:t xml:space="preserve"> </w:t>
            </w:r>
            <w:r w:rsidRPr="002A7A06">
              <w:rPr>
                <w:rFonts w:ascii="Times" w:hAnsi="Times" w:cs="Times"/>
                <w:sz w:val="24"/>
                <w:szCs w:val="24"/>
              </w:rPr>
              <w:t>(column 6, row 1)</w:t>
            </w:r>
            <w:r>
              <w:rPr>
                <w:rFonts w:ascii="Times" w:hAnsi="Times" w:cs="Times"/>
                <w:sz w:val="24"/>
                <w:szCs w:val="24"/>
              </w:rPr>
              <w:t xml:space="preserve">. Example 2: in primary and sensitivity analyses, </w:t>
            </w:r>
            <w:r w:rsidRPr="002A7A06">
              <w:rPr>
                <w:rFonts w:ascii="Times" w:hAnsi="Times" w:cs="Times"/>
                <w:sz w:val="24"/>
                <w:szCs w:val="24"/>
              </w:rPr>
              <w:t xml:space="preserve">the standard error of the meta-analytic slope-change yielded by REML ITS analysis with </w:t>
            </w:r>
            <w:r>
              <w:rPr>
                <w:rFonts w:ascii="Times" w:hAnsi="Times" w:cs="Times"/>
                <w:sz w:val="24"/>
                <w:szCs w:val="24"/>
              </w:rPr>
              <w:t>fixed-effect</w:t>
            </w:r>
            <w:r w:rsidRPr="002A7A06">
              <w:rPr>
                <w:rFonts w:ascii="Times" w:hAnsi="Times" w:cs="Times"/>
                <w:sz w:val="24"/>
                <w:szCs w:val="24"/>
              </w:rPr>
              <w:t xml:space="preserve"> meta-analysis was, on average, </w:t>
            </w:r>
            <w:r>
              <w:rPr>
                <w:rFonts w:ascii="Times" w:hAnsi="Times" w:cs="Times"/>
                <w:sz w:val="24"/>
                <w:szCs w:val="24"/>
              </w:rPr>
              <w:t>20</w:t>
            </w:r>
            <w:r w:rsidRPr="002A7A06">
              <w:rPr>
                <w:rFonts w:ascii="Times" w:hAnsi="Times" w:cs="Times"/>
                <w:sz w:val="24"/>
                <w:szCs w:val="24"/>
              </w:rPr>
              <w:t xml:space="preserve">% </w:t>
            </w:r>
            <w:r>
              <w:rPr>
                <w:rFonts w:ascii="Times" w:hAnsi="Times" w:cs="Times"/>
                <w:sz w:val="24"/>
                <w:szCs w:val="24"/>
              </w:rPr>
              <w:t xml:space="preserve">higher </w:t>
            </w:r>
            <w:r w:rsidRPr="002A7A06">
              <w:rPr>
                <w:rFonts w:ascii="Times" w:hAnsi="Times" w:cs="Times"/>
                <w:sz w:val="24"/>
                <w:szCs w:val="24"/>
              </w:rPr>
              <w:t xml:space="preserve">than the standard error yielded by </w:t>
            </w:r>
            <w:r>
              <w:rPr>
                <w:rFonts w:ascii="Times" w:hAnsi="Times" w:cs="Times"/>
                <w:sz w:val="24"/>
                <w:szCs w:val="24"/>
              </w:rPr>
              <w:t>OLS</w:t>
            </w:r>
            <w:r w:rsidRPr="002A7A06">
              <w:rPr>
                <w:rFonts w:ascii="Times" w:hAnsi="Times" w:cs="Times"/>
                <w:sz w:val="24"/>
                <w:szCs w:val="24"/>
              </w:rPr>
              <w:t xml:space="preserve"> ITS analysis with fixed effect meta-analysis</w:t>
            </w:r>
            <w:r>
              <w:rPr>
                <w:rFonts w:ascii="Times" w:hAnsi="Times" w:cs="Times"/>
                <w:sz w:val="24"/>
                <w:szCs w:val="24"/>
              </w:rPr>
              <w:t>, but was 22% higher in the sensitivity analysis</w:t>
            </w:r>
            <w:r w:rsidRPr="002A7A06">
              <w:rPr>
                <w:rFonts w:ascii="Times" w:hAnsi="Times" w:cs="Times"/>
                <w:sz w:val="24"/>
                <w:szCs w:val="24"/>
              </w:rPr>
              <w:t xml:space="preserve"> (column 1, row 6)</w:t>
            </w:r>
            <w:r w:rsidRPr="00305C49">
              <w:rPr>
                <w:rFonts w:ascii="Times" w:hAnsi="Times" w:cs="Times"/>
                <w:sz w:val="24"/>
                <w:szCs w:val="24"/>
              </w:rPr>
              <w:t>.</w:t>
            </w:r>
          </w:p>
          <w:p w14:paraId="0916D1F2" w14:textId="77777777" w:rsidR="00C54BBB" w:rsidRDefault="00C54BBB" w:rsidP="00196FBC">
            <w:pPr>
              <w:spacing w:after="0" w:line="360" w:lineRule="auto"/>
              <w:rPr>
                <w:rFonts w:ascii="Times" w:hAnsi="Times" w:cs="Times"/>
                <w:b/>
                <w:bCs/>
                <w:sz w:val="20"/>
                <w:szCs w:val="20"/>
              </w:rPr>
            </w:pPr>
            <w:r w:rsidRPr="002A7A06">
              <w:rPr>
                <w:rFonts w:ascii="Times" w:hAnsi="Times" w:cs="Times"/>
                <w:sz w:val="24"/>
                <w:szCs w:val="24"/>
              </w:rPr>
              <w:t>DL, DerSimonian and Laird. HKSJ, Hartung-Knapp / Sidik-Jonkman. ITS, interrupted time series. OLS, ordinary least squares. REML, restricted maximum likelihood. WT, Wald-type.</w:t>
            </w:r>
          </w:p>
        </w:tc>
      </w:tr>
      <w:bookmarkEnd w:id="15"/>
    </w:tbl>
    <w:p w14:paraId="2A4827B1" w14:textId="77777777" w:rsidR="00C54BBB" w:rsidRDefault="00C54BBB" w:rsidP="00DB3533">
      <w:pPr>
        <w:pStyle w:val="Heading3"/>
        <w:rPr>
          <w:rFonts w:ascii="Times New Roman" w:hAnsi="Times New Roman" w:cs="Times New Roman"/>
        </w:rPr>
        <w:sectPr w:rsidR="00C54BBB" w:rsidSect="004F1C5C">
          <w:pgSz w:w="16838" w:h="11906" w:orient="landscape"/>
          <w:pgMar w:top="1440" w:right="1440" w:bottom="1440" w:left="1440" w:header="708" w:footer="708" w:gutter="0"/>
          <w:cols w:space="708"/>
          <w:docGrid w:linePitch="360"/>
        </w:sectPr>
      </w:pPr>
    </w:p>
    <w:p w14:paraId="2D278034" w14:textId="77777777" w:rsidR="00C54BBB" w:rsidRDefault="00C54BBB" w:rsidP="007B6890">
      <w:pPr>
        <w:pStyle w:val="Heading3"/>
        <w:rPr>
          <w:rFonts w:ascii="Times" w:hAnsi="Times" w:cs="Times"/>
        </w:rPr>
      </w:pPr>
      <w:bookmarkStart w:id="16" w:name="_Toc121731919"/>
      <w:bookmarkStart w:id="17" w:name="_Hlk119434556"/>
      <w:r>
        <w:rPr>
          <w:rFonts w:ascii="Times" w:hAnsi="Times" w:cs="Times"/>
        </w:rPr>
        <w:lastRenderedPageBreak/>
        <w:t>Appendix Figure S4. Comparing the primary and sensitivity analysis scaled p</w:t>
      </w:r>
      <w:r w:rsidRPr="00852AEE">
        <w:rPr>
          <w:rFonts w:ascii="Times" w:hAnsi="Times" w:cs="Times"/>
        </w:rPr>
        <w:t>airwise comparison of confidence intervals yielded by combinations of ITS analysis and meta-analysis method</w:t>
      </w:r>
      <w:r>
        <w:rPr>
          <w:rFonts w:ascii="Times" w:hAnsi="Times" w:cs="Times"/>
        </w:rPr>
        <w:t>s</w:t>
      </w:r>
      <w:bookmarkEnd w:id="16"/>
      <w:r>
        <w:rPr>
          <w:rFonts w:ascii="Times" w:hAnsi="Times" w:cs="Times"/>
        </w:rPr>
        <w:t xml:space="preserve"> </w:t>
      </w:r>
    </w:p>
    <w:tbl>
      <w:tblPr>
        <w:tblStyle w:val="TableGrid"/>
        <w:tblW w:w="134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7"/>
      </w:tblGrid>
      <w:tr w:rsidR="00C54BBB" w14:paraId="1B4DFC1B" w14:textId="77777777" w:rsidTr="00F82FE2">
        <w:trPr>
          <w:jc w:val="center"/>
        </w:trPr>
        <w:tc>
          <w:tcPr>
            <w:tcW w:w="13467" w:type="dxa"/>
            <w:hideMark/>
          </w:tcPr>
          <w:p w14:paraId="5F6E08A1" w14:textId="77777777" w:rsidR="00C54BBB" w:rsidRDefault="00C54BBB" w:rsidP="00F82FE2">
            <w:pPr>
              <w:jc w:val="center"/>
              <w:rPr>
                <w:rFonts w:ascii="Times" w:hAnsi="Times" w:cs="Times"/>
                <w:sz w:val="24"/>
                <w:szCs w:val="24"/>
              </w:rPr>
            </w:pPr>
            <w:r>
              <w:rPr>
                <w:rFonts w:ascii="Arial" w:eastAsia="Times New Roman" w:hAnsi="Arial" w:cs="Arial"/>
                <w:noProof/>
                <w:color w:val="222222"/>
                <w:sz w:val="24"/>
                <w:szCs w:val="24"/>
                <w:lang w:eastAsia="en-AU"/>
              </w:rPr>
              <w:drawing>
                <wp:inline distT="0" distB="0" distL="0" distR="0" wp14:anchorId="472556F1" wp14:editId="7E85480B">
                  <wp:extent cx="6037384" cy="492232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2147" b="6322"/>
                          <a:stretch/>
                        </pic:blipFill>
                        <pic:spPr bwMode="auto">
                          <a:xfrm>
                            <a:off x="0" y="0"/>
                            <a:ext cx="6042439" cy="4926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4BBB" w14:paraId="492E1496" w14:textId="77777777" w:rsidTr="00F82FE2">
        <w:trPr>
          <w:jc w:val="center"/>
        </w:trPr>
        <w:tc>
          <w:tcPr>
            <w:tcW w:w="13467" w:type="dxa"/>
            <w:hideMark/>
          </w:tcPr>
          <w:p w14:paraId="19CD55B4" w14:textId="77777777" w:rsidR="00C54BBB" w:rsidRDefault="00C54BBB">
            <w:pPr>
              <w:spacing w:line="360" w:lineRule="auto"/>
              <w:rPr>
                <w:rFonts w:ascii="Times" w:hAnsi="Times" w:cs="Times"/>
                <w:sz w:val="24"/>
                <w:szCs w:val="24"/>
              </w:rPr>
            </w:pPr>
            <w:r>
              <w:rPr>
                <w:rFonts w:ascii="Times" w:hAnsi="Times" w:cs="Times"/>
                <w:sz w:val="24"/>
                <w:szCs w:val="24"/>
              </w:rPr>
              <w:lastRenderedPageBreak/>
              <w:t>Figure S4. Pairwise comparison of sensitivity analysis confidence intervals vs primary analysis confidence intervals yielded by combinations of ITS analysis (OLS or REML) and meta-analysis methods (fixed, DL+WT, DL+HKSJ, REML+WT or REML+HKSJ). Each plot contains the 17 meta-analyses’ difference between the sensitivity analysis and primary analysis absolute differences in meta-analytic effect estimates and scaled relative confidence intervals for the sensitivity analysis vs the primary analysis, ranked in order of scaled relative confidence interval width. The top triangle (green points) presents the immediate level-change, while the bottom triangle (blue points) presents the slope-change. The scaled relative confidence interval widths for the level-change were calculated as column method confidence interval width divided by row method confidence interval width for the sensitivity analysis divided by the column method confidence interval width divided by row method confidence interval width (and row method / column method for slope-change), scaled such that the row method for the primary analysis (column method in the case of slope-change) spans -0.5 to 0.5 (indicated by the grey horizontal lines). Confidence intervals entirely between the horizontal grey lines have smaller confidence intervals than the comparison (left of the vertical red line), while the confidence intervals extending beyond the grey horizontal lines</w:t>
            </w:r>
          </w:p>
          <w:p w14:paraId="755D8F36" w14:textId="77777777" w:rsidR="00C54BBB" w:rsidRDefault="00C54BBB">
            <w:pPr>
              <w:spacing w:line="360" w:lineRule="auto"/>
              <w:rPr>
                <w:rFonts w:ascii="Times" w:hAnsi="Times" w:cs="Times"/>
                <w:sz w:val="24"/>
                <w:szCs w:val="24"/>
              </w:rPr>
            </w:pPr>
            <w:r>
              <w:rPr>
                <w:rFonts w:ascii="Times" w:hAnsi="Times" w:cs="Times"/>
                <w:sz w:val="24"/>
                <w:szCs w:val="24"/>
              </w:rPr>
              <w:t xml:space="preserve">have larger confidence intervals than the comparison (right of the vertical red line). </w:t>
            </w:r>
          </w:p>
          <w:p w14:paraId="214C0CFF" w14:textId="77777777" w:rsidR="00C54BBB" w:rsidRDefault="00C54BBB" w:rsidP="00F82FE2">
            <w:pPr>
              <w:spacing w:line="360" w:lineRule="auto"/>
              <w:rPr>
                <w:rFonts w:ascii="Times" w:hAnsi="Times" w:cs="Times"/>
                <w:sz w:val="24"/>
                <w:szCs w:val="24"/>
              </w:rPr>
            </w:pPr>
            <w:r>
              <w:rPr>
                <w:rFonts w:ascii="Times" w:hAnsi="Times" w:cs="Times"/>
                <w:sz w:val="24"/>
                <w:szCs w:val="24"/>
              </w:rPr>
              <w:t xml:space="preserve">For example, in column 4, row 2, we can see that the level-change pairwise confidence interval comparison between OLS ITS analysis with REML+WT meta-analysis vs OLS ITS analysis with DL+WT meta-analysis and in the </w:t>
            </w:r>
            <w:proofErr w:type="gramStart"/>
            <w:r>
              <w:rPr>
                <w:rFonts w:ascii="Times" w:hAnsi="Times" w:cs="Times"/>
                <w:sz w:val="24"/>
                <w:szCs w:val="24"/>
              </w:rPr>
              <w:t>sensitivity</w:t>
            </w:r>
            <w:proofErr w:type="gramEnd"/>
            <w:r>
              <w:rPr>
                <w:rFonts w:ascii="Times" w:hAnsi="Times" w:cs="Times"/>
                <w:sz w:val="24"/>
                <w:szCs w:val="24"/>
              </w:rPr>
              <w:t xml:space="preserve"> analysis were almost always the same as those in the primary analysis. </w:t>
            </w:r>
          </w:p>
          <w:p w14:paraId="7D9B4835" w14:textId="77777777" w:rsidR="00C54BBB" w:rsidRDefault="00C54BBB" w:rsidP="00F82FE2">
            <w:pPr>
              <w:spacing w:line="360" w:lineRule="auto"/>
              <w:rPr>
                <w:rFonts w:ascii="Times" w:hAnsi="Times" w:cs="Times"/>
                <w:sz w:val="24"/>
                <w:szCs w:val="24"/>
              </w:rPr>
            </w:pPr>
            <w:r>
              <w:rPr>
                <w:rFonts w:ascii="Times" w:hAnsi="Times" w:cs="Times"/>
                <w:sz w:val="24"/>
                <w:szCs w:val="24"/>
              </w:rPr>
              <w:t>DL, DerSimonian and Laird. HKSJ, Hartung-Knapp / Sidik-Jonkman. ITS, interrupted time series. OLS, ordinary least squares. REML, restricted maximum likelihood. WT, Wald-type.</w:t>
            </w:r>
          </w:p>
        </w:tc>
      </w:tr>
    </w:tbl>
    <w:p w14:paraId="07D897BC" w14:textId="77777777" w:rsidR="00C54BBB" w:rsidRPr="00E17674" w:rsidRDefault="00C54BBB" w:rsidP="00E17674"/>
    <w:p w14:paraId="1B41C797" w14:textId="77777777" w:rsidR="00C54BBB" w:rsidRPr="007B6890" w:rsidRDefault="00C54BBB" w:rsidP="007B6890">
      <w:pPr>
        <w:pStyle w:val="Heading3"/>
        <w:rPr>
          <w:rFonts w:ascii="Times" w:hAnsi="Times" w:cs="Times"/>
        </w:rPr>
      </w:pPr>
      <w:bookmarkStart w:id="18" w:name="_Toc121731920"/>
      <w:r w:rsidRPr="007B6890">
        <w:rPr>
          <w:rFonts w:ascii="Times" w:hAnsi="Times" w:cs="Times"/>
        </w:rPr>
        <w:t>Appendix Table S</w:t>
      </w:r>
      <w:r>
        <w:rPr>
          <w:rFonts w:ascii="Times" w:hAnsi="Times" w:cs="Times"/>
        </w:rPr>
        <w:t>6</w:t>
      </w:r>
      <w:r w:rsidRPr="007B6890">
        <w:rPr>
          <w:rFonts w:ascii="Times" w:hAnsi="Times" w:cs="Times"/>
        </w:rPr>
        <w:t xml:space="preserve">. </w:t>
      </w:r>
      <w:r>
        <w:rPr>
          <w:rFonts w:ascii="Times" w:hAnsi="Times" w:cs="Times"/>
        </w:rPr>
        <w:t>Comparing the primary and sensitivity analysis results for the f</w:t>
      </w:r>
      <w:r w:rsidRPr="007B6890">
        <w:rPr>
          <w:rFonts w:ascii="Times" w:hAnsi="Times" w:cs="Times"/>
        </w:rPr>
        <w:t xml:space="preserve">requencies </w:t>
      </w:r>
      <w:r w:rsidRPr="0007025A">
        <w:rPr>
          <w:rFonts w:ascii="Times" w:eastAsia="Times New Roman" w:hAnsi="Times" w:cs="Times"/>
          <w:lang w:eastAsia="en-AU"/>
        </w:rPr>
        <w:t xml:space="preserve">of agreement in statistical significance of p-values </w:t>
      </w:r>
      <w:r w:rsidRPr="0007025A">
        <w:rPr>
          <w:rFonts w:ascii="Times" w:hAnsi="Times" w:cs="Times"/>
        </w:rPr>
        <w:t>(categorised as p&lt;0.05 or p</w:t>
      </w:r>
      <m:oMath>
        <m:r>
          <w:rPr>
            <w:rFonts w:ascii="Cambria Math" w:hAnsi="Cambria Math" w:cs="Times"/>
          </w:rPr>
          <m:t>≥</m:t>
        </m:r>
      </m:oMath>
      <w:r w:rsidRPr="0007025A">
        <w:rPr>
          <w:rFonts w:ascii="Times" w:hAnsi="Times" w:cs="Times"/>
        </w:rPr>
        <w:t>0.05)</w:t>
      </w:r>
      <w:r w:rsidRPr="0007025A">
        <w:rPr>
          <w:rFonts w:ascii="Times" w:eastAsia="Times New Roman" w:hAnsi="Times" w:cs="Times"/>
          <w:lang w:eastAsia="en-AU"/>
        </w:rPr>
        <w:t xml:space="preserve"> for pairwise comparisons of the meta-analytic immediate level-change (top triangle) and slope-change (bottom triangle) for combinations of ITS analysis and meta-analysis methods</w:t>
      </w:r>
      <w:r w:rsidRPr="007B6890">
        <w:rPr>
          <w:rFonts w:ascii="Times" w:hAnsi="Times" w:cs="Times"/>
        </w:rPr>
        <w:t>.</w:t>
      </w:r>
      <w:r w:rsidRPr="00931966">
        <w:rPr>
          <w:rFonts w:ascii="Times" w:eastAsia="Times New Roman" w:hAnsi="Times" w:cs="Times"/>
          <w:lang w:eastAsia="en-AU"/>
        </w:rPr>
        <w:t xml:space="preserve"> </w:t>
      </w:r>
      <w:r w:rsidRPr="0007025A">
        <w:rPr>
          <w:rFonts w:ascii="Times" w:eastAsia="Times New Roman" w:hAnsi="Times" w:cs="Times"/>
          <w:lang w:eastAsia="en-AU"/>
        </w:rPr>
        <w:t>(n = 17)</w:t>
      </w:r>
      <w:bookmarkEnd w:id="18"/>
    </w:p>
    <w:bookmarkEnd w:id="17"/>
    <w:tbl>
      <w:tblPr>
        <w:tblW w:w="15026" w:type="dxa"/>
        <w:jc w:val="center"/>
        <w:tblLayout w:type="fixed"/>
        <w:tblLook w:val="04A0" w:firstRow="1" w:lastRow="0" w:firstColumn="1" w:lastColumn="0" w:noHBand="0" w:noVBand="1"/>
      </w:tblPr>
      <w:tblGrid>
        <w:gridCol w:w="455"/>
        <w:gridCol w:w="863"/>
        <w:gridCol w:w="672"/>
        <w:gridCol w:w="673"/>
        <w:gridCol w:w="675"/>
        <w:gridCol w:w="676"/>
        <w:gridCol w:w="675"/>
        <w:gridCol w:w="674"/>
        <w:gridCol w:w="675"/>
        <w:gridCol w:w="676"/>
        <w:gridCol w:w="799"/>
        <w:gridCol w:w="709"/>
        <w:gridCol w:w="516"/>
        <w:gridCol w:w="675"/>
        <w:gridCol w:w="679"/>
        <w:gridCol w:w="681"/>
        <w:gridCol w:w="679"/>
        <w:gridCol w:w="680"/>
        <w:gridCol w:w="679"/>
        <w:gridCol w:w="681"/>
        <w:gridCol w:w="825"/>
        <w:gridCol w:w="709"/>
      </w:tblGrid>
      <w:tr w:rsidR="00C54BBB" w:rsidRPr="00931966" w14:paraId="0C535073" w14:textId="77777777" w:rsidTr="00144E82">
        <w:trPr>
          <w:cantSplit/>
          <w:trHeight w:val="296"/>
          <w:jc w:val="center"/>
        </w:trPr>
        <w:tc>
          <w:tcPr>
            <w:tcW w:w="455" w:type="dxa"/>
            <w:tcBorders>
              <w:top w:val="nil"/>
              <w:left w:val="nil"/>
              <w:bottom w:val="nil"/>
              <w:right w:val="nil"/>
            </w:tcBorders>
            <w:textDirection w:val="btLr"/>
          </w:tcPr>
          <w:p w14:paraId="4592997D" w14:textId="77777777" w:rsidR="00C54BBB" w:rsidRPr="00931966" w:rsidRDefault="00C54BBB" w:rsidP="009F558E">
            <w:pPr>
              <w:spacing w:after="0" w:line="240" w:lineRule="auto"/>
              <w:jc w:val="center"/>
              <w:rPr>
                <w:rFonts w:ascii="Times" w:hAnsi="Times" w:cs="Times"/>
                <w:sz w:val="20"/>
                <w:szCs w:val="20"/>
              </w:rPr>
            </w:pPr>
          </w:p>
        </w:tc>
        <w:tc>
          <w:tcPr>
            <w:tcW w:w="863" w:type="dxa"/>
            <w:tcBorders>
              <w:top w:val="nil"/>
              <w:left w:val="nil"/>
              <w:bottom w:val="nil"/>
              <w:right w:val="nil"/>
            </w:tcBorders>
            <w:shd w:val="clear" w:color="auto" w:fill="auto"/>
            <w:noWrap/>
            <w:textDirection w:val="btLr"/>
            <w:vAlign w:val="center"/>
          </w:tcPr>
          <w:p w14:paraId="24171BA4" w14:textId="77777777" w:rsidR="00C54BBB" w:rsidRPr="00931966" w:rsidRDefault="00C54BBB" w:rsidP="009F558E">
            <w:pPr>
              <w:spacing w:after="0" w:line="240" w:lineRule="auto"/>
              <w:jc w:val="center"/>
              <w:rPr>
                <w:rFonts w:ascii="Times" w:hAnsi="Times" w:cs="Times"/>
                <w:sz w:val="20"/>
                <w:szCs w:val="20"/>
              </w:rPr>
            </w:pPr>
          </w:p>
        </w:tc>
        <w:tc>
          <w:tcPr>
            <w:tcW w:w="13708" w:type="dxa"/>
            <w:gridSpan w:val="20"/>
            <w:tcBorders>
              <w:top w:val="nil"/>
              <w:left w:val="nil"/>
              <w:bottom w:val="nil"/>
              <w:right w:val="nil"/>
            </w:tcBorders>
            <w:shd w:val="clear" w:color="auto" w:fill="auto"/>
            <w:noWrap/>
            <w:vAlign w:val="center"/>
          </w:tcPr>
          <w:p w14:paraId="258C2424" w14:textId="77777777" w:rsidR="00C54BBB" w:rsidRPr="00931966" w:rsidRDefault="00C54BBB" w:rsidP="009F558E">
            <w:pPr>
              <w:spacing w:after="0" w:line="240" w:lineRule="auto"/>
              <w:jc w:val="center"/>
              <w:rPr>
                <w:rFonts w:ascii="Times" w:hAnsi="Times" w:cs="Times"/>
                <w:b/>
                <w:bCs/>
                <w:sz w:val="20"/>
                <w:szCs w:val="20"/>
              </w:rPr>
            </w:pPr>
            <w:r w:rsidRPr="00931966">
              <w:rPr>
                <w:rFonts w:ascii="Times" w:hAnsi="Times" w:cs="Times"/>
                <w:b/>
                <w:bCs/>
                <w:sz w:val="20"/>
                <w:szCs w:val="20"/>
              </w:rPr>
              <w:t>Level-change</w:t>
            </w:r>
          </w:p>
        </w:tc>
      </w:tr>
      <w:tr w:rsidR="00C54BBB" w:rsidRPr="00931966" w14:paraId="15E38666" w14:textId="77777777" w:rsidTr="00144E82">
        <w:trPr>
          <w:cantSplit/>
          <w:trHeight w:val="726"/>
          <w:jc w:val="center"/>
        </w:trPr>
        <w:tc>
          <w:tcPr>
            <w:tcW w:w="455" w:type="dxa"/>
            <w:vMerge w:val="restart"/>
            <w:tcBorders>
              <w:top w:val="nil"/>
              <w:left w:val="nil"/>
              <w:right w:val="nil"/>
            </w:tcBorders>
            <w:shd w:val="clear" w:color="auto" w:fill="E7E6E6" w:themeFill="background2"/>
            <w:textDirection w:val="btLr"/>
          </w:tcPr>
          <w:p w14:paraId="7341F74F" w14:textId="77777777" w:rsidR="00C54BBB" w:rsidRPr="00931966" w:rsidRDefault="00C54BBB" w:rsidP="009F558E">
            <w:pPr>
              <w:spacing w:after="0" w:line="240" w:lineRule="auto"/>
              <w:jc w:val="center"/>
              <w:rPr>
                <w:rFonts w:ascii="Times" w:hAnsi="Times" w:cs="Times"/>
                <w:b/>
                <w:bCs/>
                <w:sz w:val="20"/>
                <w:szCs w:val="20"/>
              </w:rPr>
            </w:pPr>
            <w:r w:rsidRPr="00931966">
              <w:rPr>
                <w:rFonts w:ascii="Times" w:hAnsi="Times" w:cs="Times"/>
                <w:b/>
                <w:bCs/>
                <w:sz w:val="20"/>
                <w:szCs w:val="20"/>
              </w:rPr>
              <w:lastRenderedPageBreak/>
              <w:t>Slope-change</w:t>
            </w:r>
          </w:p>
        </w:tc>
        <w:tc>
          <w:tcPr>
            <w:tcW w:w="863" w:type="dxa"/>
            <w:tcBorders>
              <w:top w:val="nil"/>
              <w:left w:val="nil"/>
              <w:bottom w:val="nil"/>
              <w:right w:val="nil"/>
            </w:tcBorders>
            <w:shd w:val="clear" w:color="auto" w:fill="auto"/>
            <w:noWrap/>
            <w:textDirection w:val="btLr"/>
            <w:vAlign w:val="center"/>
            <w:hideMark/>
          </w:tcPr>
          <w:p w14:paraId="44B97FFE" w14:textId="77777777" w:rsidR="00C54BBB" w:rsidRPr="00931966" w:rsidRDefault="00C54BBB" w:rsidP="009F558E">
            <w:pPr>
              <w:spacing w:after="0" w:line="240" w:lineRule="auto"/>
              <w:jc w:val="center"/>
              <w:rPr>
                <w:rFonts w:ascii="Times" w:hAnsi="Times" w:cs="Times"/>
                <w:sz w:val="20"/>
                <w:szCs w:val="20"/>
              </w:rPr>
            </w:pPr>
          </w:p>
        </w:tc>
        <w:tc>
          <w:tcPr>
            <w:tcW w:w="672" w:type="dxa"/>
            <w:tcBorders>
              <w:top w:val="nil"/>
              <w:left w:val="nil"/>
              <w:bottom w:val="nil"/>
              <w:right w:val="nil"/>
            </w:tcBorders>
            <w:shd w:val="clear" w:color="auto" w:fill="auto"/>
            <w:noWrap/>
            <w:textDirection w:val="btLr"/>
            <w:vAlign w:val="center"/>
            <w:hideMark/>
          </w:tcPr>
          <w:p w14:paraId="1B701B80"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73" w:type="dxa"/>
            <w:tcBorders>
              <w:top w:val="nil"/>
              <w:left w:val="nil"/>
              <w:bottom w:val="nil"/>
              <w:right w:val="single" w:sz="4" w:space="0" w:color="auto"/>
            </w:tcBorders>
            <w:shd w:val="clear" w:color="auto" w:fill="auto"/>
            <w:noWrap/>
            <w:textDirection w:val="btLr"/>
            <w:vAlign w:val="center"/>
            <w:hideMark/>
          </w:tcPr>
          <w:p w14:paraId="36DBCA61"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5" w:type="dxa"/>
            <w:tcBorders>
              <w:top w:val="nil"/>
              <w:left w:val="single" w:sz="4" w:space="0" w:color="auto"/>
              <w:bottom w:val="nil"/>
              <w:right w:val="nil"/>
            </w:tcBorders>
            <w:shd w:val="clear" w:color="auto" w:fill="auto"/>
            <w:noWrap/>
            <w:textDirection w:val="btLr"/>
            <w:vAlign w:val="center"/>
            <w:hideMark/>
          </w:tcPr>
          <w:p w14:paraId="28EFACA7"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76" w:type="dxa"/>
            <w:tcBorders>
              <w:top w:val="nil"/>
              <w:left w:val="nil"/>
              <w:bottom w:val="nil"/>
              <w:right w:val="single" w:sz="4" w:space="0" w:color="auto"/>
            </w:tcBorders>
            <w:shd w:val="clear" w:color="auto" w:fill="auto"/>
            <w:noWrap/>
            <w:textDirection w:val="btLr"/>
            <w:vAlign w:val="center"/>
            <w:hideMark/>
          </w:tcPr>
          <w:p w14:paraId="0DBF4C1A"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5" w:type="dxa"/>
            <w:tcBorders>
              <w:top w:val="nil"/>
              <w:left w:val="single" w:sz="4" w:space="0" w:color="auto"/>
              <w:bottom w:val="nil"/>
              <w:right w:val="nil"/>
            </w:tcBorders>
            <w:shd w:val="clear" w:color="auto" w:fill="auto"/>
            <w:noWrap/>
            <w:textDirection w:val="btLr"/>
            <w:vAlign w:val="center"/>
            <w:hideMark/>
          </w:tcPr>
          <w:p w14:paraId="7ED73538"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74" w:type="dxa"/>
            <w:tcBorders>
              <w:top w:val="nil"/>
              <w:left w:val="nil"/>
              <w:bottom w:val="nil"/>
              <w:right w:val="single" w:sz="4" w:space="0" w:color="auto"/>
            </w:tcBorders>
            <w:shd w:val="clear" w:color="auto" w:fill="auto"/>
            <w:noWrap/>
            <w:textDirection w:val="btLr"/>
            <w:vAlign w:val="center"/>
            <w:hideMark/>
          </w:tcPr>
          <w:p w14:paraId="212192E4"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5" w:type="dxa"/>
            <w:tcBorders>
              <w:top w:val="nil"/>
              <w:left w:val="single" w:sz="4" w:space="0" w:color="auto"/>
              <w:bottom w:val="nil"/>
              <w:right w:val="nil"/>
            </w:tcBorders>
            <w:shd w:val="clear" w:color="auto" w:fill="auto"/>
            <w:noWrap/>
            <w:textDirection w:val="btLr"/>
            <w:vAlign w:val="center"/>
            <w:hideMark/>
          </w:tcPr>
          <w:p w14:paraId="200CFDE3"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76" w:type="dxa"/>
            <w:tcBorders>
              <w:top w:val="nil"/>
              <w:left w:val="nil"/>
              <w:bottom w:val="nil"/>
              <w:right w:val="single" w:sz="4" w:space="0" w:color="auto"/>
            </w:tcBorders>
            <w:shd w:val="clear" w:color="auto" w:fill="auto"/>
            <w:noWrap/>
            <w:textDirection w:val="btLr"/>
            <w:vAlign w:val="center"/>
            <w:hideMark/>
          </w:tcPr>
          <w:p w14:paraId="2D74A4C3"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799" w:type="dxa"/>
            <w:tcBorders>
              <w:top w:val="nil"/>
              <w:left w:val="single" w:sz="4" w:space="0" w:color="auto"/>
              <w:bottom w:val="nil"/>
              <w:right w:val="nil"/>
            </w:tcBorders>
            <w:shd w:val="clear" w:color="auto" w:fill="auto"/>
            <w:noWrap/>
            <w:textDirection w:val="btLr"/>
            <w:vAlign w:val="center"/>
            <w:hideMark/>
          </w:tcPr>
          <w:p w14:paraId="6EE1A8A0"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709" w:type="dxa"/>
            <w:tcBorders>
              <w:top w:val="nil"/>
              <w:left w:val="nil"/>
              <w:bottom w:val="nil"/>
              <w:right w:val="single" w:sz="4" w:space="0" w:color="auto"/>
            </w:tcBorders>
            <w:shd w:val="clear" w:color="auto" w:fill="auto"/>
            <w:noWrap/>
            <w:textDirection w:val="btLr"/>
            <w:vAlign w:val="center"/>
            <w:hideMark/>
          </w:tcPr>
          <w:p w14:paraId="620EEF85"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516" w:type="dxa"/>
            <w:tcBorders>
              <w:top w:val="nil"/>
              <w:left w:val="single" w:sz="4" w:space="0" w:color="auto"/>
              <w:bottom w:val="nil"/>
              <w:right w:val="nil"/>
            </w:tcBorders>
            <w:shd w:val="clear" w:color="auto" w:fill="auto"/>
            <w:noWrap/>
            <w:textDirection w:val="btLr"/>
            <w:vAlign w:val="center"/>
            <w:hideMark/>
          </w:tcPr>
          <w:p w14:paraId="7207A2A5"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75" w:type="dxa"/>
            <w:tcBorders>
              <w:top w:val="nil"/>
              <w:left w:val="nil"/>
              <w:bottom w:val="nil"/>
              <w:right w:val="single" w:sz="4" w:space="0" w:color="auto"/>
            </w:tcBorders>
            <w:shd w:val="clear" w:color="auto" w:fill="auto"/>
            <w:noWrap/>
            <w:textDirection w:val="btLr"/>
            <w:vAlign w:val="center"/>
            <w:hideMark/>
          </w:tcPr>
          <w:p w14:paraId="29F79246"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9" w:type="dxa"/>
            <w:tcBorders>
              <w:top w:val="nil"/>
              <w:left w:val="single" w:sz="4" w:space="0" w:color="auto"/>
              <w:bottom w:val="nil"/>
              <w:right w:val="nil"/>
            </w:tcBorders>
            <w:shd w:val="clear" w:color="auto" w:fill="auto"/>
            <w:noWrap/>
            <w:textDirection w:val="btLr"/>
            <w:vAlign w:val="center"/>
            <w:hideMark/>
          </w:tcPr>
          <w:p w14:paraId="19B34480"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81" w:type="dxa"/>
            <w:tcBorders>
              <w:top w:val="nil"/>
              <w:left w:val="nil"/>
              <w:bottom w:val="nil"/>
              <w:right w:val="single" w:sz="4" w:space="0" w:color="auto"/>
            </w:tcBorders>
            <w:shd w:val="clear" w:color="auto" w:fill="auto"/>
            <w:noWrap/>
            <w:textDirection w:val="btLr"/>
            <w:vAlign w:val="center"/>
            <w:hideMark/>
          </w:tcPr>
          <w:p w14:paraId="0D579767"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9" w:type="dxa"/>
            <w:tcBorders>
              <w:top w:val="nil"/>
              <w:left w:val="single" w:sz="4" w:space="0" w:color="auto"/>
              <w:bottom w:val="nil"/>
              <w:right w:val="nil"/>
            </w:tcBorders>
            <w:shd w:val="clear" w:color="auto" w:fill="auto"/>
            <w:noWrap/>
            <w:textDirection w:val="btLr"/>
            <w:vAlign w:val="center"/>
            <w:hideMark/>
          </w:tcPr>
          <w:p w14:paraId="74580708"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80" w:type="dxa"/>
            <w:tcBorders>
              <w:top w:val="nil"/>
              <w:left w:val="nil"/>
              <w:bottom w:val="nil"/>
              <w:right w:val="single" w:sz="4" w:space="0" w:color="auto"/>
            </w:tcBorders>
            <w:shd w:val="clear" w:color="auto" w:fill="auto"/>
            <w:noWrap/>
            <w:textDirection w:val="btLr"/>
            <w:vAlign w:val="center"/>
            <w:hideMark/>
          </w:tcPr>
          <w:p w14:paraId="7012BC15"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679" w:type="dxa"/>
            <w:tcBorders>
              <w:top w:val="nil"/>
              <w:left w:val="single" w:sz="4" w:space="0" w:color="auto"/>
              <w:bottom w:val="nil"/>
              <w:right w:val="nil"/>
            </w:tcBorders>
            <w:shd w:val="clear" w:color="auto" w:fill="auto"/>
            <w:noWrap/>
            <w:textDirection w:val="btLr"/>
            <w:vAlign w:val="center"/>
            <w:hideMark/>
          </w:tcPr>
          <w:p w14:paraId="19C66D57"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681" w:type="dxa"/>
            <w:tcBorders>
              <w:top w:val="nil"/>
              <w:left w:val="nil"/>
              <w:bottom w:val="nil"/>
              <w:right w:val="single" w:sz="4" w:space="0" w:color="auto"/>
            </w:tcBorders>
            <w:shd w:val="clear" w:color="auto" w:fill="auto"/>
            <w:noWrap/>
            <w:textDirection w:val="btLr"/>
            <w:vAlign w:val="center"/>
            <w:hideMark/>
          </w:tcPr>
          <w:p w14:paraId="6C5D51E2"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c>
          <w:tcPr>
            <w:tcW w:w="825" w:type="dxa"/>
            <w:tcBorders>
              <w:top w:val="nil"/>
              <w:left w:val="single" w:sz="4" w:space="0" w:color="auto"/>
              <w:bottom w:val="nil"/>
              <w:right w:val="nil"/>
            </w:tcBorders>
            <w:shd w:val="clear" w:color="auto" w:fill="auto"/>
            <w:noWrap/>
            <w:textDirection w:val="btLr"/>
            <w:vAlign w:val="center"/>
            <w:hideMark/>
          </w:tcPr>
          <w:p w14:paraId="531B3C8B"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p&lt;0.05</w:t>
            </w:r>
          </w:p>
        </w:tc>
        <w:tc>
          <w:tcPr>
            <w:tcW w:w="709" w:type="dxa"/>
            <w:tcBorders>
              <w:top w:val="nil"/>
              <w:left w:val="nil"/>
              <w:right w:val="single" w:sz="4" w:space="0" w:color="auto"/>
            </w:tcBorders>
            <w:shd w:val="clear" w:color="auto" w:fill="auto"/>
            <w:noWrap/>
            <w:textDirection w:val="btLr"/>
            <w:vAlign w:val="center"/>
            <w:hideMark/>
          </w:tcPr>
          <w:p w14:paraId="56EE7AA2" w14:textId="77777777" w:rsidR="00C54BBB" w:rsidRPr="00931966" w:rsidRDefault="00C54BBB" w:rsidP="009F558E">
            <w:pPr>
              <w:spacing w:after="0" w:line="240" w:lineRule="auto"/>
              <w:jc w:val="center"/>
              <w:rPr>
                <w:rFonts w:ascii="Times" w:hAnsi="Times" w:cs="Times"/>
                <w:sz w:val="20"/>
                <w:szCs w:val="20"/>
              </w:rPr>
            </w:pPr>
            <w:r w:rsidRPr="00931966">
              <w:rPr>
                <w:rFonts w:ascii="Times" w:hAnsi="Times" w:cs="Times"/>
                <w:sz w:val="20"/>
                <w:szCs w:val="20"/>
              </w:rPr>
              <w:t>p≥0.05</w:t>
            </w:r>
          </w:p>
        </w:tc>
      </w:tr>
      <w:tr w:rsidR="00C54BBB" w:rsidRPr="00931966" w14:paraId="4C47984D" w14:textId="77777777" w:rsidTr="00144E82">
        <w:trPr>
          <w:trHeight w:val="385"/>
          <w:jc w:val="center"/>
        </w:trPr>
        <w:tc>
          <w:tcPr>
            <w:tcW w:w="455" w:type="dxa"/>
            <w:vMerge/>
            <w:tcBorders>
              <w:left w:val="nil"/>
              <w:right w:val="nil"/>
            </w:tcBorders>
            <w:shd w:val="clear" w:color="auto" w:fill="E7E6E6" w:themeFill="background2"/>
            <w:textDirection w:val="btLr"/>
          </w:tcPr>
          <w:p w14:paraId="54A7BFF5"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right w:val="nil"/>
            </w:tcBorders>
            <w:shd w:val="clear" w:color="auto" w:fill="E7E6E6" w:themeFill="background2"/>
            <w:noWrap/>
            <w:vAlign w:val="center"/>
            <w:hideMark/>
          </w:tcPr>
          <w:p w14:paraId="427C101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1345" w:type="dxa"/>
            <w:gridSpan w:val="2"/>
            <w:vMerge w:val="restart"/>
            <w:tcBorders>
              <w:top w:val="nil"/>
              <w:left w:val="nil"/>
              <w:right w:val="single" w:sz="4" w:space="0" w:color="auto"/>
            </w:tcBorders>
            <w:shd w:val="clear" w:color="auto" w:fill="auto"/>
            <w:noWrap/>
            <w:vAlign w:val="center"/>
            <w:hideMark/>
          </w:tcPr>
          <w:p w14:paraId="2C822663"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OLS</w:t>
            </w:r>
          </w:p>
          <w:p w14:paraId="18076A40"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Fixed</w:t>
            </w:r>
          </w:p>
        </w:tc>
        <w:tc>
          <w:tcPr>
            <w:tcW w:w="675" w:type="dxa"/>
            <w:tcBorders>
              <w:top w:val="nil"/>
              <w:left w:val="single" w:sz="4" w:space="0" w:color="auto"/>
              <w:right w:val="nil"/>
            </w:tcBorders>
            <w:shd w:val="clear" w:color="auto" w:fill="auto"/>
            <w:noWrap/>
            <w:vAlign w:val="bottom"/>
            <w:hideMark/>
          </w:tcPr>
          <w:p w14:paraId="6F83DB4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07F742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497DBB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nil"/>
              <w:left w:val="nil"/>
              <w:right w:val="single" w:sz="4" w:space="0" w:color="auto"/>
            </w:tcBorders>
            <w:shd w:val="clear" w:color="auto" w:fill="auto"/>
            <w:noWrap/>
            <w:vAlign w:val="bottom"/>
            <w:hideMark/>
          </w:tcPr>
          <w:p w14:paraId="70D4529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1C707E2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2A3C92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5" w:type="dxa"/>
            <w:tcBorders>
              <w:top w:val="nil"/>
              <w:left w:val="single" w:sz="4" w:space="0" w:color="auto"/>
              <w:right w:val="nil"/>
            </w:tcBorders>
            <w:shd w:val="clear" w:color="auto" w:fill="auto"/>
            <w:noWrap/>
            <w:vAlign w:val="bottom"/>
            <w:hideMark/>
          </w:tcPr>
          <w:p w14:paraId="0067A44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314D3A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107EA6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4" w:type="dxa"/>
            <w:tcBorders>
              <w:top w:val="nil"/>
              <w:left w:val="nil"/>
              <w:right w:val="single" w:sz="4" w:space="0" w:color="auto"/>
            </w:tcBorders>
            <w:shd w:val="clear" w:color="auto" w:fill="auto"/>
            <w:noWrap/>
            <w:vAlign w:val="bottom"/>
            <w:hideMark/>
          </w:tcPr>
          <w:p w14:paraId="57B7957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38EE6E7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E10C2D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5" w:type="dxa"/>
            <w:tcBorders>
              <w:top w:val="nil"/>
              <w:left w:val="single" w:sz="4" w:space="0" w:color="auto"/>
              <w:right w:val="nil"/>
            </w:tcBorders>
            <w:shd w:val="clear" w:color="auto" w:fill="auto"/>
            <w:noWrap/>
            <w:vAlign w:val="bottom"/>
            <w:hideMark/>
          </w:tcPr>
          <w:p w14:paraId="540EA1D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064A89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0A4E57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nil"/>
              <w:left w:val="nil"/>
              <w:right w:val="single" w:sz="4" w:space="0" w:color="auto"/>
            </w:tcBorders>
            <w:shd w:val="clear" w:color="auto" w:fill="auto"/>
            <w:noWrap/>
            <w:vAlign w:val="bottom"/>
            <w:hideMark/>
          </w:tcPr>
          <w:p w14:paraId="11034DE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6CFC08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19C45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799" w:type="dxa"/>
            <w:tcBorders>
              <w:top w:val="nil"/>
              <w:left w:val="single" w:sz="4" w:space="0" w:color="auto"/>
              <w:right w:val="nil"/>
            </w:tcBorders>
            <w:shd w:val="clear" w:color="auto" w:fill="auto"/>
            <w:noWrap/>
            <w:vAlign w:val="bottom"/>
            <w:hideMark/>
          </w:tcPr>
          <w:p w14:paraId="168D705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B1C227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163B73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nil"/>
              <w:left w:val="nil"/>
              <w:right w:val="single" w:sz="4" w:space="0" w:color="auto"/>
            </w:tcBorders>
            <w:shd w:val="clear" w:color="auto" w:fill="auto"/>
            <w:noWrap/>
            <w:vAlign w:val="bottom"/>
            <w:hideMark/>
          </w:tcPr>
          <w:p w14:paraId="39781CA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FF03FE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ED0902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516" w:type="dxa"/>
            <w:tcBorders>
              <w:top w:val="nil"/>
              <w:left w:val="single" w:sz="4" w:space="0" w:color="auto"/>
              <w:right w:val="nil"/>
            </w:tcBorders>
            <w:shd w:val="clear" w:color="auto" w:fill="auto"/>
            <w:noWrap/>
            <w:vAlign w:val="bottom"/>
            <w:hideMark/>
          </w:tcPr>
          <w:p w14:paraId="323819F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2D47F53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C97F1F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nil"/>
              <w:right w:val="single" w:sz="4" w:space="0" w:color="auto"/>
            </w:tcBorders>
            <w:shd w:val="clear" w:color="auto" w:fill="auto"/>
            <w:noWrap/>
            <w:vAlign w:val="bottom"/>
            <w:hideMark/>
          </w:tcPr>
          <w:p w14:paraId="2C2A4B2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p w14:paraId="6D92CAE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37EB35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tc>
        <w:tc>
          <w:tcPr>
            <w:tcW w:w="679" w:type="dxa"/>
            <w:tcBorders>
              <w:top w:val="nil"/>
              <w:left w:val="single" w:sz="4" w:space="0" w:color="auto"/>
              <w:right w:val="nil"/>
            </w:tcBorders>
            <w:shd w:val="clear" w:color="auto" w:fill="auto"/>
            <w:noWrap/>
            <w:vAlign w:val="bottom"/>
            <w:hideMark/>
          </w:tcPr>
          <w:p w14:paraId="1EB21BA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1DB4E0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4D282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nil"/>
              <w:left w:val="nil"/>
              <w:right w:val="single" w:sz="4" w:space="0" w:color="auto"/>
            </w:tcBorders>
            <w:shd w:val="clear" w:color="auto" w:fill="auto"/>
            <w:noWrap/>
            <w:vAlign w:val="bottom"/>
            <w:hideMark/>
          </w:tcPr>
          <w:p w14:paraId="3C0A303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6DE7A15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A2562C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nil"/>
              <w:left w:val="single" w:sz="4" w:space="0" w:color="auto"/>
              <w:right w:val="nil"/>
            </w:tcBorders>
            <w:shd w:val="clear" w:color="auto" w:fill="auto"/>
            <w:noWrap/>
            <w:vAlign w:val="bottom"/>
            <w:hideMark/>
          </w:tcPr>
          <w:p w14:paraId="374AE33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EFC02B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501B7E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nil"/>
              <w:left w:val="nil"/>
              <w:right w:val="single" w:sz="4" w:space="0" w:color="auto"/>
            </w:tcBorders>
            <w:shd w:val="clear" w:color="auto" w:fill="auto"/>
            <w:noWrap/>
            <w:vAlign w:val="bottom"/>
            <w:hideMark/>
          </w:tcPr>
          <w:p w14:paraId="1DF89E9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65E9BF6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5FDDF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nil"/>
              <w:left w:val="single" w:sz="4" w:space="0" w:color="auto"/>
              <w:right w:val="nil"/>
            </w:tcBorders>
            <w:shd w:val="clear" w:color="auto" w:fill="auto"/>
            <w:noWrap/>
            <w:vAlign w:val="bottom"/>
            <w:hideMark/>
          </w:tcPr>
          <w:p w14:paraId="1FD3B5A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7EDC9B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85FAAA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nil"/>
              <w:left w:val="nil"/>
              <w:right w:val="single" w:sz="4" w:space="0" w:color="auto"/>
            </w:tcBorders>
            <w:shd w:val="clear" w:color="auto" w:fill="auto"/>
            <w:noWrap/>
            <w:vAlign w:val="bottom"/>
            <w:hideMark/>
          </w:tcPr>
          <w:p w14:paraId="29236F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F8264A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85D117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825" w:type="dxa"/>
            <w:tcBorders>
              <w:top w:val="nil"/>
              <w:left w:val="single" w:sz="4" w:space="0" w:color="auto"/>
              <w:right w:val="nil"/>
            </w:tcBorders>
            <w:shd w:val="clear" w:color="auto" w:fill="auto"/>
            <w:noWrap/>
            <w:vAlign w:val="bottom"/>
            <w:hideMark/>
          </w:tcPr>
          <w:p w14:paraId="0574138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11D908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63DB81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nil"/>
              <w:left w:val="nil"/>
              <w:right w:val="single" w:sz="4" w:space="0" w:color="auto"/>
            </w:tcBorders>
            <w:shd w:val="clear" w:color="auto" w:fill="auto"/>
            <w:noWrap/>
            <w:vAlign w:val="bottom"/>
            <w:hideMark/>
          </w:tcPr>
          <w:p w14:paraId="38CC6E0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15A4C47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D11506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r>
      <w:tr w:rsidR="00C54BBB" w:rsidRPr="00931966" w14:paraId="3D272BE1" w14:textId="77777777" w:rsidTr="00144E82">
        <w:trPr>
          <w:trHeight w:val="385"/>
          <w:jc w:val="center"/>
        </w:trPr>
        <w:tc>
          <w:tcPr>
            <w:tcW w:w="455" w:type="dxa"/>
            <w:vMerge/>
            <w:tcBorders>
              <w:left w:val="nil"/>
              <w:right w:val="nil"/>
            </w:tcBorders>
            <w:shd w:val="clear" w:color="auto" w:fill="E7E6E6" w:themeFill="background2"/>
          </w:tcPr>
          <w:p w14:paraId="71AAA40D"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3A647E0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1345" w:type="dxa"/>
            <w:gridSpan w:val="2"/>
            <w:vMerge/>
            <w:tcBorders>
              <w:left w:val="nil"/>
              <w:bottom w:val="single" w:sz="4" w:space="0" w:color="auto"/>
              <w:right w:val="single" w:sz="4" w:space="0" w:color="auto"/>
            </w:tcBorders>
            <w:shd w:val="clear" w:color="auto" w:fill="auto"/>
            <w:noWrap/>
            <w:vAlign w:val="center"/>
            <w:hideMark/>
          </w:tcPr>
          <w:p w14:paraId="3C42F329" w14:textId="77777777" w:rsidR="00C54BBB" w:rsidRPr="00931966" w:rsidRDefault="00C54BBB" w:rsidP="00931966">
            <w:pPr>
              <w:spacing w:after="0" w:line="240" w:lineRule="auto"/>
              <w:jc w:val="center"/>
              <w:rPr>
                <w:rFonts w:ascii="Times" w:hAnsi="Times" w:cs="Times"/>
                <w:sz w:val="20"/>
                <w:szCs w:val="20"/>
              </w:rPr>
            </w:pPr>
          </w:p>
        </w:tc>
        <w:tc>
          <w:tcPr>
            <w:tcW w:w="675" w:type="dxa"/>
            <w:tcBorders>
              <w:top w:val="nil"/>
              <w:left w:val="single" w:sz="4" w:space="0" w:color="auto"/>
              <w:bottom w:val="single" w:sz="4" w:space="0" w:color="auto"/>
              <w:right w:val="nil"/>
            </w:tcBorders>
            <w:shd w:val="clear" w:color="auto" w:fill="auto"/>
            <w:noWrap/>
            <w:vAlign w:val="bottom"/>
            <w:hideMark/>
          </w:tcPr>
          <w:p w14:paraId="6F773CF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4C6ABE1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60BB45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auto"/>
            <w:noWrap/>
            <w:vAlign w:val="bottom"/>
            <w:hideMark/>
          </w:tcPr>
          <w:p w14:paraId="7A12B06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3A06DCE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455504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nil"/>
              <w:left w:val="single" w:sz="4" w:space="0" w:color="auto"/>
              <w:bottom w:val="single" w:sz="4" w:space="0" w:color="auto"/>
              <w:right w:val="nil"/>
            </w:tcBorders>
            <w:shd w:val="clear" w:color="auto" w:fill="auto"/>
            <w:noWrap/>
            <w:vAlign w:val="bottom"/>
            <w:hideMark/>
          </w:tcPr>
          <w:p w14:paraId="47F57CC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2FC08E9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2C49A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4" w:type="dxa"/>
            <w:tcBorders>
              <w:top w:val="nil"/>
              <w:left w:val="nil"/>
              <w:bottom w:val="single" w:sz="4" w:space="0" w:color="auto"/>
              <w:right w:val="single" w:sz="4" w:space="0" w:color="auto"/>
            </w:tcBorders>
            <w:shd w:val="clear" w:color="auto" w:fill="auto"/>
            <w:noWrap/>
            <w:vAlign w:val="bottom"/>
            <w:hideMark/>
          </w:tcPr>
          <w:p w14:paraId="0313122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0DABD3E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3EE3E0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5" w:type="dxa"/>
            <w:tcBorders>
              <w:top w:val="nil"/>
              <w:left w:val="single" w:sz="4" w:space="0" w:color="auto"/>
              <w:bottom w:val="single" w:sz="4" w:space="0" w:color="auto"/>
              <w:right w:val="nil"/>
            </w:tcBorders>
            <w:shd w:val="clear" w:color="auto" w:fill="auto"/>
            <w:noWrap/>
            <w:vAlign w:val="bottom"/>
            <w:hideMark/>
          </w:tcPr>
          <w:p w14:paraId="35CEB15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5575464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168B3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auto"/>
            <w:noWrap/>
            <w:vAlign w:val="bottom"/>
            <w:hideMark/>
          </w:tcPr>
          <w:p w14:paraId="6EE8240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5ABC342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12AB5B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799" w:type="dxa"/>
            <w:tcBorders>
              <w:top w:val="nil"/>
              <w:left w:val="single" w:sz="4" w:space="0" w:color="auto"/>
              <w:bottom w:val="single" w:sz="4" w:space="0" w:color="auto"/>
              <w:right w:val="nil"/>
            </w:tcBorders>
            <w:shd w:val="clear" w:color="auto" w:fill="auto"/>
            <w:noWrap/>
            <w:vAlign w:val="bottom"/>
            <w:hideMark/>
          </w:tcPr>
          <w:p w14:paraId="5E8AABC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8ED2A9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D87CFB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14:paraId="2E38E97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58622ED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9AC8E9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516" w:type="dxa"/>
            <w:tcBorders>
              <w:top w:val="nil"/>
              <w:left w:val="single" w:sz="4" w:space="0" w:color="auto"/>
              <w:bottom w:val="single" w:sz="4" w:space="0" w:color="auto"/>
              <w:right w:val="nil"/>
            </w:tcBorders>
            <w:shd w:val="clear" w:color="auto" w:fill="auto"/>
            <w:noWrap/>
            <w:vAlign w:val="bottom"/>
            <w:hideMark/>
          </w:tcPr>
          <w:p w14:paraId="7BE6A9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p w14:paraId="5B0AC00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675BCD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5" w:type="dxa"/>
            <w:tcBorders>
              <w:top w:val="nil"/>
              <w:left w:val="nil"/>
              <w:bottom w:val="single" w:sz="4" w:space="0" w:color="auto"/>
              <w:right w:val="single" w:sz="4" w:space="0" w:color="auto"/>
            </w:tcBorders>
            <w:shd w:val="clear" w:color="auto" w:fill="auto"/>
            <w:noWrap/>
            <w:vAlign w:val="bottom"/>
            <w:hideMark/>
          </w:tcPr>
          <w:p w14:paraId="2DDB287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4BACA10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8AA085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auto"/>
            <w:noWrap/>
            <w:vAlign w:val="bottom"/>
            <w:hideMark/>
          </w:tcPr>
          <w:p w14:paraId="6E0EF56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4EE95DA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BB164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81" w:type="dxa"/>
            <w:tcBorders>
              <w:top w:val="nil"/>
              <w:left w:val="nil"/>
              <w:bottom w:val="single" w:sz="4" w:space="0" w:color="auto"/>
              <w:right w:val="single" w:sz="4" w:space="0" w:color="auto"/>
            </w:tcBorders>
            <w:shd w:val="clear" w:color="auto" w:fill="auto"/>
            <w:noWrap/>
            <w:vAlign w:val="bottom"/>
            <w:hideMark/>
          </w:tcPr>
          <w:p w14:paraId="4953761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21E7373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E3D018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9" w:type="dxa"/>
            <w:tcBorders>
              <w:top w:val="nil"/>
              <w:left w:val="single" w:sz="4" w:space="0" w:color="auto"/>
              <w:bottom w:val="single" w:sz="4" w:space="0" w:color="auto"/>
              <w:right w:val="nil"/>
            </w:tcBorders>
            <w:shd w:val="clear" w:color="auto" w:fill="auto"/>
            <w:noWrap/>
            <w:vAlign w:val="bottom"/>
            <w:hideMark/>
          </w:tcPr>
          <w:p w14:paraId="45718B9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005D68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B03163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0" w:type="dxa"/>
            <w:tcBorders>
              <w:top w:val="nil"/>
              <w:left w:val="nil"/>
              <w:bottom w:val="single" w:sz="4" w:space="0" w:color="auto"/>
              <w:right w:val="single" w:sz="4" w:space="0" w:color="auto"/>
            </w:tcBorders>
            <w:shd w:val="clear" w:color="auto" w:fill="auto"/>
            <w:noWrap/>
            <w:vAlign w:val="bottom"/>
            <w:hideMark/>
          </w:tcPr>
          <w:p w14:paraId="7077FF6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468E71A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1AA0B8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9" w:type="dxa"/>
            <w:tcBorders>
              <w:top w:val="nil"/>
              <w:left w:val="single" w:sz="4" w:space="0" w:color="auto"/>
              <w:bottom w:val="single" w:sz="4" w:space="0" w:color="auto"/>
              <w:right w:val="nil"/>
            </w:tcBorders>
            <w:shd w:val="clear" w:color="auto" w:fill="auto"/>
            <w:noWrap/>
            <w:vAlign w:val="bottom"/>
            <w:hideMark/>
          </w:tcPr>
          <w:p w14:paraId="5388EB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46D07BB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7268B9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81" w:type="dxa"/>
            <w:tcBorders>
              <w:top w:val="nil"/>
              <w:left w:val="nil"/>
              <w:bottom w:val="single" w:sz="4" w:space="0" w:color="auto"/>
              <w:right w:val="single" w:sz="4" w:space="0" w:color="auto"/>
            </w:tcBorders>
            <w:shd w:val="clear" w:color="auto" w:fill="auto"/>
            <w:noWrap/>
            <w:vAlign w:val="bottom"/>
            <w:hideMark/>
          </w:tcPr>
          <w:p w14:paraId="2CC632F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4A9D108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90081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825" w:type="dxa"/>
            <w:tcBorders>
              <w:top w:val="nil"/>
              <w:left w:val="single" w:sz="4" w:space="0" w:color="auto"/>
              <w:bottom w:val="single" w:sz="4" w:space="0" w:color="auto"/>
              <w:right w:val="nil"/>
            </w:tcBorders>
            <w:shd w:val="clear" w:color="auto" w:fill="auto"/>
            <w:noWrap/>
            <w:vAlign w:val="bottom"/>
            <w:hideMark/>
          </w:tcPr>
          <w:p w14:paraId="5E9386F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CAE84E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E2E835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14:paraId="497080A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7C03A84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35ACAE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r>
      <w:tr w:rsidR="00C54BBB" w:rsidRPr="00931966" w14:paraId="1D142E19" w14:textId="77777777" w:rsidTr="00144E82">
        <w:trPr>
          <w:trHeight w:val="385"/>
          <w:jc w:val="center"/>
        </w:trPr>
        <w:tc>
          <w:tcPr>
            <w:tcW w:w="455" w:type="dxa"/>
            <w:vMerge/>
            <w:tcBorders>
              <w:left w:val="nil"/>
              <w:right w:val="nil"/>
            </w:tcBorders>
            <w:shd w:val="clear" w:color="auto" w:fill="E7E6E6" w:themeFill="background2"/>
          </w:tcPr>
          <w:p w14:paraId="22CB2B69"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single" w:sz="4" w:space="0" w:color="auto"/>
              <w:left w:val="nil"/>
              <w:right w:val="nil"/>
            </w:tcBorders>
            <w:shd w:val="clear" w:color="auto" w:fill="E7E6E6" w:themeFill="background2"/>
            <w:noWrap/>
            <w:vAlign w:val="center"/>
            <w:hideMark/>
          </w:tcPr>
          <w:p w14:paraId="674D185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13AC6AA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883308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BE8771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602C957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296F3C0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5F39D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1351"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7F3B4173" w14:textId="77777777" w:rsidR="00C54BBB" w:rsidRPr="00931966" w:rsidRDefault="00C54BBB" w:rsidP="00931966">
            <w:pPr>
              <w:spacing w:after="0" w:line="240" w:lineRule="auto"/>
              <w:jc w:val="center"/>
              <w:rPr>
                <w:rFonts w:ascii="Times" w:hAnsi="Times" w:cs="Times"/>
                <w:b/>
                <w:sz w:val="20"/>
                <w:szCs w:val="20"/>
              </w:rPr>
            </w:pPr>
            <w:r w:rsidRPr="00931966">
              <w:rPr>
                <w:rFonts w:ascii="Times" w:hAnsi="Times" w:cs="Times"/>
                <w:b/>
                <w:sz w:val="20"/>
                <w:szCs w:val="20"/>
              </w:rPr>
              <w:t>OLS</w:t>
            </w:r>
          </w:p>
          <w:p w14:paraId="1F4AD02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sz w:val="20"/>
                <w:szCs w:val="20"/>
              </w:rPr>
              <w:t>DL+WT</w:t>
            </w:r>
          </w:p>
        </w:tc>
        <w:tc>
          <w:tcPr>
            <w:tcW w:w="675" w:type="dxa"/>
            <w:tcBorders>
              <w:top w:val="single" w:sz="4" w:space="0" w:color="auto"/>
              <w:left w:val="single" w:sz="4" w:space="0" w:color="auto"/>
              <w:right w:val="nil"/>
            </w:tcBorders>
            <w:shd w:val="clear" w:color="auto" w:fill="auto"/>
            <w:noWrap/>
            <w:vAlign w:val="bottom"/>
            <w:hideMark/>
          </w:tcPr>
          <w:p w14:paraId="141FB63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F9D49B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022027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4" w:type="dxa"/>
            <w:tcBorders>
              <w:top w:val="single" w:sz="4" w:space="0" w:color="auto"/>
              <w:left w:val="nil"/>
              <w:right w:val="single" w:sz="4" w:space="0" w:color="auto"/>
            </w:tcBorders>
            <w:shd w:val="clear" w:color="auto" w:fill="auto"/>
            <w:noWrap/>
            <w:vAlign w:val="bottom"/>
            <w:hideMark/>
          </w:tcPr>
          <w:p w14:paraId="63C57B4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2A1729F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5B0992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5" w:type="dxa"/>
            <w:tcBorders>
              <w:top w:val="single" w:sz="4" w:space="0" w:color="auto"/>
              <w:left w:val="single" w:sz="4" w:space="0" w:color="auto"/>
              <w:right w:val="nil"/>
            </w:tcBorders>
            <w:shd w:val="clear" w:color="auto" w:fill="auto"/>
            <w:noWrap/>
            <w:vAlign w:val="bottom"/>
            <w:hideMark/>
          </w:tcPr>
          <w:p w14:paraId="72F14E0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E4A637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6D6A3A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auto"/>
            <w:noWrap/>
            <w:vAlign w:val="bottom"/>
            <w:hideMark/>
          </w:tcPr>
          <w:p w14:paraId="2351D65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1598FEA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96E433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799" w:type="dxa"/>
            <w:tcBorders>
              <w:top w:val="single" w:sz="4" w:space="0" w:color="auto"/>
              <w:left w:val="single" w:sz="4" w:space="0" w:color="auto"/>
              <w:right w:val="nil"/>
            </w:tcBorders>
            <w:shd w:val="clear" w:color="auto" w:fill="auto"/>
            <w:noWrap/>
            <w:vAlign w:val="bottom"/>
            <w:hideMark/>
          </w:tcPr>
          <w:p w14:paraId="0615095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0152F1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7BB89C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70A2433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1BFA0C7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BD2FE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516" w:type="dxa"/>
            <w:tcBorders>
              <w:top w:val="single" w:sz="4" w:space="0" w:color="auto"/>
              <w:left w:val="single" w:sz="4" w:space="0" w:color="auto"/>
              <w:right w:val="nil"/>
            </w:tcBorders>
            <w:shd w:val="clear" w:color="auto" w:fill="auto"/>
            <w:noWrap/>
            <w:vAlign w:val="bottom"/>
            <w:hideMark/>
          </w:tcPr>
          <w:p w14:paraId="0EE4C39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79300A3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304A6B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single" w:sz="4" w:space="0" w:color="auto"/>
              <w:left w:val="nil"/>
              <w:right w:val="single" w:sz="4" w:space="0" w:color="auto"/>
            </w:tcBorders>
            <w:shd w:val="clear" w:color="auto" w:fill="auto"/>
            <w:noWrap/>
            <w:vAlign w:val="bottom"/>
            <w:hideMark/>
          </w:tcPr>
          <w:p w14:paraId="247C7FF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574502A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D83090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76FCFA0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62118F4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6B2667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auto"/>
            <w:noWrap/>
            <w:vAlign w:val="bottom"/>
            <w:hideMark/>
          </w:tcPr>
          <w:p w14:paraId="1510DA1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428C54F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CA3633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auto"/>
            <w:noWrap/>
            <w:vAlign w:val="bottom"/>
            <w:hideMark/>
          </w:tcPr>
          <w:p w14:paraId="432106C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50DA7B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7E7930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single" w:sz="4" w:space="0" w:color="auto"/>
              <w:left w:val="nil"/>
              <w:right w:val="single" w:sz="4" w:space="0" w:color="auto"/>
            </w:tcBorders>
            <w:shd w:val="clear" w:color="auto" w:fill="auto"/>
            <w:noWrap/>
            <w:vAlign w:val="bottom"/>
            <w:hideMark/>
          </w:tcPr>
          <w:p w14:paraId="6A018B2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584435C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BD0E31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9" w:type="dxa"/>
            <w:tcBorders>
              <w:top w:val="single" w:sz="4" w:space="0" w:color="auto"/>
              <w:left w:val="single" w:sz="4" w:space="0" w:color="auto"/>
              <w:right w:val="nil"/>
            </w:tcBorders>
            <w:shd w:val="clear" w:color="auto" w:fill="auto"/>
            <w:noWrap/>
            <w:vAlign w:val="bottom"/>
            <w:hideMark/>
          </w:tcPr>
          <w:p w14:paraId="27A5FA7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2585CD9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92DF6F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auto"/>
            <w:noWrap/>
            <w:vAlign w:val="bottom"/>
            <w:hideMark/>
          </w:tcPr>
          <w:p w14:paraId="136785D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05877B5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930BA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5932B9B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0A0C911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F268B0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24B142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3F6213D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0A09F8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r>
      <w:tr w:rsidR="00C54BBB" w:rsidRPr="00931966" w14:paraId="7A2E88D9" w14:textId="77777777" w:rsidTr="00144E82">
        <w:trPr>
          <w:trHeight w:val="385"/>
          <w:jc w:val="center"/>
        </w:trPr>
        <w:tc>
          <w:tcPr>
            <w:tcW w:w="455" w:type="dxa"/>
            <w:vMerge/>
            <w:tcBorders>
              <w:left w:val="nil"/>
              <w:right w:val="nil"/>
            </w:tcBorders>
            <w:shd w:val="clear" w:color="auto" w:fill="E7E6E6" w:themeFill="background2"/>
          </w:tcPr>
          <w:p w14:paraId="2A392FD4"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6EEC9B1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0606178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32C2223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CA74EF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198DB31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6C1C9D9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0D6D66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1351" w:type="dxa"/>
            <w:gridSpan w:val="2"/>
            <w:vMerge/>
            <w:tcBorders>
              <w:left w:val="single" w:sz="4" w:space="0" w:color="auto"/>
              <w:bottom w:val="single" w:sz="4" w:space="0" w:color="auto"/>
              <w:right w:val="single" w:sz="4" w:space="0" w:color="auto"/>
            </w:tcBorders>
            <w:shd w:val="clear" w:color="auto" w:fill="auto"/>
            <w:noWrap/>
            <w:vAlign w:val="center"/>
            <w:hideMark/>
          </w:tcPr>
          <w:p w14:paraId="6CEC86A2" w14:textId="77777777" w:rsidR="00C54BBB" w:rsidRPr="00931966" w:rsidRDefault="00C54BBB" w:rsidP="00931966">
            <w:pPr>
              <w:spacing w:after="0" w:line="240" w:lineRule="auto"/>
              <w:jc w:val="center"/>
              <w:rPr>
                <w:rFonts w:ascii="Times" w:hAnsi="Times" w:cs="Times"/>
                <w:sz w:val="20"/>
                <w:szCs w:val="20"/>
              </w:rPr>
            </w:pPr>
          </w:p>
        </w:tc>
        <w:tc>
          <w:tcPr>
            <w:tcW w:w="675" w:type="dxa"/>
            <w:tcBorders>
              <w:top w:val="nil"/>
              <w:left w:val="single" w:sz="4" w:space="0" w:color="auto"/>
              <w:bottom w:val="single" w:sz="4" w:space="0" w:color="auto"/>
              <w:right w:val="nil"/>
            </w:tcBorders>
            <w:shd w:val="clear" w:color="auto" w:fill="auto"/>
            <w:noWrap/>
            <w:vAlign w:val="bottom"/>
            <w:hideMark/>
          </w:tcPr>
          <w:p w14:paraId="48F5E4C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C5727F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6A5485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4" w:type="dxa"/>
            <w:tcBorders>
              <w:top w:val="nil"/>
              <w:left w:val="nil"/>
              <w:bottom w:val="single" w:sz="4" w:space="0" w:color="auto"/>
              <w:right w:val="single" w:sz="4" w:space="0" w:color="auto"/>
            </w:tcBorders>
            <w:shd w:val="clear" w:color="auto" w:fill="auto"/>
            <w:noWrap/>
            <w:vAlign w:val="bottom"/>
            <w:hideMark/>
          </w:tcPr>
          <w:p w14:paraId="1DD4CCA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7BC127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51D130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single" w:sz="4" w:space="0" w:color="auto"/>
              <w:bottom w:val="single" w:sz="4" w:space="0" w:color="auto"/>
              <w:right w:val="nil"/>
            </w:tcBorders>
            <w:shd w:val="clear" w:color="auto" w:fill="auto"/>
            <w:noWrap/>
            <w:vAlign w:val="bottom"/>
            <w:hideMark/>
          </w:tcPr>
          <w:p w14:paraId="576EFAE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579C858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ABC41F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auto"/>
            <w:noWrap/>
            <w:vAlign w:val="bottom"/>
            <w:hideMark/>
          </w:tcPr>
          <w:p w14:paraId="133AC4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0A23E3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B38EC8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99" w:type="dxa"/>
            <w:tcBorders>
              <w:top w:val="nil"/>
              <w:left w:val="single" w:sz="4" w:space="0" w:color="auto"/>
              <w:bottom w:val="single" w:sz="4" w:space="0" w:color="auto"/>
              <w:right w:val="nil"/>
            </w:tcBorders>
            <w:shd w:val="clear" w:color="auto" w:fill="auto"/>
            <w:noWrap/>
            <w:vAlign w:val="bottom"/>
            <w:hideMark/>
          </w:tcPr>
          <w:p w14:paraId="51D744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4A7CD77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26220F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14:paraId="79972A1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3736EBC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100244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516" w:type="dxa"/>
            <w:tcBorders>
              <w:top w:val="nil"/>
              <w:left w:val="single" w:sz="4" w:space="0" w:color="auto"/>
              <w:bottom w:val="single" w:sz="4" w:space="0" w:color="auto"/>
              <w:right w:val="nil"/>
            </w:tcBorders>
            <w:shd w:val="clear" w:color="auto" w:fill="auto"/>
            <w:noWrap/>
            <w:vAlign w:val="bottom"/>
            <w:hideMark/>
          </w:tcPr>
          <w:p w14:paraId="0D7DBD9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2BDE5FD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D0F476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nil"/>
              <w:left w:val="nil"/>
              <w:bottom w:val="single" w:sz="4" w:space="0" w:color="auto"/>
              <w:right w:val="single" w:sz="4" w:space="0" w:color="auto"/>
            </w:tcBorders>
            <w:shd w:val="clear" w:color="auto" w:fill="auto"/>
            <w:noWrap/>
            <w:vAlign w:val="bottom"/>
            <w:hideMark/>
          </w:tcPr>
          <w:p w14:paraId="1E32BF7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BE70C0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C5F27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09F38B5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5F3610E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832540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14:paraId="7DCDF3D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1108FD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6C0EC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73803EB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9F3ACF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43EF3D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0" w:type="dxa"/>
            <w:tcBorders>
              <w:top w:val="nil"/>
              <w:left w:val="nil"/>
              <w:bottom w:val="single" w:sz="4" w:space="0" w:color="auto"/>
              <w:right w:val="single" w:sz="4" w:space="0" w:color="auto"/>
            </w:tcBorders>
            <w:shd w:val="clear" w:color="auto" w:fill="auto"/>
            <w:noWrap/>
            <w:vAlign w:val="bottom"/>
            <w:hideMark/>
          </w:tcPr>
          <w:p w14:paraId="6E1C775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51AF2F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5E898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auto"/>
            <w:noWrap/>
            <w:vAlign w:val="bottom"/>
            <w:hideMark/>
          </w:tcPr>
          <w:p w14:paraId="472295A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14D4981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ADC65F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14:paraId="34401E2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AD28AB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A1FD38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5202244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737846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7DF228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left w:val="nil"/>
              <w:bottom w:val="single" w:sz="4" w:space="0" w:color="auto"/>
              <w:right w:val="single" w:sz="4" w:space="0" w:color="auto"/>
            </w:tcBorders>
            <w:shd w:val="clear" w:color="auto" w:fill="auto"/>
            <w:noWrap/>
            <w:vAlign w:val="bottom"/>
            <w:hideMark/>
          </w:tcPr>
          <w:p w14:paraId="763BACD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6A61B4B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15F258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r>
      <w:tr w:rsidR="00C54BBB" w:rsidRPr="00931966" w14:paraId="0B099EC6" w14:textId="77777777" w:rsidTr="00144E82">
        <w:trPr>
          <w:trHeight w:val="385"/>
          <w:jc w:val="center"/>
        </w:trPr>
        <w:tc>
          <w:tcPr>
            <w:tcW w:w="455" w:type="dxa"/>
            <w:vMerge/>
            <w:tcBorders>
              <w:left w:val="nil"/>
              <w:right w:val="nil"/>
            </w:tcBorders>
            <w:shd w:val="clear" w:color="auto" w:fill="E7E6E6" w:themeFill="background2"/>
          </w:tcPr>
          <w:p w14:paraId="6644D581"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single" w:sz="4" w:space="0" w:color="auto"/>
              <w:left w:val="nil"/>
              <w:right w:val="nil"/>
            </w:tcBorders>
            <w:shd w:val="clear" w:color="auto" w:fill="E7E6E6" w:themeFill="background2"/>
            <w:noWrap/>
            <w:vAlign w:val="center"/>
            <w:hideMark/>
          </w:tcPr>
          <w:p w14:paraId="79BFAC9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494E4C2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BCBEEF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9C986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478EC91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4BC5108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180C7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4FA23F7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E6A829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720AF1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3BE94C0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0016D0E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5933B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134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2722C33D"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OLS</w:t>
            </w:r>
          </w:p>
          <w:p w14:paraId="7BA8B9A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DL+HKSJ</w:t>
            </w:r>
          </w:p>
        </w:tc>
        <w:tc>
          <w:tcPr>
            <w:tcW w:w="675" w:type="dxa"/>
            <w:tcBorders>
              <w:top w:val="single" w:sz="4" w:space="0" w:color="auto"/>
              <w:left w:val="single" w:sz="4" w:space="0" w:color="auto"/>
              <w:right w:val="nil"/>
            </w:tcBorders>
            <w:shd w:val="clear" w:color="auto" w:fill="auto"/>
            <w:noWrap/>
            <w:vAlign w:val="bottom"/>
            <w:hideMark/>
          </w:tcPr>
          <w:p w14:paraId="12E7B9D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ED0B24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75484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6" w:type="dxa"/>
            <w:tcBorders>
              <w:top w:val="single" w:sz="4" w:space="0" w:color="auto"/>
              <w:left w:val="nil"/>
              <w:right w:val="single" w:sz="4" w:space="0" w:color="auto"/>
            </w:tcBorders>
            <w:shd w:val="clear" w:color="auto" w:fill="auto"/>
            <w:noWrap/>
            <w:vAlign w:val="bottom"/>
            <w:hideMark/>
          </w:tcPr>
          <w:p w14:paraId="505F43C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71B91C0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5757C2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799" w:type="dxa"/>
            <w:tcBorders>
              <w:top w:val="single" w:sz="4" w:space="0" w:color="auto"/>
              <w:left w:val="single" w:sz="4" w:space="0" w:color="auto"/>
              <w:right w:val="nil"/>
            </w:tcBorders>
            <w:shd w:val="clear" w:color="auto" w:fill="auto"/>
            <w:noWrap/>
            <w:vAlign w:val="bottom"/>
            <w:hideMark/>
          </w:tcPr>
          <w:p w14:paraId="6729D4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AD3434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5C9EFB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4EFDF3E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p w14:paraId="7F83D0F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EF590D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tc>
        <w:tc>
          <w:tcPr>
            <w:tcW w:w="516" w:type="dxa"/>
            <w:tcBorders>
              <w:top w:val="single" w:sz="4" w:space="0" w:color="auto"/>
              <w:left w:val="single" w:sz="4" w:space="0" w:color="auto"/>
              <w:right w:val="nil"/>
            </w:tcBorders>
            <w:shd w:val="clear" w:color="auto" w:fill="auto"/>
            <w:noWrap/>
            <w:vAlign w:val="bottom"/>
            <w:hideMark/>
          </w:tcPr>
          <w:p w14:paraId="2DC1752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71B8EB5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E28E74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5" w:type="dxa"/>
            <w:tcBorders>
              <w:top w:val="single" w:sz="4" w:space="0" w:color="auto"/>
              <w:left w:val="nil"/>
              <w:right w:val="single" w:sz="4" w:space="0" w:color="auto"/>
            </w:tcBorders>
            <w:shd w:val="clear" w:color="auto" w:fill="auto"/>
            <w:noWrap/>
            <w:vAlign w:val="bottom"/>
            <w:hideMark/>
          </w:tcPr>
          <w:p w14:paraId="623C9EA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4A9E3D3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39E24D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54F8341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0F3CE2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4382F3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1" w:type="dxa"/>
            <w:tcBorders>
              <w:top w:val="single" w:sz="4" w:space="0" w:color="auto"/>
              <w:left w:val="nil"/>
              <w:right w:val="single" w:sz="4" w:space="0" w:color="auto"/>
            </w:tcBorders>
            <w:shd w:val="clear" w:color="auto" w:fill="auto"/>
            <w:noWrap/>
            <w:vAlign w:val="bottom"/>
            <w:hideMark/>
          </w:tcPr>
          <w:p w14:paraId="6A783FA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222EA80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2F0335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auto"/>
            <w:noWrap/>
            <w:vAlign w:val="bottom"/>
            <w:hideMark/>
          </w:tcPr>
          <w:p w14:paraId="03EF3A1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B93A2E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DC392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0" w:type="dxa"/>
            <w:tcBorders>
              <w:top w:val="single" w:sz="4" w:space="0" w:color="auto"/>
              <w:left w:val="nil"/>
              <w:right w:val="single" w:sz="4" w:space="0" w:color="auto"/>
            </w:tcBorders>
            <w:shd w:val="clear" w:color="auto" w:fill="auto"/>
            <w:noWrap/>
            <w:vAlign w:val="bottom"/>
            <w:hideMark/>
          </w:tcPr>
          <w:p w14:paraId="5089557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3FA0E7A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AE41D0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9" w:type="dxa"/>
            <w:tcBorders>
              <w:top w:val="single" w:sz="4" w:space="0" w:color="auto"/>
              <w:left w:val="single" w:sz="4" w:space="0" w:color="auto"/>
              <w:right w:val="nil"/>
            </w:tcBorders>
            <w:shd w:val="clear" w:color="auto" w:fill="auto"/>
            <w:noWrap/>
            <w:vAlign w:val="bottom"/>
            <w:hideMark/>
          </w:tcPr>
          <w:p w14:paraId="3C3A7F3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2B2E58F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C18A1C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1" w:type="dxa"/>
            <w:tcBorders>
              <w:top w:val="single" w:sz="4" w:space="0" w:color="auto"/>
              <w:left w:val="nil"/>
              <w:right w:val="single" w:sz="4" w:space="0" w:color="auto"/>
            </w:tcBorders>
            <w:shd w:val="clear" w:color="auto" w:fill="auto"/>
            <w:noWrap/>
            <w:vAlign w:val="bottom"/>
            <w:hideMark/>
          </w:tcPr>
          <w:p w14:paraId="4802134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12AB2E9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C262FF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700BE96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406153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868E87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09" w:type="dxa"/>
            <w:tcBorders>
              <w:top w:val="single" w:sz="4" w:space="0" w:color="auto"/>
              <w:left w:val="nil"/>
              <w:right w:val="single" w:sz="4" w:space="0" w:color="auto"/>
            </w:tcBorders>
            <w:shd w:val="clear" w:color="auto" w:fill="auto"/>
            <w:noWrap/>
            <w:vAlign w:val="bottom"/>
            <w:hideMark/>
          </w:tcPr>
          <w:p w14:paraId="7BAB4FB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761DC63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F4A28B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r>
      <w:tr w:rsidR="00C54BBB" w:rsidRPr="00931966" w14:paraId="5232E886" w14:textId="77777777" w:rsidTr="00144E82">
        <w:trPr>
          <w:trHeight w:val="385"/>
          <w:jc w:val="center"/>
        </w:trPr>
        <w:tc>
          <w:tcPr>
            <w:tcW w:w="455" w:type="dxa"/>
            <w:vMerge/>
            <w:tcBorders>
              <w:left w:val="nil"/>
              <w:right w:val="nil"/>
            </w:tcBorders>
            <w:shd w:val="clear" w:color="auto" w:fill="E7E6E6" w:themeFill="background2"/>
          </w:tcPr>
          <w:p w14:paraId="0B1CC9C1"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6A74B0F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19B5513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5BF8826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7AF1C0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43D23ED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p w14:paraId="73C2585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1C4A47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6FE6BB4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01AA8BC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C10FB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3784785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700A379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03155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1349" w:type="dxa"/>
            <w:gridSpan w:val="2"/>
            <w:vMerge/>
            <w:tcBorders>
              <w:left w:val="single" w:sz="4" w:space="0" w:color="auto"/>
              <w:bottom w:val="single" w:sz="4" w:space="0" w:color="auto"/>
              <w:right w:val="single" w:sz="4" w:space="0" w:color="auto"/>
            </w:tcBorders>
            <w:shd w:val="clear" w:color="auto" w:fill="auto"/>
            <w:noWrap/>
            <w:vAlign w:val="center"/>
            <w:hideMark/>
          </w:tcPr>
          <w:p w14:paraId="385665BA" w14:textId="77777777" w:rsidR="00C54BBB" w:rsidRPr="00931966" w:rsidRDefault="00C54BBB" w:rsidP="00931966">
            <w:pPr>
              <w:spacing w:after="0" w:line="240" w:lineRule="auto"/>
              <w:jc w:val="center"/>
              <w:rPr>
                <w:rFonts w:ascii="Times" w:hAnsi="Times" w:cs="Times"/>
                <w:sz w:val="20"/>
                <w:szCs w:val="20"/>
              </w:rPr>
            </w:pPr>
          </w:p>
        </w:tc>
        <w:tc>
          <w:tcPr>
            <w:tcW w:w="675" w:type="dxa"/>
            <w:tcBorders>
              <w:top w:val="nil"/>
              <w:left w:val="single" w:sz="4" w:space="0" w:color="auto"/>
              <w:bottom w:val="single" w:sz="4" w:space="0" w:color="auto"/>
              <w:right w:val="nil"/>
            </w:tcBorders>
            <w:shd w:val="clear" w:color="auto" w:fill="auto"/>
            <w:noWrap/>
            <w:vAlign w:val="bottom"/>
            <w:hideMark/>
          </w:tcPr>
          <w:p w14:paraId="6589501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FD31D3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1146EB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6" w:type="dxa"/>
            <w:tcBorders>
              <w:top w:val="nil"/>
              <w:left w:val="nil"/>
              <w:bottom w:val="single" w:sz="4" w:space="0" w:color="auto"/>
              <w:right w:val="single" w:sz="4" w:space="0" w:color="auto"/>
            </w:tcBorders>
            <w:shd w:val="clear" w:color="auto" w:fill="auto"/>
            <w:noWrap/>
            <w:vAlign w:val="bottom"/>
            <w:hideMark/>
          </w:tcPr>
          <w:p w14:paraId="47E7607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26D22E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FE0D80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99" w:type="dxa"/>
            <w:tcBorders>
              <w:top w:val="nil"/>
              <w:left w:val="single" w:sz="4" w:space="0" w:color="auto"/>
              <w:bottom w:val="single" w:sz="4" w:space="0" w:color="auto"/>
              <w:right w:val="nil"/>
            </w:tcBorders>
            <w:shd w:val="clear" w:color="auto" w:fill="auto"/>
            <w:noWrap/>
            <w:vAlign w:val="bottom"/>
            <w:hideMark/>
          </w:tcPr>
          <w:p w14:paraId="6FCD464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10E372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66F53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14:paraId="4DDAFAB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4D19C0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85C301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516" w:type="dxa"/>
            <w:tcBorders>
              <w:top w:val="nil"/>
              <w:left w:val="single" w:sz="4" w:space="0" w:color="auto"/>
              <w:bottom w:val="single" w:sz="4" w:space="0" w:color="auto"/>
              <w:right w:val="nil"/>
            </w:tcBorders>
            <w:shd w:val="clear" w:color="auto" w:fill="auto"/>
            <w:noWrap/>
            <w:vAlign w:val="bottom"/>
            <w:hideMark/>
          </w:tcPr>
          <w:p w14:paraId="63AE5B0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2E789A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799225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nil"/>
              <w:bottom w:val="single" w:sz="4" w:space="0" w:color="auto"/>
              <w:right w:val="single" w:sz="4" w:space="0" w:color="auto"/>
            </w:tcBorders>
            <w:shd w:val="clear" w:color="auto" w:fill="auto"/>
            <w:noWrap/>
            <w:vAlign w:val="bottom"/>
            <w:hideMark/>
          </w:tcPr>
          <w:p w14:paraId="48C7267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B1A97C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63DF8F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7284509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914107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1C9534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auto"/>
            <w:noWrap/>
            <w:vAlign w:val="bottom"/>
            <w:hideMark/>
          </w:tcPr>
          <w:p w14:paraId="538C38F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572068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270C4E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7B3FA32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363981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ECF752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0" w:type="dxa"/>
            <w:tcBorders>
              <w:top w:val="nil"/>
              <w:left w:val="nil"/>
              <w:bottom w:val="single" w:sz="4" w:space="0" w:color="auto"/>
              <w:right w:val="single" w:sz="4" w:space="0" w:color="auto"/>
            </w:tcBorders>
            <w:shd w:val="clear" w:color="auto" w:fill="auto"/>
            <w:noWrap/>
            <w:vAlign w:val="bottom"/>
            <w:hideMark/>
          </w:tcPr>
          <w:p w14:paraId="67CEA3E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D73828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626CA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auto"/>
            <w:noWrap/>
            <w:vAlign w:val="bottom"/>
            <w:hideMark/>
          </w:tcPr>
          <w:p w14:paraId="01EFEC3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C45926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40E81D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auto"/>
            <w:noWrap/>
            <w:vAlign w:val="bottom"/>
            <w:hideMark/>
          </w:tcPr>
          <w:p w14:paraId="7B98E33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35165F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4C2469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3C1B0B1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4852AF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3CE867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709" w:type="dxa"/>
            <w:tcBorders>
              <w:left w:val="nil"/>
              <w:bottom w:val="single" w:sz="4" w:space="0" w:color="auto"/>
              <w:right w:val="single" w:sz="4" w:space="0" w:color="auto"/>
            </w:tcBorders>
            <w:shd w:val="clear" w:color="auto" w:fill="auto"/>
            <w:noWrap/>
            <w:vAlign w:val="bottom"/>
            <w:hideMark/>
          </w:tcPr>
          <w:p w14:paraId="1508A42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78E0C6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F7E0FD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r>
      <w:tr w:rsidR="00C54BBB" w:rsidRPr="00931966" w14:paraId="527942FD" w14:textId="77777777" w:rsidTr="00144E82">
        <w:trPr>
          <w:trHeight w:val="385"/>
          <w:jc w:val="center"/>
        </w:trPr>
        <w:tc>
          <w:tcPr>
            <w:tcW w:w="455" w:type="dxa"/>
            <w:vMerge/>
            <w:tcBorders>
              <w:left w:val="nil"/>
              <w:right w:val="nil"/>
            </w:tcBorders>
            <w:shd w:val="clear" w:color="auto" w:fill="E7E6E6" w:themeFill="background2"/>
          </w:tcPr>
          <w:p w14:paraId="060F3DB7"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single" w:sz="4" w:space="0" w:color="auto"/>
              <w:left w:val="nil"/>
              <w:right w:val="nil"/>
            </w:tcBorders>
            <w:shd w:val="clear" w:color="auto" w:fill="E7E6E6" w:themeFill="background2"/>
            <w:noWrap/>
            <w:vAlign w:val="center"/>
            <w:hideMark/>
          </w:tcPr>
          <w:p w14:paraId="11BF519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73A941C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F4E47A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2017B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1F3A312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167C7A1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06389E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45AF72A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6CE994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EDA46F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46E1C21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5DE0653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496EB6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2CD1D01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829F8D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D3C708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4" w:type="dxa"/>
            <w:tcBorders>
              <w:top w:val="single" w:sz="4" w:space="0" w:color="auto"/>
              <w:left w:val="nil"/>
              <w:right w:val="single" w:sz="4" w:space="0" w:color="auto"/>
            </w:tcBorders>
            <w:shd w:val="clear" w:color="auto" w:fill="E7E6E6" w:themeFill="background2"/>
            <w:noWrap/>
            <w:vAlign w:val="bottom"/>
            <w:hideMark/>
          </w:tcPr>
          <w:p w14:paraId="22B5C0C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31B0CAE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6643C5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1351"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2E6B68DD"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OLS</w:t>
            </w:r>
          </w:p>
          <w:p w14:paraId="69A2B3E9"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w:t>
            </w:r>
          </w:p>
        </w:tc>
        <w:tc>
          <w:tcPr>
            <w:tcW w:w="799" w:type="dxa"/>
            <w:tcBorders>
              <w:top w:val="single" w:sz="4" w:space="0" w:color="auto"/>
              <w:left w:val="single" w:sz="4" w:space="0" w:color="auto"/>
              <w:right w:val="nil"/>
            </w:tcBorders>
            <w:shd w:val="clear" w:color="auto" w:fill="auto"/>
            <w:noWrap/>
            <w:vAlign w:val="bottom"/>
            <w:hideMark/>
          </w:tcPr>
          <w:p w14:paraId="21DCD26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F7F99D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D3CEB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3516E7A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4AC2B8E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3B723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516" w:type="dxa"/>
            <w:tcBorders>
              <w:top w:val="single" w:sz="4" w:space="0" w:color="auto"/>
              <w:left w:val="single" w:sz="4" w:space="0" w:color="auto"/>
              <w:right w:val="nil"/>
            </w:tcBorders>
            <w:shd w:val="clear" w:color="auto" w:fill="auto"/>
            <w:noWrap/>
            <w:vAlign w:val="bottom"/>
            <w:hideMark/>
          </w:tcPr>
          <w:p w14:paraId="2298B59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577A478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15F2D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single" w:sz="4" w:space="0" w:color="auto"/>
              <w:left w:val="nil"/>
              <w:right w:val="single" w:sz="4" w:space="0" w:color="auto"/>
            </w:tcBorders>
            <w:shd w:val="clear" w:color="auto" w:fill="auto"/>
            <w:noWrap/>
            <w:vAlign w:val="bottom"/>
            <w:hideMark/>
          </w:tcPr>
          <w:p w14:paraId="2A10CBF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616D714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E9EE97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716F30B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1AC454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8E99CC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auto"/>
            <w:noWrap/>
            <w:vAlign w:val="bottom"/>
            <w:hideMark/>
          </w:tcPr>
          <w:p w14:paraId="152FCFF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664AED0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373463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auto"/>
            <w:noWrap/>
            <w:vAlign w:val="bottom"/>
            <w:hideMark/>
          </w:tcPr>
          <w:p w14:paraId="585A43D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9E952F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721A37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single" w:sz="4" w:space="0" w:color="auto"/>
              <w:left w:val="nil"/>
              <w:right w:val="single" w:sz="4" w:space="0" w:color="auto"/>
            </w:tcBorders>
            <w:shd w:val="clear" w:color="auto" w:fill="auto"/>
            <w:noWrap/>
            <w:vAlign w:val="bottom"/>
            <w:hideMark/>
          </w:tcPr>
          <w:p w14:paraId="50896AE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42D78CE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45DB2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9" w:type="dxa"/>
            <w:tcBorders>
              <w:top w:val="single" w:sz="4" w:space="0" w:color="auto"/>
              <w:left w:val="single" w:sz="4" w:space="0" w:color="auto"/>
              <w:right w:val="nil"/>
            </w:tcBorders>
            <w:shd w:val="clear" w:color="auto" w:fill="auto"/>
            <w:noWrap/>
            <w:vAlign w:val="bottom"/>
            <w:hideMark/>
          </w:tcPr>
          <w:p w14:paraId="2CF5417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7DCFA9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878CC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auto"/>
            <w:noWrap/>
            <w:vAlign w:val="bottom"/>
            <w:hideMark/>
          </w:tcPr>
          <w:p w14:paraId="1230F1D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7ABB3B8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BE82D4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151E825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E7C2E2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D04995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047B776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0FA040E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1E67DE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r>
      <w:tr w:rsidR="00C54BBB" w:rsidRPr="00931966" w14:paraId="4E7BEA37" w14:textId="77777777" w:rsidTr="00144E82">
        <w:trPr>
          <w:trHeight w:val="385"/>
          <w:jc w:val="center"/>
        </w:trPr>
        <w:tc>
          <w:tcPr>
            <w:tcW w:w="455" w:type="dxa"/>
            <w:vMerge/>
            <w:tcBorders>
              <w:left w:val="nil"/>
              <w:right w:val="nil"/>
            </w:tcBorders>
            <w:shd w:val="clear" w:color="auto" w:fill="E7E6E6" w:themeFill="background2"/>
          </w:tcPr>
          <w:p w14:paraId="110BBA9B"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0A0285D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1DD5E93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3260C7D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DF22F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1C4CA5B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p w14:paraId="437D098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EE29F6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470966A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4EB46F7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B24C45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4C8CA8C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4B33A14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6BDEE9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0F77D92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3D15D2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1F00B7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40F4D40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B7818A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956399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1351" w:type="dxa"/>
            <w:gridSpan w:val="2"/>
            <w:vMerge/>
            <w:tcBorders>
              <w:left w:val="single" w:sz="4" w:space="0" w:color="auto"/>
              <w:bottom w:val="single" w:sz="4" w:space="0" w:color="auto"/>
              <w:right w:val="single" w:sz="4" w:space="0" w:color="auto"/>
            </w:tcBorders>
            <w:shd w:val="clear" w:color="auto" w:fill="auto"/>
            <w:noWrap/>
            <w:vAlign w:val="center"/>
            <w:hideMark/>
          </w:tcPr>
          <w:p w14:paraId="1BEB88C2" w14:textId="77777777" w:rsidR="00C54BBB" w:rsidRPr="00931966" w:rsidRDefault="00C54BBB" w:rsidP="00931966">
            <w:pPr>
              <w:spacing w:after="0" w:line="240" w:lineRule="auto"/>
              <w:jc w:val="center"/>
              <w:rPr>
                <w:rFonts w:ascii="Times" w:hAnsi="Times" w:cs="Times"/>
                <w:sz w:val="20"/>
                <w:szCs w:val="20"/>
              </w:rPr>
            </w:pPr>
          </w:p>
        </w:tc>
        <w:tc>
          <w:tcPr>
            <w:tcW w:w="799" w:type="dxa"/>
            <w:tcBorders>
              <w:top w:val="nil"/>
              <w:left w:val="single" w:sz="4" w:space="0" w:color="auto"/>
              <w:bottom w:val="single" w:sz="4" w:space="0" w:color="auto"/>
              <w:right w:val="nil"/>
            </w:tcBorders>
            <w:shd w:val="clear" w:color="auto" w:fill="auto"/>
            <w:noWrap/>
            <w:vAlign w:val="bottom"/>
            <w:hideMark/>
          </w:tcPr>
          <w:p w14:paraId="35EA317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7478D53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A9936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14:paraId="42C57AE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2D08893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B85F88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516" w:type="dxa"/>
            <w:tcBorders>
              <w:top w:val="nil"/>
              <w:left w:val="single" w:sz="4" w:space="0" w:color="auto"/>
              <w:bottom w:val="single" w:sz="4" w:space="0" w:color="auto"/>
              <w:right w:val="nil"/>
            </w:tcBorders>
            <w:shd w:val="clear" w:color="auto" w:fill="auto"/>
            <w:noWrap/>
            <w:vAlign w:val="bottom"/>
            <w:hideMark/>
          </w:tcPr>
          <w:p w14:paraId="1D9B0C5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6034FDC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BF9BB5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nil"/>
              <w:left w:val="nil"/>
              <w:bottom w:val="single" w:sz="4" w:space="0" w:color="auto"/>
              <w:right w:val="single" w:sz="4" w:space="0" w:color="auto"/>
            </w:tcBorders>
            <w:shd w:val="clear" w:color="auto" w:fill="auto"/>
            <w:noWrap/>
            <w:vAlign w:val="bottom"/>
            <w:hideMark/>
          </w:tcPr>
          <w:p w14:paraId="66962F2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A9C174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135E16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4B14E16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7B17A34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4DFAE7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14:paraId="2435C73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E27EEE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D050C0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65AB48E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7718900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45A02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0" w:type="dxa"/>
            <w:tcBorders>
              <w:top w:val="nil"/>
              <w:left w:val="nil"/>
              <w:bottom w:val="single" w:sz="4" w:space="0" w:color="auto"/>
              <w:right w:val="single" w:sz="4" w:space="0" w:color="auto"/>
            </w:tcBorders>
            <w:shd w:val="clear" w:color="auto" w:fill="auto"/>
            <w:noWrap/>
            <w:vAlign w:val="bottom"/>
            <w:hideMark/>
          </w:tcPr>
          <w:p w14:paraId="0C17592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6C41FC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051E9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auto"/>
            <w:noWrap/>
            <w:vAlign w:val="bottom"/>
            <w:hideMark/>
          </w:tcPr>
          <w:p w14:paraId="2873715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6FCF819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ACB65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1" w:type="dxa"/>
            <w:tcBorders>
              <w:top w:val="nil"/>
              <w:left w:val="nil"/>
              <w:bottom w:val="single" w:sz="4" w:space="0" w:color="auto"/>
              <w:right w:val="single" w:sz="4" w:space="0" w:color="auto"/>
            </w:tcBorders>
            <w:shd w:val="clear" w:color="auto" w:fill="auto"/>
            <w:noWrap/>
            <w:vAlign w:val="bottom"/>
            <w:hideMark/>
          </w:tcPr>
          <w:p w14:paraId="2ADCBC2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12B81C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1FA0E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316D0C3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F79B62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B4EB84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left w:val="nil"/>
              <w:bottom w:val="single" w:sz="4" w:space="0" w:color="auto"/>
              <w:right w:val="single" w:sz="4" w:space="0" w:color="auto"/>
            </w:tcBorders>
            <w:shd w:val="clear" w:color="auto" w:fill="auto"/>
            <w:noWrap/>
            <w:vAlign w:val="bottom"/>
            <w:hideMark/>
          </w:tcPr>
          <w:p w14:paraId="56009D7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0A69D7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2F5103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r>
      <w:tr w:rsidR="00C54BBB" w:rsidRPr="00931966" w14:paraId="4F0C619A" w14:textId="77777777" w:rsidTr="00144E82">
        <w:trPr>
          <w:trHeight w:val="385"/>
          <w:jc w:val="center"/>
        </w:trPr>
        <w:tc>
          <w:tcPr>
            <w:tcW w:w="455" w:type="dxa"/>
            <w:vMerge/>
            <w:tcBorders>
              <w:left w:val="nil"/>
              <w:right w:val="nil"/>
            </w:tcBorders>
            <w:shd w:val="clear" w:color="auto" w:fill="E7E6E6" w:themeFill="background2"/>
          </w:tcPr>
          <w:p w14:paraId="02D530D4"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single" w:sz="4" w:space="0" w:color="auto"/>
              <w:left w:val="nil"/>
              <w:right w:val="nil"/>
            </w:tcBorders>
            <w:shd w:val="clear" w:color="auto" w:fill="E7E6E6" w:themeFill="background2"/>
            <w:noWrap/>
            <w:vAlign w:val="center"/>
            <w:hideMark/>
          </w:tcPr>
          <w:p w14:paraId="47BED74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7F54D93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51D11F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7469FD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6B700C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44AD7F2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EF3A98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74BC4A6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67F5CD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1A3F1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7CF3F14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357B53E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74DD5F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6015A4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95DE23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1BC45F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4" w:type="dxa"/>
            <w:tcBorders>
              <w:top w:val="single" w:sz="4" w:space="0" w:color="auto"/>
              <w:left w:val="nil"/>
              <w:right w:val="single" w:sz="4" w:space="0" w:color="auto"/>
            </w:tcBorders>
            <w:shd w:val="clear" w:color="auto" w:fill="E7E6E6" w:themeFill="background2"/>
            <w:noWrap/>
            <w:vAlign w:val="bottom"/>
            <w:hideMark/>
          </w:tcPr>
          <w:p w14:paraId="0ED5542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290AF95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50C8B3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5" w:type="dxa"/>
            <w:tcBorders>
              <w:top w:val="single" w:sz="4" w:space="0" w:color="auto"/>
              <w:left w:val="single" w:sz="4" w:space="0" w:color="auto"/>
              <w:right w:val="nil"/>
            </w:tcBorders>
            <w:shd w:val="clear" w:color="auto" w:fill="E7E6E6" w:themeFill="background2"/>
            <w:noWrap/>
            <w:vAlign w:val="bottom"/>
            <w:hideMark/>
          </w:tcPr>
          <w:p w14:paraId="6D46C76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F5C9A4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E966F6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5C3BA5D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77552B0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95F844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1508"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00636DFF"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OLS</w:t>
            </w:r>
          </w:p>
          <w:p w14:paraId="017F71F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REML+HKSJ</w:t>
            </w:r>
          </w:p>
        </w:tc>
        <w:tc>
          <w:tcPr>
            <w:tcW w:w="516" w:type="dxa"/>
            <w:tcBorders>
              <w:top w:val="single" w:sz="4" w:space="0" w:color="auto"/>
              <w:left w:val="single" w:sz="4" w:space="0" w:color="auto"/>
              <w:right w:val="nil"/>
            </w:tcBorders>
            <w:shd w:val="clear" w:color="auto" w:fill="auto"/>
            <w:noWrap/>
            <w:vAlign w:val="bottom"/>
            <w:hideMark/>
          </w:tcPr>
          <w:p w14:paraId="11437ED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65653D0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7E41D6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5" w:type="dxa"/>
            <w:tcBorders>
              <w:top w:val="single" w:sz="4" w:space="0" w:color="auto"/>
              <w:left w:val="nil"/>
              <w:right w:val="single" w:sz="4" w:space="0" w:color="auto"/>
            </w:tcBorders>
            <w:shd w:val="clear" w:color="auto" w:fill="auto"/>
            <w:noWrap/>
            <w:vAlign w:val="bottom"/>
            <w:hideMark/>
          </w:tcPr>
          <w:p w14:paraId="0549A23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74DFB8E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C5F30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56091D7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6BD75B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D58D80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1" w:type="dxa"/>
            <w:tcBorders>
              <w:top w:val="single" w:sz="4" w:space="0" w:color="auto"/>
              <w:left w:val="nil"/>
              <w:right w:val="single" w:sz="4" w:space="0" w:color="auto"/>
            </w:tcBorders>
            <w:shd w:val="clear" w:color="auto" w:fill="auto"/>
            <w:noWrap/>
            <w:vAlign w:val="bottom"/>
            <w:hideMark/>
          </w:tcPr>
          <w:p w14:paraId="7463438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1F226F7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71B88A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auto"/>
            <w:noWrap/>
            <w:vAlign w:val="bottom"/>
            <w:hideMark/>
          </w:tcPr>
          <w:p w14:paraId="4655D5F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65FD5AA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38B021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0" w:type="dxa"/>
            <w:tcBorders>
              <w:top w:val="single" w:sz="4" w:space="0" w:color="auto"/>
              <w:left w:val="nil"/>
              <w:right w:val="single" w:sz="4" w:space="0" w:color="auto"/>
            </w:tcBorders>
            <w:shd w:val="clear" w:color="auto" w:fill="auto"/>
            <w:noWrap/>
            <w:vAlign w:val="bottom"/>
            <w:hideMark/>
          </w:tcPr>
          <w:p w14:paraId="46DD301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2E8B7BA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812F16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9" w:type="dxa"/>
            <w:tcBorders>
              <w:top w:val="single" w:sz="4" w:space="0" w:color="auto"/>
              <w:left w:val="single" w:sz="4" w:space="0" w:color="auto"/>
              <w:right w:val="nil"/>
            </w:tcBorders>
            <w:shd w:val="clear" w:color="auto" w:fill="auto"/>
            <w:noWrap/>
            <w:vAlign w:val="bottom"/>
            <w:hideMark/>
          </w:tcPr>
          <w:p w14:paraId="49C410C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01C46EA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7D58D4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1" w:type="dxa"/>
            <w:tcBorders>
              <w:top w:val="single" w:sz="4" w:space="0" w:color="auto"/>
              <w:left w:val="nil"/>
              <w:right w:val="single" w:sz="4" w:space="0" w:color="auto"/>
            </w:tcBorders>
            <w:shd w:val="clear" w:color="auto" w:fill="auto"/>
            <w:noWrap/>
            <w:vAlign w:val="bottom"/>
            <w:hideMark/>
          </w:tcPr>
          <w:p w14:paraId="069AA94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765BEAC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F4A5E5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2311C9E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C7B99C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CC65E1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09" w:type="dxa"/>
            <w:tcBorders>
              <w:top w:val="single" w:sz="4" w:space="0" w:color="auto"/>
              <w:left w:val="nil"/>
              <w:right w:val="single" w:sz="4" w:space="0" w:color="auto"/>
            </w:tcBorders>
            <w:shd w:val="clear" w:color="auto" w:fill="auto"/>
            <w:noWrap/>
            <w:vAlign w:val="bottom"/>
            <w:hideMark/>
          </w:tcPr>
          <w:p w14:paraId="5114CEF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265459B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D0334C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r>
      <w:tr w:rsidR="00C54BBB" w:rsidRPr="00931966" w14:paraId="13A575C9" w14:textId="77777777" w:rsidTr="00144E82">
        <w:trPr>
          <w:trHeight w:val="385"/>
          <w:jc w:val="center"/>
        </w:trPr>
        <w:tc>
          <w:tcPr>
            <w:tcW w:w="455" w:type="dxa"/>
            <w:vMerge/>
            <w:tcBorders>
              <w:left w:val="nil"/>
              <w:right w:val="nil"/>
            </w:tcBorders>
            <w:shd w:val="clear" w:color="auto" w:fill="E7E6E6" w:themeFill="background2"/>
          </w:tcPr>
          <w:p w14:paraId="29092A56"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5FA9F37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15EE0E5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8A9384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EE20F9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017C9BA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246C04F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F06A95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1D9BED8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1F5022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F607A6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2344419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C94567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1C586D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01D3CD9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583C72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B7B986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6F91AC1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4283A29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F00F8D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7356E0E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6FE58A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69CDA8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0A79878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350146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2B007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1508" w:type="dxa"/>
            <w:gridSpan w:val="2"/>
            <w:vMerge/>
            <w:tcBorders>
              <w:left w:val="single" w:sz="4" w:space="0" w:color="auto"/>
              <w:bottom w:val="single" w:sz="4" w:space="0" w:color="auto"/>
              <w:right w:val="single" w:sz="4" w:space="0" w:color="auto"/>
            </w:tcBorders>
            <w:shd w:val="clear" w:color="auto" w:fill="auto"/>
            <w:noWrap/>
            <w:vAlign w:val="center"/>
            <w:hideMark/>
          </w:tcPr>
          <w:p w14:paraId="26BDC1A7" w14:textId="77777777" w:rsidR="00C54BBB" w:rsidRPr="00931966" w:rsidRDefault="00C54BBB" w:rsidP="00931966">
            <w:pPr>
              <w:spacing w:after="0" w:line="240" w:lineRule="auto"/>
              <w:jc w:val="center"/>
              <w:rPr>
                <w:rFonts w:ascii="Times" w:hAnsi="Times" w:cs="Times"/>
                <w:sz w:val="20"/>
                <w:szCs w:val="20"/>
              </w:rPr>
            </w:pPr>
          </w:p>
        </w:tc>
        <w:tc>
          <w:tcPr>
            <w:tcW w:w="516" w:type="dxa"/>
            <w:tcBorders>
              <w:top w:val="nil"/>
              <w:left w:val="single" w:sz="4" w:space="0" w:color="auto"/>
              <w:bottom w:val="single" w:sz="4" w:space="0" w:color="auto"/>
              <w:right w:val="nil"/>
            </w:tcBorders>
            <w:shd w:val="clear" w:color="auto" w:fill="auto"/>
            <w:noWrap/>
            <w:vAlign w:val="bottom"/>
            <w:hideMark/>
          </w:tcPr>
          <w:p w14:paraId="58BAF72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7A7E0E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E6B693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nil"/>
              <w:bottom w:val="single" w:sz="4" w:space="0" w:color="auto"/>
              <w:right w:val="single" w:sz="4" w:space="0" w:color="auto"/>
            </w:tcBorders>
            <w:shd w:val="clear" w:color="auto" w:fill="auto"/>
            <w:noWrap/>
            <w:vAlign w:val="bottom"/>
            <w:hideMark/>
          </w:tcPr>
          <w:p w14:paraId="19B11DE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AD5117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B0BE7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32B59CD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7C4DAC9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AE3965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auto"/>
            <w:noWrap/>
            <w:vAlign w:val="bottom"/>
            <w:hideMark/>
          </w:tcPr>
          <w:p w14:paraId="180C68E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F20DD6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AD990F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auto"/>
            <w:noWrap/>
            <w:vAlign w:val="bottom"/>
            <w:hideMark/>
          </w:tcPr>
          <w:p w14:paraId="279ABBC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621B02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56FCE9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0" w:type="dxa"/>
            <w:tcBorders>
              <w:top w:val="nil"/>
              <w:left w:val="nil"/>
              <w:bottom w:val="single" w:sz="4" w:space="0" w:color="auto"/>
              <w:right w:val="single" w:sz="4" w:space="0" w:color="auto"/>
            </w:tcBorders>
            <w:shd w:val="clear" w:color="auto" w:fill="auto"/>
            <w:noWrap/>
            <w:vAlign w:val="bottom"/>
            <w:hideMark/>
          </w:tcPr>
          <w:p w14:paraId="2D554B9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3C42172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E7E321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auto"/>
            <w:noWrap/>
            <w:vAlign w:val="bottom"/>
            <w:hideMark/>
          </w:tcPr>
          <w:p w14:paraId="5A53914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2F998E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C6C9C2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auto"/>
            <w:noWrap/>
            <w:vAlign w:val="bottom"/>
            <w:hideMark/>
          </w:tcPr>
          <w:p w14:paraId="7DAF7F1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0ACCB3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FDAA1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11741B4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2E46B56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AAF98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709" w:type="dxa"/>
            <w:tcBorders>
              <w:left w:val="nil"/>
              <w:bottom w:val="single" w:sz="4" w:space="0" w:color="auto"/>
              <w:right w:val="single" w:sz="4" w:space="0" w:color="auto"/>
            </w:tcBorders>
            <w:shd w:val="clear" w:color="auto" w:fill="auto"/>
            <w:noWrap/>
            <w:vAlign w:val="bottom"/>
            <w:hideMark/>
          </w:tcPr>
          <w:p w14:paraId="5F329AB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3366119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DBD565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r>
      <w:tr w:rsidR="00C54BBB" w:rsidRPr="00931966" w14:paraId="62C1FE74" w14:textId="77777777" w:rsidTr="00144E82">
        <w:trPr>
          <w:trHeight w:val="385"/>
          <w:jc w:val="center"/>
        </w:trPr>
        <w:tc>
          <w:tcPr>
            <w:tcW w:w="455" w:type="dxa"/>
            <w:vMerge/>
            <w:tcBorders>
              <w:left w:val="nil"/>
              <w:right w:val="nil"/>
            </w:tcBorders>
            <w:shd w:val="clear" w:color="auto" w:fill="E7E6E6" w:themeFill="background2"/>
            <w:textDirection w:val="btLr"/>
          </w:tcPr>
          <w:p w14:paraId="4DA46C5F" w14:textId="77777777" w:rsidR="00C54BBB" w:rsidRPr="00931966" w:rsidRDefault="00C54BBB" w:rsidP="00931966">
            <w:pPr>
              <w:spacing w:after="0" w:line="240" w:lineRule="auto"/>
              <w:jc w:val="center"/>
              <w:rPr>
                <w:rFonts w:ascii="Times" w:hAnsi="Times" w:cs="Times"/>
                <w:b/>
                <w:bCs/>
                <w:sz w:val="20"/>
                <w:szCs w:val="20"/>
              </w:rPr>
            </w:pPr>
          </w:p>
        </w:tc>
        <w:tc>
          <w:tcPr>
            <w:tcW w:w="863" w:type="dxa"/>
            <w:tcBorders>
              <w:top w:val="single" w:sz="4" w:space="0" w:color="auto"/>
              <w:left w:val="nil"/>
              <w:right w:val="nil"/>
            </w:tcBorders>
            <w:shd w:val="clear" w:color="auto" w:fill="E7E6E6" w:themeFill="background2"/>
            <w:noWrap/>
            <w:vAlign w:val="center"/>
            <w:hideMark/>
          </w:tcPr>
          <w:p w14:paraId="37DE55E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6791324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843186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10BE0E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4FBF4A8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789A92E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037A4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6977742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26B0AF8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34A84F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6" w:type="dxa"/>
            <w:tcBorders>
              <w:top w:val="single" w:sz="4" w:space="0" w:color="auto"/>
              <w:left w:val="nil"/>
              <w:right w:val="single" w:sz="4" w:space="0" w:color="auto"/>
            </w:tcBorders>
            <w:shd w:val="clear" w:color="auto" w:fill="E7E6E6" w:themeFill="background2"/>
            <w:noWrap/>
            <w:vAlign w:val="bottom"/>
            <w:hideMark/>
          </w:tcPr>
          <w:p w14:paraId="3CDBD70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58D5764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027148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5" w:type="dxa"/>
            <w:tcBorders>
              <w:top w:val="single" w:sz="4" w:space="0" w:color="auto"/>
              <w:left w:val="single" w:sz="4" w:space="0" w:color="auto"/>
              <w:right w:val="nil"/>
            </w:tcBorders>
            <w:shd w:val="clear" w:color="auto" w:fill="E7E6E6" w:themeFill="background2"/>
            <w:noWrap/>
            <w:vAlign w:val="bottom"/>
            <w:hideMark/>
          </w:tcPr>
          <w:p w14:paraId="464B424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50398ED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B29455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4" w:type="dxa"/>
            <w:tcBorders>
              <w:top w:val="single" w:sz="4" w:space="0" w:color="auto"/>
              <w:left w:val="nil"/>
              <w:right w:val="single" w:sz="4" w:space="0" w:color="auto"/>
            </w:tcBorders>
            <w:shd w:val="clear" w:color="auto" w:fill="E7E6E6" w:themeFill="background2"/>
            <w:noWrap/>
            <w:vAlign w:val="bottom"/>
            <w:hideMark/>
          </w:tcPr>
          <w:p w14:paraId="0955EAC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01CBBC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95C487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5" w:type="dxa"/>
            <w:tcBorders>
              <w:top w:val="single" w:sz="4" w:space="0" w:color="auto"/>
              <w:left w:val="single" w:sz="4" w:space="0" w:color="auto"/>
              <w:right w:val="nil"/>
            </w:tcBorders>
            <w:shd w:val="clear" w:color="auto" w:fill="E7E6E6" w:themeFill="background2"/>
            <w:noWrap/>
            <w:vAlign w:val="bottom"/>
            <w:hideMark/>
          </w:tcPr>
          <w:p w14:paraId="5455A7A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750E372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D67439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6" w:type="dxa"/>
            <w:tcBorders>
              <w:top w:val="single" w:sz="4" w:space="0" w:color="auto"/>
              <w:left w:val="nil"/>
              <w:right w:val="single" w:sz="4" w:space="0" w:color="auto"/>
            </w:tcBorders>
            <w:shd w:val="clear" w:color="auto" w:fill="E7E6E6" w:themeFill="background2"/>
            <w:noWrap/>
            <w:vAlign w:val="bottom"/>
            <w:hideMark/>
          </w:tcPr>
          <w:p w14:paraId="3D99B38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C89258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4724E1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799" w:type="dxa"/>
            <w:tcBorders>
              <w:top w:val="single" w:sz="4" w:space="0" w:color="auto"/>
              <w:left w:val="single" w:sz="4" w:space="0" w:color="auto"/>
              <w:right w:val="nil"/>
            </w:tcBorders>
            <w:shd w:val="clear" w:color="auto" w:fill="E7E6E6" w:themeFill="background2"/>
            <w:noWrap/>
            <w:vAlign w:val="bottom"/>
            <w:hideMark/>
          </w:tcPr>
          <w:p w14:paraId="702AA73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2F5DC12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AC886E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709" w:type="dxa"/>
            <w:tcBorders>
              <w:top w:val="single" w:sz="4" w:space="0" w:color="auto"/>
              <w:left w:val="nil"/>
              <w:right w:val="single" w:sz="4" w:space="0" w:color="auto"/>
            </w:tcBorders>
            <w:shd w:val="clear" w:color="auto" w:fill="E7E6E6" w:themeFill="background2"/>
            <w:noWrap/>
            <w:vAlign w:val="bottom"/>
            <w:hideMark/>
          </w:tcPr>
          <w:p w14:paraId="39EB540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14039F2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FCA83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1191"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1CCEA0D9"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
            </w:r>
          </w:p>
          <w:p w14:paraId="3DFD6E4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Fixed</w:t>
            </w:r>
          </w:p>
        </w:tc>
        <w:tc>
          <w:tcPr>
            <w:tcW w:w="679" w:type="dxa"/>
            <w:tcBorders>
              <w:top w:val="single" w:sz="4" w:space="0" w:color="auto"/>
              <w:left w:val="single" w:sz="4" w:space="0" w:color="auto"/>
              <w:right w:val="nil"/>
            </w:tcBorders>
            <w:shd w:val="clear" w:color="auto" w:fill="auto"/>
            <w:noWrap/>
            <w:vAlign w:val="bottom"/>
            <w:hideMark/>
          </w:tcPr>
          <w:p w14:paraId="3E7BDA7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307967D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C92788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single" w:sz="4" w:space="0" w:color="auto"/>
              <w:left w:val="nil"/>
              <w:right w:val="single" w:sz="4" w:space="0" w:color="auto"/>
            </w:tcBorders>
            <w:shd w:val="clear" w:color="auto" w:fill="auto"/>
            <w:noWrap/>
            <w:vAlign w:val="bottom"/>
            <w:hideMark/>
          </w:tcPr>
          <w:p w14:paraId="5A27AF4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3F7D4DB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1BC53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5569B75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3ABF8D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777628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single" w:sz="4" w:space="0" w:color="auto"/>
              <w:left w:val="nil"/>
              <w:right w:val="single" w:sz="4" w:space="0" w:color="auto"/>
            </w:tcBorders>
            <w:shd w:val="clear" w:color="auto" w:fill="auto"/>
            <w:noWrap/>
            <w:vAlign w:val="bottom"/>
            <w:hideMark/>
          </w:tcPr>
          <w:p w14:paraId="0A0C5F0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17A6D5B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6622B4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auto"/>
            <w:noWrap/>
            <w:vAlign w:val="bottom"/>
            <w:hideMark/>
          </w:tcPr>
          <w:p w14:paraId="2F22C2B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394DFC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15A252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single" w:sz="4" w:space="0" w:color="auto"/>
              <w:left w:val="nil"/>
              <w:right w:val="single" w:sz="4" w:space="0" w:color="auto"/>
            </w:tcBorders>
            <w:shd w:val="clear" w:color="auto" w:fill="auto"/>
            <w:noWrap/>
            <w:vAlign w:val="bottom"/>
            <w:hideMark/>
          </w:tcPr>
          <w:p w14:paraId="5A4FD15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431EA25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47A6A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825" w:type="dxa"/>
            <w:tcBorders>
              <w:top w:val="single" w:sz="4" w:space="0" w:color="auto"/>
              <w:left w:val="single" w:sz="4" w:space="0" w:color="auto"/>
              <w:right w:val="nil"/>
            </w:tcBorders>
            <w:shd w:val="clear" w:color="auto" w:fill="auto"/>
            <w:noWrap/>
            <w:vAlign w:val="bottom"/>
            <w:hideMark/>
          </w:tcPr>
          <w:p w14:paraId="1CCFFDA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241B11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34F5D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53C7EB1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3792646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22090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r>
      <w:tr w:rsidR="00C54BBB" w:rsidRPr="00931966" w14:paraId="65086113" w14:textId="77777777" w:rsidTr="00144E82">
        <w:trPr>
          <w:trHeight w:val="385"/>
          <w:jc w:val="center"/>
        </w:trPr>
        <w:tc>
          <w:tcPr>
            <w:tcW w:w="455" w:type="dxa"/>
            <w:vMerge/>
            <w:tcBorders>
              <w:left w:val="nil"/>
              <w:right w:val="nil"/>
            </w:tcBorders>
            <w:shd w:val="clear" w:color="auto" w:fill="E7E6E6" w:themeFill="background2"/>
          </w:tcPr>
          <w:p w14:paraId="474B93F6"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39782CD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525C2FB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359F0E2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1EF522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7</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453057E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6AA9CED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70698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4</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668DBAC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p w14:paraId="6642865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1284D4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6</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2228C9C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p w14:paraId="11D180E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4A0A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0C7A58F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4CB47EA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36CCFD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406D99B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p w14:paraId="47AF911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55E30B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797FC50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35B5A01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3CC4FF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202502B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p w14:paraId="46E4DDB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51BD0F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tc>
        <w:tc>
          <w:tcPr>
            <w:tcW w:w="799" w:type="dxa"/>
            <w:tcBorders>
              <w:top w:val="nil"/>
              <w:left w:val="single" w:sz="4" w:space="0" w:color="auto"/>
              <w:bottom w:val="single" w:sz="4" w:space="0" w:color="auto"/>
              <w:right w:val="nil"/>
            </w:tcBorders>
            <w:shd w:val="clear" w:color="auto" w:fill="E7E6E6" w:themeFill="background2"/>
            <w:noWrap/>
            <w:vAlign w:val="bottom"/>
            <w:hideMark/>
          </w:tcPr>
          <w:p w14:paraId="272D434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2</w:t>
            </w:r>
          </w:p>
          <w:p w14:paraId="0E7A5AE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FD0EA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tc>
        <w:tc>
          <w:tcPr>
            <w:tcW w:w="709" w:type="dxa"/>
            <w:tcBorders>
              <w:top w:val="nil"/>
              <w:left w:val="nil"/>
              <w:bottom w:val="single" w:sz="4" w:space="0" w:color="auto"/>
              <w:right w:val="single" w:sz="4" w:space="0" w:color="auto"/>
            </w:tcBorders>
            <w:shd w:val="clear" w:color="auto" w:fill="E7E6E6" w:themeFill="background2"/>
            <w:noWrap/>
            <w:vAlign w:val="bottom"/>
            <w:hideMark/>
          </w:tcPr>
          <w:p w14:paraId="3528F1B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p w14:paraId="7ECED94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071FE5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1</w:t>
            </w:r>
          </w:p>
        </w:tc>
        <w:tc>
          <w:tcPr>
            <w:tcW w:w="1191" w:type="dxa"/>
            <w:gridSpan w:val="2"/>
            <w:vMerge/>
            <w:tcBorders>
              <w:left w:val="single" w:sz="4" w:space="0" w:color="auto"/>
              <w:bottom w:val="single" w:sz="4" w:space="0" w:color="auto"/>
              <w:right w:val="single" w:sz="4" w:space="0" w:color="auto"/>
            </w:tcBorders>
            <w:shd w:val="clear" w:color="auto" w:fill="auto"/>
            <w:noWrap/>
            <w:vAlign w:val="center"/>
            <w:hideMark/>
          </w:tcPr>
          <w:p w14:paraId="1037142B" w14:textId="77777777" w:rsidR="00C54BBB" w:rsidRPr="00931966" w:rsidRDefault="00C54BBB" w:rsidP="00931966">
            <w:pPr>
              <w:spacing w:after="0" w:line="240" w:lineRule="auto"/>
              <w:jc w:val="center"/>
              <w:rPr>
                <w:rFonts w:ascii="Times" w:hAnsi="Times" w:cs="Times"/>
                <w:sz w:val="20"/>
                <w:szCs w:val="20"/>
              </w:rPr>
            </w:pPr>
          </w:p>
        </w:tc>
        <w:tc>
          <w:tcPr>
            <w:tcW w:w="679" w:type="dxa"/>
            <w:tcBorders>
              <w:top w:val="nil"/>
              <w:left w:val="single" w:sz="4" w:space="0" w:color="auto"/>
              <w:bottom w:val="single" w:sz="4" w:space="0" w:color="auto"/>
              <w:right w:val="nil"/>
            </w:tcBorders>
            <w:shd w:val="clear" w:color="auto" w:fill="auto"/>
            <w:noWrap/>
            <w:vAlign w:val="bottom"/>
            <w:hideMark/>
          </w:tcPr>
          <w:p w14:paraId="2C0D70D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1AADC87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7EF213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tc>
        <w:tc>
          <w:tcPr>
            <w:tcW w:w="681" w:type="dxa"/>
            <w:tcBorders>
              <w:top w:val="nil"/>
              <w:left w:val="nil"/>
              <w:bottom w:val="single" w:sz="4" w:space="0" w:color="auto"/>
              <w:right w:val="single" w:sz="4" w:space="0" w:color="auto"/>
            </w:tcBorders>
            <w:shd w:val="clear" w:color="auto" w:fill="auto"/>
            <w:noWrap/>
            <w:vAlign w:val="bottom"/>
            <w:hideMark/>
          </w:tcPr>
          <w:p w14:paraId="4BDB15F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2EE6D21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817888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tc>
        <w:tc>
          <w:tcPr>
            <w:tcW w:w="679" w:type="dxa"/>
            <w:tcBorders>
              <w:top w:val="nil"/>
              <w:left w:val="single" w:sz="4" w:space="0" w:color="auto"/>
              <w:bottom w:val="single" w:sz="4" w:space="0" w:color="auto"/>
              <w:right w:val="nil"/>
            </w:tcBorders>
            <w:shd w:val="clear" w:color="auto" w:fill="auto"/>
            <w:noWrap/>
            <w:vAlign w:val="bottom"/>
            <w:hideMark/>
          </w:tcPr>
          <w:p w14:paraId="69DCEB9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5B47168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1386A5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tc>
        <w:tc>
          <w:tcPr>
            <w:tcW w:w="680" w:type="dxa"/>
            <w:tcBorders>
              <w:top w:val="nil"/>
              <w:left w:val="nil"/>
              <w:bottom w:val="single" w:sz="4" w:space="0" w:color="auto"/>
              <w:right w:val="single" w:sz="4" w:space="0" w:color="auto"/>
            </w:tcBorders>
            <w:shd w:val="clear" w:color="auto" w:fill="auto"/>
            <w:noWrap/>
            <w:vAlign w:val="bottom"/>
            <w:hideMark/>
          </w:tcPr>
          <w:p w14:paraId="7C53C2D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p w14:paraId="3466F0B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C2DC6A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tc>
        <w:tc>
          <w:tcPr>
            <w:tcW w:w="679" w:type="dxa"/>
            <w:tcBorders>
              <w:top w:val="nil"/>
              <w:left w:val="single" w:sz="4" w:space="0" w:color="auto"/>
              <w:bottom w:val="single" w:sz="4" w:space="0" w:color="auto"/>
              <w:right w:val="nil"/>
            </w:tcBorders>
            <w:shd w:val="clear" w:color="auto" w:fill="auto"/>
            <w:noWrap/>
            <w:vAlign w:val="bottom"/>
            <w:hideMark/>
          </w:tcPr>
          <w:p w14:paraId="332A6ED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p w14:paraId="7DEA683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4AC34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tc>
        <w:tc>
          <w:tcPr>
            <w:tcW w:w="681" w:type="dxa"/>
            <w:tcBorders>
              <w:top w:val="nil"/>
              <w:left w:val="nil"/>
              <w:bottom w:val="single" w:sz="4" w:space="0" w:color="auto"/>
              <w:right w:val="single" w:sz="4" w:space="0" w:color="auto"/>
            </w:tcBorders>
            <w:shd w:val="clear" w:color="auto" w:fill="auto"/>
            <w:noWrap/>
            <w:vAlign w:val="bottom"/>
            <w:hideMark/>
          </w:tcPr>
          <w:p w14:paraId="7D5F952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56E942C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DB35E8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tc>
        <w:tc>
          <w:tcPr>
            <w:tcW w:w="825" w:type="dxa"/>
            <w:tcBorders>
              <w:top w:val="nil"/>
              <w:left w:val="single" w:sz="4" w:space="0" w:color="auto"/>
              <w:bottom w:val="single" w:sz="4" w:space="0" w:color="auto"/>
              <w:right w:val="nil"/>
            </w:tcBorders>
            <w:shd w:val="clear" w:color="auto" w:fill="auto"/>
            <w:noWrap/>
            <w:vAlign w:val="bottom"/>
            <w:hideMark/>
          </w:tcPr>
          <w:p w14:paraId="753D33A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p w14:paraId="47F3A81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84887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3</w:t>
            </w:r>
          </w:p>
        </w:tc>
        <w:tc>
          <w:tcPr>
            <w:tcW w:w="709" w:type="dxa"/>
            <w:tcBorders>
              <w:left w:val="nil"/>
              <w:bottom w:val="single" w:sz="4" w:space="0" w:color="auto"/>
              <w:right w:val="single" w:sz="4" w:space="0" w:color="auto"/>
            </w:tcBorders>
            <w:shd w:val="clear" w:color="auto" w:fill="auto"/>
            <w:noWrap/>
            <w:vAlign w:val="bottom"/>
            <w:hideMark/>
          </w:tcPr>
          <w:p w14:paraId="1C75399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p w14:paraId="582E49D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2D29E1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lastRenderedPageBreak/>
              <w:t>5</w:t>
            </w:r>
          </w:p>
        </w:tc>
      </w:tr>
      <w:tr w:rsidR="00C54BBB" w:rsidRPr="00931966" w14:paraId="244D7839" w14:textId="77777777" w:rsidTr="00144E82">
        <w:trPr>
          <w:trHeight w:val="385"/>
          <w:jc w:val="center"/>
        </w:trPr>
        <w:tc>
          <w:tcPr>
            <w:tcW w:w="455" w:type="dxa"/>
            <w:vMerge/>
            <w:tcBorders>
              <w:left w:val="nil"/>
              <w:right w:val="nil"/>
            </w:tcBorders>
            <w:shd w:val="clear" w:color="auto" w:fill="E7E6E6" w:themeFill="background2"/>
          </w:tcPr>
          <w:p w14:paraId="0D810BFF"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single" w:sz="4" w:space="0" w:color="auto"/>
              <w:left w:val="nil"/>
              <w:right w:val="nil"/>
            </w:tcBorders>
            <w:shd w:val="clear" w:color="auto" w:fill="E7E6E6" w:themeFill="background2"/>
            <w:noWrap/>
            <w:vAlign w:val="center"/>
            <w:hideMark/>
          </w:tcPr>
          <w:p w14:paraId="2AB5E3F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1EF6782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06B732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52ED3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50683DF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4A1EE82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EBDFB5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795EF44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ACEBEF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881860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1BFF115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2348C79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A1EB4C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470A92A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BA918B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126DF1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4" w:type="dxa"/>
            <w:tcBorders>
              <w:top w:val="single" w:sz="4" w:space="0" w:color="auto"/>
              <w:left w:val="nil"/>
              <w:right w:val="single" w:sz="4" w:space="0" w:color="auto"/>
            </w:tcBorders>
            <w:shd w:val="clear" w:color="auto" w:fill="E7E6E6" w:themeFill="background2"/>
            <w:noWrap/>
            <w:vAlign w:val="bottom"/>
            <w:hideMark/>
          </w:tcPr>
          <w:p w14:paraId="6B49DD8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0BC58D1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4C38D8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675" w:type="dxa"/>
            <w:tcBorders>
              <w:top w:val="single" w:sz="4" w:space="0" w:color="auto"/>
              <w:left w:val="single" w:sz="4" w:space="0" w:color="auto"/>
              <w:right w:val="nil"/>
            </w:tcBorders>
            <w:shd w:val="clear" w:color="auto" w:fill="E7E6E6" w:themeFill="background2"/>
            <w:noWrap/>
            <w:vAlign w:val="bottom"/>
            <w:hideMark/>
          </w:tcPr>
          <w:p w14:paraId="4D19D89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396596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F030E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6" w:type="dxa"/>
            <w:tcBorders>
              <w:top w:val="single" w:sz="4" w:space="0" w:color="auto"/>
              <w:left w:val="nil"/>
              <w:right w:val="single" w:sz="4" w:space="0" w:color="auto"/>
            </w:tcBorders>
            <w:shd w:val="clear" w:color="auto" w:fill="E7E6E6" w:themeFill="background2"/>
            <w:noWrap/>
            <w:vAlign w:val="bottom"/>
            <w:hideMark/>
          </w:tcPr>
          <w:p w14:paraId="3E92385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0A880A3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FFCCB0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799" w:type="dxa"/>
            <w:tcBorders>
              <w:top w:val="single" w:sz="4" w:space="0" w:color="auto"/>
              <w:left w:val="single" w:sz="4" w:space="0" w:color="auto"/>
              <w:right w:val="nil"/>
            </w:tcBorders>
            <w:shd w:val="clear" w:color="auto" w:fill="E7E6E6" w:themeFill="background2"/>
            <w:noWrap/>
            <w:vAlign w:val="bottom"/>
            <w:hideMark/>
          </w:tcPr>
          <w:p w14:paraId="4006A13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9639F9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EEFB5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709" w:type="dxa"/>
            <w:tcBorders>
              <w:top w:val="single" w:sz="4" w:space="0" w:color="auto"/>
              <w:left w:val="nil"/>
              <w:right w:val="single" w:sz="4" w:space="0" w:color="auto"/>
            </w:tcBorders>
            <w:shd w:val="clear" w:color="auto" w:fill="E7E6E6" w:themeFill="background2"/>
            <w:noWrap/>
            <w:vAlign w:val="bottom"/>
            <w:hideMark/>
          </w:tcPr>
          <w:p w14:paraId="342D000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3D6650E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93A714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516" w:type="dxa"/>
            <w:tcBorders>
              <w:top w:val="single" w:sz="4" w:space="0" w:color="auto"/>
              <w:left w:val="single" w:sz="4" w:space="0" w:color="auto"/>
              <w:right w:val="nil"/>
            </w:tcBorders>
            <w:shd w:val="clear" w:color="auto" w:fill="E7E6E6" w:themeFill="background2"/>
            <w:noWrap/>
            <w:vAlign w:val="bottom"/>
            <w:hideMark/>
          </w:tcPr>
          <w:p w14:paraId="721895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43D46F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D975A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5" w:type="dxa"/>
            <w:tcBorders>
              <w:top w:val="single" w:sz="4" w:space="0" w:color="auto"/>
              <w:left w:val="nil"/>
              <w:right w:val="single" w:sz="4" w:space="0" w:color="auto"/>
            </w:tcBorders>
            <w:shd w:val="clear" w:color="auto" w:fill="E7E6E6" w:themeFill="background2"/>
            <w:noWrap/>
            <w:vAlign w:val="bottom"/>
            <w:hideMark/>
          </w:tcPr>
          <w:p w14:paraId="0A82AF4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528A1D9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79D0C0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1360"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7EE460C1"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
            </w:r>
          </w:p>
          <w:p w14:paraId="1A60CCF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DL+WT</w:t>
            </w:r>
          </w:p>
        </w:tc>
        <w:tc>
          <w:tcPr>
            <w:tcW w:w="679" w:type="dxa"/>
            <w:tcBorders>
              <w:top w:val="single" w:sz="4" w:space="0" w:color="auto"/>
              <w:left w:val="single" w:sz="4" w:space="0" w:color="auto"/>
              <w:right w:val="nil"/>
            </w:tcBorders>
            <w:shd w:val="clear" w:color="auto" w:fill="auto"/>
            <w:noWrap/>
            <w:vAlign w:val="bottom"/>
            <w:hideMark/>
          </w:tcPr>
          <w:p w14:paraId="0EA4EFF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8957E7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A22530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single" w:sz="4" w:space="0" w:color="auto"/>
              <w:left w:val="nil"/>
              <w:right w:val="single" w:sz="4" w:space="0" w:color="auto"/>
            </w:tcBorders>
            <w:shd w:val="clear" w:color="auto" w:fill="auto"/>
            <w:noWrap/>
            <w:vAlign w:val="bottom"/>
            <w:hideMark/>
          </w:tcPr>
          <w:p w14:paraId="21D7462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5AAAF22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B188D8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auto"/>
            <w:noWrap/>
            <w:vAlign w:val="bottom"/>
            <w:hideMark/>
          </w:tcPr>
          <w:p w14:paraId="27FB035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3BCAF9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8AA406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single" w:sz="4" w:space="0" w:color="auto"/>
              <w:left w:val="nil"/>
              <w:right w:val="single" w:sz="4" w:space="0" w:color="auto"/>
            </w:tcBorders>
            <w:shd w:val="clear" w:color="auto" w:fill="auto"/>
            <w:noWrap/>
            <w:vAlign w:val="bottom"/>
            <w:hideMark/>
          </w:tcPr>
          <w:p w14:paraId="1674860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0F45BA1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101DE0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3FAE7C5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3E412D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FB4424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415FC57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1227ED4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0C7993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r>
      <w:tr w:rsidR="00C54BBB" w:rsidRPr="00931966" w14:paraId="49F4615D" w14:textId="77777777" w:rsidTr="00144E82">
        <w:trPr>
          <w:trHeight w:val="385"/>
          <w:jc w:val="center"/>
        </w:trPr>
        <w:tc>
          <w:tcPr>
            <w:tcW w:w="455" w:type="dxa"/>
            <w:vMerge/>
            <w:tcBorders>
              <w:left w:val="nil"/>
              <w:right w:val="nil"/>
            </w:tcBorders>
            <w:shd w:val="clear" w:color="auto" w:fill="E7E6E6" w:themeFill="background2"/>
          </w:tcPr>
          <w:p w14:paraId="4B09E0BF"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54FFE88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7887BD5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0A784F1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47FB3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72097C3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p w14:paraId="70EE628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445CEB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051768C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6E1BFD5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2D2413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171D337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64B936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C629AF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5DE04A6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09231C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38B434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10A1D5C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2B936C2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1A9C0F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785D704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3A8D00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E42333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7CB3195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DE1367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3F25A4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99" w:type="dxa"/>
            <w:tcBorders>
              <w:top w:val="nil"/>
              <w:left w:val="single" w:sz="4" w:space="0" w:color="auto"/>
              <w:bottom w:val="single" w:sz="4" w:space="0" w:color="auto"/>
              <w:right w:val="nil"/>
            </w:tcBorders>
            <w:shd w:val="clear" w:color="auto" w:fill="E7E6E6" w:themeFill="background2"/>
            <w:noWrap/>
            <w:vAlign w:val="bottom"/>
            <w:hideMark/>
          </w:tcPr>
          <w:p w14:paraId="437F204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F070C2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C6925E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E7E6E6" w:themeFill="background2"/>
            <w:noWrap/>
            <w:vAlign w:val="bottom"/>
            <w:hideMark/>
          </w:tcPr>
          <w:p w14:paraId="78DF051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ED4750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79AE75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516" w:type="dxa"/>
            <w:tcBorders>
              <w:top w:val="nil"/>
              <w:left w:val="single" w:sz="4" w:space="0" w:color="auto"/>
              <w:bottom w:val="single" w:sz="4" w:space="0" w:color="auto"/>
              <w:right w:val="nil"/>
            </w:tcBorders>
            <w:shd w:val="clear" w:color="auto" w:fill="E7E6E6" w:themeFill="background2"/>
            <w:noWrap/>
            <w:vAlign w:val="bottom"/>
            <w:hideMark/>
          </w:tcPr>
          <w:p w14:paraId="6CAA8F6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664B901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BE2EAE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75" w:type="dxa"/>
            <w:tcBorders>
              <w:top w:val="nil"/>
              <w:left w:val="nil"/>
              <w:bottom w:val="single" w:sz="4" w:space="0" w:color="auto"/>
              <w:right w:val="single" w:sz="4" w:space="0" w:color="auto"/>
            </w:tcBorders>
            <w:shd w:val="clear" w:color="auto" w:fill="E7E6E6" w:themeFill="background2"/>
            <w:noWrap/>
            <w:vAlign w:val="bottom"/>
            <w:hideMark/>
          </w:tcPr>
          <w:p w14:paraId="4B5AEDD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p w14:paraId="7A6270D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8F18D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1360" w:type="dxa"/>
            <w:gridSpan w:val="2"/>
            <w:vMerge/>
            <w:tcBorders>
              <w:left w:val="single" w:sz="4" w:space="0" w:color="auto"/>
              <w:bottom w:val="single" w:sz="4" w:space="0" w:color="auto"/>
              <w:right w:val="single" w:sz="4" w:space="0" w:color="auto"/>
            </w:tcBorders>
            <w:shd w:val="clear" w:color="auto" w:fill="auto"/>
            <w:noWrap/>
            <w:vAlign w:val="center"/>
            <w:hideMark/>
          </w:tcPr>
          <w:p w14:paraId="65B8769F" w14:textId="77777777" w:rsidR="00C54BBB" w:rsidRPr="00931966" w:rsidRDefault="00C54BBB" w:rsidP="00931966">
            <w:pPr>
              <w:spacing w:after="0" w:line="240" w:lineRule="auto"/>
              <w:jc w:val="center"/>
              <w:rPr>
                <w:rFonts w:ascii="Times" w:hAnsi="Times" w:cs="Times"/>
                <w:sz w:val="20"/>
                <w:szCs w:val="20"/>
              </w:rPr>
            </w:pPr>
          </w:p>
        </w:tc>
        <w:tc>
          <w:tcPr>
            <w:tcW w:w="679" w:type="dxa"/>
            <w:tcBorders>
              <w:top w:val="nil"/>
              <w:left w:val="single" w:sz="4" w:space="0" w:color="auto"/>
              <w:bottom w:val="single" w:sz="4" w:space="0" w:color="auto"/>
              <w:right w:val="nil"/>
            </w:tcBorders>
            <w:shd w:val="clear" w:color="auto" w:fill="auto"/>
            <w:noWrap/>
            <w:vAlign w:val="bottom"/>
            <w:hideMark/>
          </w:tcPr>
          <w:p w14:paraId="70ABAA6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4B4CF7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787DBE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0" w:type="dxa"/>
            <w:tcBorders>
              <w:top w:val="nil"/>
              <w:left w:val="nil"/>
              <w:bottom w:val="single" w:sz="4" w:space="0" w:color="auto"/>
              <w:right w:val="single" w:sz="4" w:space="0" w:color="auto"/>
            </w:tcBorders>
            <w:shd w:val="clear" w:color="auto" w:fill="auto"/>
            <w:noWrap/>
            <w:vAlign w:val="bottom"/>
            <w:hideMark/>
          </w:tcPr>
          <w:p w14:paraId="220CE8D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44C6BF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D7055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79" w:type="dxa"/>
            <w:tcBorders>
              <w:top w:val="nil"/>
              <w:left w:val="single" w:sz="4" w:space="0" w:color="auto"/>
              <w:bottom w:val="single" w:sz="4" w:space="0" w:color="auto"/>
              <w:right w:val="nil"/>
            </w:tcBorders>
            <w:shd w:val="clear" w:color="auto" w:fill="auto"/>
            <w:noWrap/>
            <w:vAlign w:val="bottom"/>
            <w:hideMark/>
          </w:tcPr>
          <w:p w14:paraId="6DF4212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49A8095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E7B2F5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tc>
        <w:tc>
          <w:tcPr>
            <w:tcW w:w="681" w:type="dxa"/>
            <w:tcBorders>
              <w:top w:val="nil"/>
              <w:left w:val="nil"/>
              <w:bottom w:val="single" w:sz="4" w:space="0" w:color="auto"/>
              <w:right w:val="single" w:sz="4" w:space="0" w:color="auto"/>
            </w:tcBorders>
            <w:shd w:val="clear" w:color="auto" w:fill="auto"/>
            <w:noWrap/>
            <w:vAlign w:val="bottom"/>
            <w:hideMark/>
          </w:tcPr>
          <w:p w14:paraId="66D3E33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69BF865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390E87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193397B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B502A0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D68897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left w:val="nil"/>
              <w:bottom w:val="single" w:sz="4" w:space="0" w:color="auto"/>
              <w:right w:val="single" w:sz="4" w:space="0" w:color="auto"/>
            </w:tcBorders>
            <w:shd w:val="clear" w:color="auto" w:fill="auto"/>
            <w:noWrap/>
            <w:vAlign w:val="bottom"/>
            <w:hideMark/>
          </w:tcPr>
          <w:p w14:paraId="2E6E3BB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5F6098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AD8CB1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r>
      <w:tr w:rsidR="00C54BBB" w:rsidRPr="00931966" w14:paraId="10D76A1F" w14:textId="77777777" w:rsidTr="00144E82">
        <w:trPr>
          <w:trHeight w:val="385"/>
          <w:jc w:val="center"/>
        </w:trPr>
        <w:tc>
          <w:tcPr>
            <w:tcW w:w="455" w:type="dxa"/>
            <w:vMerge/>
            <w:tcBorders>
              <w:left w:val="nil"/>
              <w:right w:val="nil"/>
            </w:tcBorders>
            <w:shd w:val="clear" w:color="auto" w:fill="E7E6E6" w:themeFill="background2"/>
          </w:tcPr>
          <w:p w14:paraId="3F47FA1D"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single" w:sz="4" w:space="0" w:color="auto"/>
              <w:left w:val="nil"/>
              <w:right w:val="nil"/>
            </w:tcBorders>
            <w:shd w:val="clear" w:color="auto" w:fill="E7E6E6" w:themeFill="background2"/>
            <w:noWrap/>
            <w:vAlign w:val="center"/>
            <w:hideMark/>
          </w:tcPr>
          <w:p w14:paraId="4752EF6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53B6CCC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6DA0AD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5DF98B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3DF1F1C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05D4541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DAA4A5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48F406D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4B62D6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BF8D26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43ADDC7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7FF0A47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DE2492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7D1CB0B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0B5012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AF9FB8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4" w:type="dxa"/>
            <w:tcBorders>
              <w:top w:val="single" w:sz="4" w:space="0" w:color="auto"/>
              <w:left w:val="nil"/>
              <w:right w:val="single" w:sz="4" w:space="0" w:color="auto"/>
            </w:tcBorders>
            <w:shd w:val="clear" w:color="auto" w:fill="E7E6E6" w:themeFill="background2"/>
            <w:noWrap/>
            <w:vAlign w:val="bottom"/>
            <w:hideMark/>
          </w:tcPr>
          <w:p w14:paraId="7333330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0E3943E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EDA1F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5" w:type="dxa"/>
            <w:tcBorders>
              <w:top w:val="single" w:sz="4" w:space="0" w:color="auto"/>
              <w:left w:val="single" w:sz="4" w:space="0" w:color="auto"/>
              <w:right w:val="nil"/>
            </w:tcBorders>
            <w:shd w:val="clear" w:color="auto" w:fill="E7E6E6" w:themeFill="background2"/>
            <w:noWrap/>
            <w:vAlign w:val="bottom"/>
            <w:hideMark/>
          </w:tcPr>
          <w:p w14:paraId="486C814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05A7C81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0B3477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48CA3DE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11B6C42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8FED3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799" w:type="dxa"/>
            <w:tcBorders>
              <w:top w:val="single" w:sz="4" w:space="0" w:color="auto"/>
              <w:left w:val="single" w:sz="4" w:space="0" w:color="auto"/>
              <w:right w:val="nil"/>
            </w:tcBorders>
            <w:shd w:val="clear" w:color="auto" w:fill="E7E6E6" w:themeFill="background2"/>
            <w:noWrap/>
            <w:vAlign w:val="bottom"/>
            <w:hideMark/>
          </w:tcPr>
          <w:p w14:paraId="4B8B9FF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68553F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3F25D1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E7E6E6" w:themeFill="background2"/>
            <w:noWrap/>
            <w:vAlign w:val="bottom"/>
            <w:hideMark/>
          </w:tcPr>
          <w:p w14:paraId="03EAA7C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p w14:paraId="5C3273E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6942D4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516" w:type="dxa"/>
            <w:tcBorders>
              <w:top w:val="single" w:sz="4" w:space="0" w:color="auto"/>
              <w:left w:val="single" w:sz="4" w:space="0" w:color="auto"/>
              <w:right w:val="nil"/>
            </w:tcBorders>
            <w:shd w:val="clear" w:color="auto" w:fill="E7E6E6" w:themeFill="background2"/>
            <w:noWrap/>
            <w:vAlign w:val="bottom"/>
            <w:hideMark/>
          </w:tcPr>
          <w:p w14:paraId="4D99823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524484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F5814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single" w:sz="4" w:space="0" w:color="auto"/>
              <w:left w:val="nil"/>
              <w:right w:val="single" w:sz="4" w:space="0" w:color="auto"/>
            </w:tcBorders>
            <w:shd w:val="clear" w:color="auto" w:fill="E7E6E6" w:themeFill="background2"/>
            <w:noWrap/>
            <w:vAlign w:val="bottom"/>
            <w:hideMark/>
          </w:tcPr>
          <w:p w14:paraId="046DE84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0773961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852156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E7E6E6" w:themeFill="background2"/>
            <w:noWrap/>
            <w:vAlign w:val="bottom"/>
            <w:hideMark/>
          </w:tcPr>
          <w:p w14:paraId="000CAFF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1C8828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44389E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E7E6E6" w:themeFill="background2"/>
            <w:noWrap/>
            <w:vAlign w:val="bottom"/>
            <w:hideMark/>
          </w:tcPr>
          <w:p w14:paraId="2E0E076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6B3FC43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856938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1359"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7C65472D"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
            </w:r>
          </w:p>
          <w:p w14:paraId="5468739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DL+HKSJ</w:t>
            </w:r>
          </w:p>
        </w:tc>
        <w:tc>
          <w:tcPr>
            <w:tcW w:w="679" w:type="dxa"/>
            <w:tcBorders>
              <w:top w:val="single" w:sz="4" w:space="0" w:color="auto"/>
              <w:left w:val="single" w:sz="4" w:space="0" w:color="auto"/>
              <w:right w:val="nil"/>
            </w:tcBorders>
            <w:shd w:val="clear" w:color="auto" w:fill="auto"/>
            <w:noWrap/>
            <w:vAlign w:val="bottom"/>
            <w:hideMark/>
          </w:tcPr>
          <w:p w14:paraId="46277DF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417335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1A1BB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81" w:type="dxa"/>
            <w:tcBorders>
              <w:top w:val="single" w:sz="4" w:space="0" w:color="auto"/>
              <w:left w:val="nil"/>
              <w:right w:val="single" w:sz="4" w:space="0" w:color="auto"/>
            </w:tcBorders>
            <w:shd w:val="clear" w:color="auto" w:fill="auto"/>
            <w:noWrap/>
            <w:vAlign w:val="bottom"/>
            <w:hideMark/>
          </w:tcPr>
          <w:p w14:paraId="39A6772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4236D39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C5F097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825" w:type="dxa"/>
            <w:tcBorders>
              <w:top w:val="single" w:sz="4" w:space="0" w:color="auto"/>
              <w:left w:val="single" w:sz="4" w:space="0" w:color="auto"/>
              <w:right w:val="nil"/>
            </w:tcBorders>
            <w:shd w:val="clear" w:color="auto" w:fill="auto"/>
            <w:noWrap/>
            <w:vAlign w:val="bottom"/>
            <w:hideMark/>
          </w:tcPr>
          <w:p w14:paraId="74FADF0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574A6C8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333DC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11D6E6D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p w14:paraId="7C62D29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636012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tc>
      </w:tr>
      <w:tr w:rsidR="00C54BBB" w:rsidRPr="00931966" w14:paraId="01A6D514" w14:textId="77777777" w:rsidTr="00144E82">
        <w:trPr>
          <w:trHeight w:val="385"/>
          <w:jc w:val="center"/>
        </w:trPr>
        <w:tc>
          <w:tcPr>
            <w:tcW w:w="455" w:type="dxa"/>
            <w:vMerge/>
            <w:tcBorders>
              <w:left w:val="nil"/>
              <w:right w:val="nil"/>
            </w:tcBorders>
            <w:shd w:val="clear" w:color="auto" w:fill="E7E6E6" w:themeFill="background2"/>
          </w:tcPr>
          <w:p w14:paraId="330EF437"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5FBBAA5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3D83771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777CAE3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534F77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5C061E3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71C3091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4085A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605450D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DADA3D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9734C3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4740B7E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8DBB01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EFE814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44B13E8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EB7B4E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8A4CEA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75998FD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F3153B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265C7D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55B0183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F9E982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40E32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6E56D26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3D218E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E120FF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99" w:type="dxa"/>
            <w:tcBorders>
              <w:top w:val="nil"/>
              <w:left w:val="single" w:sz="4" w:space="0" w:color="auto"/>
              <w:bottom w:val="single" w:sz="4" w:space="0" w:color="auto"/>
              <w:right w:val="nil"/>
            </w:tcBorders>
            <w:shd w:val="clear" w:color="auto" w:fill="E7E6E6" w:themeFill="background2"/>
            <w:noWrap/>
            <w:vAlign w:val="bottom"/>
            <w:hideMark/>
          </w:tcPr>
          <w:p w14:paraId="15FC2DF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67CE4B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05EA42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709" w:type="dxa"/>
            <w:tcBorders>
              <w:top w:val="nil"/>
              <w:left w:val="nil"/>
              <w:bottom w:val="single" w:sz="4" w:space="0" w:color="auto"/>
              <w:right w:val="single" w:sz="4" w:space="0" w:color="auto"/>
            </w:tcBorders>
            <w:shd w:val="clear" w:color="auto" w:fill="E7E6E6" w:themeFill="background2"/>
            <w:noWrap/>
            <w:vAlign w:val="bottom"/>
            <w:hideMark/>
          </w:tcPr>
          <w:p w14:paraId="49CC796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45A73A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D14CDD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516" w:type="dxa"/>
            <w:tcBorders>
              <w:top w:val="nil"/>
              <w:left w:val="single" w:sz="4" w:space="0" w:color="auto"/>
              <w:bottom w:val="single" w:sz="4" w:space="0" w:color="auto"/>
              <w:right w:val="nil"/>
            </w:tcBorders>
            <w:shd w:val="clear" w:color="auto" w:fill="E7E6E6" w:themeFill="background2"/>
            <w:noWrap/>
            <w:vAlign w:val="bottom"/>
            <w:hideMark/>
          </w:tcPr>
          <w:p w14:paraId="0228FBE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954CE7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581AD9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nil"/>
              <w:bottom w:val="single" w:sz="4" w:space="0" w:color="auto"/>
              <w:right w:val="single" w:sz="4" w:space="0" w:color="auto"/>
            </w:tcBorders>
            <w:shd w:val="clear" w:color="auto" w:fill="E7E6E6" w:themeFill="background2"/>
            <w:noWrap/>
            <w:vAlign w:val="bottom"/>
            <w:hideMark/>
          </w:tcPr>
          <w:p w14:paraId="1AEE065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3875710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C7DC8F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5093D17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1D7E0B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1D439B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E7E6E6" w:themeFill="background2"/>
            <w:noWrap/>
            <w:vAlign w:val="bottom"/>
            <w:hideMark/>
          </w:tcPr>
          <w:p w14:paraId="25B844D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293651B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3E8956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1359" w:type="dxa"/>
            <w:gridSpan w:val="2"/>
            <w:vMerge/>
            <w:tcBorders>
              <w:left w:val="single" w:sz="4" w:space="0" w:color="auto"/>
              <w:bottom w:val="single" w:sz="4" w:space="0" w:color="auto"/>
              <w:right w:val="single" w:sz="4" w:space="0" w:color="auto"/>
            </w:tcBorders>
            <w:shd w:val="clear" w:color="auto" w:fill="auto"/>
            <w:noWrap/>
            <w:vAlign w:val="center"/>
            <w:hideMark/>
          </w:tcPr>
          <w:p w14:paraId="2CB80FF8" w14:textId="77777777" w:rsidR="00C54BBB" w:rsidRPr="00931966" w:rsidRDefault="00C54BBB" w:rsidP="00931966">
            <w:pPr>
              <w:spacing w:after="0" w:line="240" w:lineRule="auto"/>
              <w:jc w:val="center"/>
              <w:rPr>
                <w:rFonts w:ascii="Times" w:hAnsi="Times" w:cs="Times"/>
                <w:sz w:val="20"/>
                <w:szCs w:val="20"/>
              </w:rPr>
            </w:pPr>
          </w:p>
        </w:tc>
        <w:tc>
          <w:tcPr>
            <w:tcW w:w="679" w:type="dxa"/>
            <w:tcBorders>
              <w:top w:val="nil"/>
              <w:left w:val="single" w:sz="4" w:space="0" w:color="auto"/>
              <w:bottom w:val="single" w:sz="4" w:space="0" w:color="auto"/>
              <w:right w:val="nil"/>
            </w:tcBorders>
            <w:shd w:val="clear" w:color="auto" w:fill="auto"/>
            <w:noWrap/>
            <w:vAlign w:val="bottom"/>
            <w:hideMark/>
          </w:tcPr>
          <w:p w14:paraId="2C49737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8E0467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EFB5A8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auto"/>
            <w:noWrap/>
            <w:vAlign w:val="bottom"/>
            <w:hideMark/>
          </w:tcPr>
          <w:p w14:paraId="3BCDDCF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3A1DDF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CE4E4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825" w:type="dxa"/>
            <w:tcBorders>
              <w:top w:val="nil"/>
              <w:left w:val="single" w:sz="4" w:space="0" w:color="auto"/>
              <w:bottom w:val="single" w:sz="4" w:space="0" w:color="auto"/>
              <w:right w:val="nil"/>
            </w:tcBorders>
            <w:shd w:val="clear" w:color="auto" w:fill="auto"/>
            <w:noWrap/>
            <w:vAlign w:val="bottom"/>
            <w:hideMark/>
          </w:tcPr>
          <w:p w14:paraId="2C9F224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FF23DF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B3F9CC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left w:val="nil"/>
              <w:bottom w:val="single" w:sz="4" w:space="0" w:color="auto"/>
              <w:right w:val="single" w:sz="4" w:space="0" w:color="auto"/>
            </w:tcBorders>
            <w:shd w:val="clear" w:color="auto" w:fill="auto"/>
            <w:noWrap/>
            <w:vAlign w:val="bottom"/>
            <w:hideMark/>
          </w:tcPr>
          <w:p w14:paraId="126E176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48451C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341780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r>
      <w:tr w:rsidR="00C54BBB" w:rsidRPr="00931966" w14:paraId="3A9E5268" w14:textId="77777777" w:rsidTr="00144E82">
        <w:trPr>
          <w:trHeight w:val="385"/>
          <w:jc w:val="center"/>
        </w:trPr>
        <w:tc>
          <w:tcPr>
            <w:tcW w:w="455" w:type="dxa"/>
            <w:vMerge/>
            <w:tcBorders>
              <w:left w:val="nil"/>
              <w:right w:val="nil"/>
            </w:tcBorders>
            <w:shd w:val="clear" w:color="auto" w:fill="E7E6E6" w:themeFill="background2"/>
          </w:tcPr>
          <w:p w14:paraId="784911A5"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single" w:sz="4" w:space="0" w:color="auto"/>
              <w:left w:val="nil"/>
              <w:right w:val="nil"/>
            </w:tcBorders>
            <w:shd w:val="clear" w:color="auto" w:fill="E7E6E6" w:themeFill="background2"/>
            <w:noWrap/>
            <w:vAlign w:val="center"/>
            <w:hideMark/>
          </w:tcPr>
          <w:p w14:paraId="2636CC5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1F48FCF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E1C884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7A43C9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32B56D4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752E49B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BCF7E5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322E058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A95E70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CDB89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16301F2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4F28C76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A76B44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66EDE26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4F144E0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901777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4" w:type="dxa"/>
            <w:tcBorders>
              <w:top w:val="single" w:sz="4" w:space="0" w:color="auto"/>
              <w:left w:val="nil"/>
              <w:right w:val="single" w:sz="4" w:space="0" w:color="auto"/>
            </w:tcBorders>
            <w:shd w:val="clear" w:color="auto" w:fill="E7E6E6" w:themeFill="background2"/>
            <w:noWrap/>
            <w:vAlign w:val="bottom"/>
            <w:hideMark/>
          </w:tcPr>
          <w:p w14:paraId="2851212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4B71472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3C3A4A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675" w:type="dxa"/>
            <w:tcBorders>
              <w:top w:val="single" w:sz="4" w:space="0" w:color="auto"/>
              <w:left w:val="single" w:sz="4" w:space="0" w:color="auto"/>
              <w:right w:val="nil"/>
            </w:tcBorders>
            <w:shd w:val="clear" w:color="auto" w:fill="E7E6E6" w:themeFill="background2"/>
            <w:noWrap/>
            <w:vAlign w:val="bottom"/>
            <w:hideMark/>
          </w:tcPr>
          <w:p w14:paraId="139022F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1B9AFD9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3FFF7E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2DD6358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0DD0695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66EF2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799" w:type="dxa"/>
            <w:tcBorders>
              <w:top w:val="single" w:sz="4" w:space="0" w:color="auto"/>
              <w:left w:val="single" w:sz="4" w:space="0" w:color="auto"/>
              <w:right w:val="nil"/>
            </w:tcBorders>
            <w:shd w:val="clear" w:color="auto" w:fill="E7E6E6" w:themeFill="background2"/>
            <w:noWrap/>
            <w:vAlign w:val="bottom"/>
            <w:hideMark/>
          </w:tcPr>
          <w:p w14:paraId="7AF160E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91EEDB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293162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09" w:type="dxa"/>
            <w:tcBorders>
              <w:top w:val="single" w:sz="4" w:space="0" w:color="auto"/>
              <w:left w:val="nil"/>
              <w:right w:val="single" w:sz="4" w:space="0" w:color="auto"/>
            </w:tcBorders>
            <w:shd w:val="clear" w:color="auto" w:fill="E7E6E6" w:themeFill="background2"/>
            <w:noWrap/>
            <w:vAlign w:val="bottom"/>
            <w:hideMark/>
          </w:tcPr>
          <w:p w14:paraId="6FC562E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0270337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573970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516" w:type="dxa"/>
            <w:tcBorders>
              <w:top w:val="single" w:sz="4" w:space="0" w:color="auto"/>
              <w:left w:val="single" w:sz="4" w:space="0" w:color="auto"/>
              <w:right w:val="nil"/>
            </w:tcBorders>
            <w:shd w:val="clear" w:color="auto" w:fill="E7E6E6" w:themeFill="background2"/>
            <w:noWrap/>
            <w:vAlign w:val="bottom"/>
            <w:hideMark/>
          </w:tcPr>
          <w:p w14:paraId="5E75BAD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58EA08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B138A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5" w:type="dxa"/>
            <w:tcBorders>
              <w:top w:val="single" w:sz="4" w:space="0" w:color="auto"/>
              <w:left w:val="nil"/>
              <w:right w:val="single" w:sz="4" w:space="0" w:color="auto"/>
            </w:tcBorders>
            <w:shd w:val="clear" w:color="auto" w:fill="E7E6E6" w:themeFill="background2"/>
            <w:noWrap/>
            <w:vAlign w:val="bottom"/>
            <w:hideMark/>
          </w:tcPr>
          <w:p w14:paraId="48D64D4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p w14:paraId="60609AD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5217E2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9" w:type="dxa"/>
            <w:tcBorders>
              <w:top w:val="single" w:sz="4" w:space="0" w:color="auto"/>
              <w:left w:val="single" w:sz="4" w:space="0" w:color="auto"/>
              <w:right w:val="nil"/>
            </w:tcBorders>
            <w:shd w:val="clear" w:color="auto" w:fill="E7E6E6" w:themeFill="background2"/>
            <w:noWrap/>
            <w:vAlign w:val="bottom"/>
            <w:hideMark/>
          </w:tcPr>
          <w:p w14:paraId="20F179A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AD4F3A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9339E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1" w:type="dxa"/>
            <w:tcBorders>
              <w:top w:val="single" w:sz="4" w:space="0" w:color="auto"/>
              <w:left w:val="nil"/>
              <w:right w:val="single" w:sz="4" w:space="0" w:color="auto"/>
            </w:tcBorders>
            <w:shd w:val="clear" w:color="auto" w:fill="E7E6E6" w:themeFill="background2"/>
            <w:noWrap/>
            <w:vAlign w:val="bottom"/>
            <w:hideMark/>
          </w:tcPr>
          <w:p w14:paraId="592171F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731EE8A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3D01E2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9" w:type="dxa"/>
            <w:tcBorders>
              <w:top w:val="single" w:sz="4" w:space="0" w:color="auto"/>
              <w:left w:val="single" w:sz="4" w:space="0" w:color="auto"/>
              <w:right w:val="nil"/>
            </w:tcBorders>
            <w:shd w:val="clear" w:color="auto" w:fill="E7E6E6" w:themeFill="background2"/>
            <w:noWrap/>
            <w:vAlign w:val="bottom"/>
            <w:hideMark/>
          </w:tcPr>
          <w:p w14:paraId="622226D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3381FE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2CC40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0" w:type="dxa"/>
            <w:tcBorders>
              <w:top w:val="single" w:sz="4" w:space="0" w:color="auto"/>
              <w:left w:val="nil"/>
              <w:right w:val="single" w:sz="4" w:space="0" w:color="auto"/>
            </w:tcBorders>
            <w:shd w:val="clear" w:color="auto" w:fill="E7E6E6" w:themeFill="background2"/>
            <w:noWrap/>
            <w:vAlign w:val="bottom"/>
            <w:hideMark/>
          </w:tcPr>
          <w:p w14:paraId="6F69E61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4CADB3A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ED14A9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1360"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7E2806B4"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
            </w:r>
          </w:p>
          <w:p w14:paraId="609624E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b/>
                <w:bCs/>
                <w:sz w:val="20"/>
                <w:szCs w:val="20"/>
              </w:rPr>
              <w:t>REML+WT</w:t>
            </w:r>
          </w:p>
        </w:tc>
        <w:tc>
          <w:tcPr>
            <w:tcW w:w="825" w:type="dxa"/>
            <w:tcBorders>
              <w:top w:val="single" w:sz="4" w:space="0" w:color="auto"/>
              <w:left w:val="single" w:sz="4" w:space="0" w:color="auto"/>
              <w:right w:val="nil"/>
            </w:tcBorders>
            <w:shd w:val="clear" w:color="auto" w:fill="auto"/>
            <w:noWrap/>
            <w:vAlign w:val="bottom"/>
            <w:hideMark/>
          </w:tcPr>
          <w:p w14:paraId="7B12489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0778D70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1DDE44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auto"/>
            <w:noWrap/>
            <w:vAlign w:val="bottom"/>
            <w:hideMark/>
          </w:tcPr>
          <w:p w14:paraId="788C907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438E7F3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CB443E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r>
      <w:tr w:rsidR="00C54BBB" w:rsidRPr="00931966" w14:paraId="41A3109E" w14:textId="77777777" w:rsidTr="00144E82">
        <w:trPr>
          <w:trHeight w:val="385"/>
          <w:jc w:val="center"/>
        </w:trPr>
        <w:tc>
          <w:tcPr>
            <w:tcW w:w="455" w:type="dxa"/>
            <w:vMerge/>
            <w:tcBorders>
              <w:left w:val="nil"/>
              <w:right w:val="nil"/>
            </w:tcBorders>
            <w:shd w:val="clear" w:color="auto" w:fill="E7E6E6" w:themeFill="background2"/>
          </w:tcPr>
          <w:p w14:paraId="66CC36EC"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4363DF1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697249A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0804C6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500093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5D6EA89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7945D33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6C4A73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414FD8B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2F391E3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D4855D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1B1194E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C8A81E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8A5DA1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4DACDBD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7B7B342D"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08D977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12F8601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D8BEEA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C4E9C3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4ECC8C6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83326C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D62A40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4C3CCD8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3A4CA0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73E6FAD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99" w:type="dxa"/>
            <w:tcBorders>
              <w:top w:val="nil"/>
              <w:left w:val="single" w:sz="4" w:space="0" w:color="auto"/>
              <w:bottom w:val="single" w:sz="4" w:space="0" w:color="auto"/>
              <w:right w:val="nil"/>
            </w:tcBorders>
            <w:shd w:val="clear" w:color="auto" w:fill="E7E6E6" w:themeFill="background2"/>
            <w:noWrap/>
            <w:vAlign w:val="bottom"/>
            <w:hideMark/>
          </w:tcPr>
          <w:p w14:paraId="7F318F1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2B4C9F0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57ED39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top w:val="nil"/>
              <w:left w:val="nil"/>
              <w:bottom w:val="single" w:sz="4" w:space="0" w:color="auto"/>
              <w:right w:val="single" w:sz="4" w:space="0" w:color="auto"/>
            </w:tcBorders>
            <w:shd w:val="clear" w:color="auto" w:fill="E7E6E6" w:themeFill="background2"/>
            <w:noWrap/>
            <w:vAlign w:val="bottom"/>
            <w:hideMark/>
          </w:tcPr>
          <w:p w14:paraId="5D88638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46029A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82B018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516" w:type="dxa"/>
            <w:tcBorders>
              <w:top w:val="nil"/>
              <w:left w:val="single" w:sz="4" w:space="0" w:color="auto"/>
              <w:bottom w:val="single" w:sz="4" w:space="0" w:color="auto"/>
              <w:right w:val="nil"/>
            </w:tcBorders>
            <w:shd w:val="clear" w:color="auto" w:fill="E7E6E6" w:themeFill="background2"/>
            <w:noWrap/>
            <w:vAlign w:val="bottom"/>
            <w:hideMark/>
          </w:tcPr>
          <w:p w14:paraId="74E6564E"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4389EC5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D3D99B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5" w:type="dxa"/>
            <w:tcBorders>
              <w:top w:val="nil"/>
              <w:left w:val="nil"/>
              <w:bottom w:val="single" w:sz="4" w:space="0" w:color="auto"/>
              <w:right w:val="single" w:sz="4" w:space="0" w:color="auto"/>
            </w:tcBorders>
            <w:shd w:val="clear" w:color="auto" w:fill="E7E6E6" w:themeFill="background2"/>
            <w:noWrap/>
            <w:vAlign w:val="bottom"/>
            <w:hideMark/>
          </w:tcPr>
          <w:p w14:paraId="5F3E7A2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5</w:t>
            </w:r>
          </w:p>
          <w:p w14:paraId="7AE0723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F89CE1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34B33D3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5B40350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9403E4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1" w:type="dxa"/>
            <w:tcBorders>
              <w:top w:val="nil"/>
              <w:left w:val="nil"/>
              <w:bottom w:val="single" w:sz="4" w:space="0" w:color="auto"/>
              <w:right w:val="single" w:sz="4" w:space="0" w:color="auto"/>
            </w:tcBorders>
            <w:shd w:val="clear" w:color="auto" w:fill="E7E6E6" w:themeFill="background2"/>
            <w:noWrap/>
            <w:vAlign w:val="bottom"/>
            <w:hideMark/>
          </w:tcPr>
          <w:p w14:paraId="40A18AEC"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105B5FD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C79A33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0177271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5324248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C993FB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0" w:type="dxa"/>
            <w:tcBorders>
              <w:top w:val="nil"/>
              <w:left w:val="nil"/>
              <w:bottom w:val="single" w:sz="4" w:space="0" w:color="auto"/>
              <w:right w:val="single" w:sz="4" w:space="0" w:color="auto"/>
            </w:tcBorders>
            <w:shd w:val="clear" w:color="auto" w:fill="E7E6E6" w:themeFill="background2"/>
            <w:noWrap/>
            <w:vAlign w:val="bottom"/>
            <w:hideMark/>
          </w:tcPr>
          <w:p w14:paraId="0E2DD5B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F6C10C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FCCEA4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1360" w:type="dxa"/>
            <w:gridSpan w:val="2"/>
            <w:vMerge/>
            <w:tcBorders>
              <w:left w:val="single" w:sz="4" w:space="0" w:color="auto"/>
              <w:bottom w:val="single" w:sz="4" w:space="0" w:color="auto"/>
              <w:right w:val="single" w:sz="4" w:space="0" w:color="auto"/>
            </w:tcBorders>
            <w:shd w:val="clear" w:color="auto" w:fill="auto"/>
            <w:noWrap/>
            <w:vAlign w:val="center"/>
            <w:hideMark/>
          </w:tcPr>
          <w:p w14:paraId="334477EA" w14:textId="77777777" w:rsidR="00C54BBB" w:rsidRPr="00931966" w:rsidRDefault="00C54BBB" w:rsidP="00931966">
            <w:pPr>
              <w:spacing w:after="0" w:line="240" w:lineRule="auto"/>
              <w:jc w:val="center"/>
              <w:rPr>
                <w:rFonts w:ascii="Times" w:hAnsi="Times" w:cs="Times"/>
                <w:sz w:val="20"/>
                <w:szCs w:val="20"/>
              </w:rPr>
            </w:pPr>
          </w:p>
        </w:tc>
        <w:tc>
          <w:tcPr>
            <w:tcW w:w="825" w:type="dxa"/>
            <w:tcBorders>
              <w:top w:val="nil"/>
              <w:left w:val="single" w:sz="4" w:space="0" w:color="auto"/>
              <w:bottom w:val="single" w:sz="4" w:space="0" w:color="auto"/>
              <w:right w:val="nil"/>
            </w:tcBorders>
            <w:shd w:val="clear" w:color="auto" w:fill="auto"/>
            <w:noWrap/>
            <w:vAlign w:val="bottom"/>
            <w:hideMark/>
          </w:tcPr>
          <w:p w14:paraId="64B928D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2E60C25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10C04E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709" w:type="dxa"/>
            <w:tcBorders>
              <w:left w:val="nil"/>
              <w:bottom w:val="single" w:sz="4" w:space="0" w:color="auto"/>
              <w:right w:val="single" w:sz="4" w:space="0" w:color="auto"/>
            </w:tcBorders>
            <w:shd w:val="clear" w:color="auto" w:fill="auto"/>
            <w:noWrap/>
            <w:vAlign w:val="bottom"/>
            <w:hideMark/>
          </w:tcPr>
          <w:p w14:paraId="552408F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62782A9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707CF28"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r>
      <w:tr w:rsidR="00C54BBB" w:rsidRPr="00931966" w14:paraId="6B442F28" w14:textId="77777777" w:rsidTr="00144E82">
        <w:trPr>
          <w:trHeight w:val="385"/>
          <w:jc w:val="center"/>
        </w:trPr>
        <w:tc>
          <w:tcPr>
            <w:tcW w:w="455" w:type="dxa"/>
            <w:vMerge/>
            <w:tcBorders>
              <w:left w:val="nil"/>
              <w:right w:val="nil"/>
            </w:tcBorders>
            <w:shd w:val="clear" w:color="auto" w:fill="E7E6E6" w:themeFill="background2"/>
          </w:tcPr>
          <w:p w14:paraId="27C14422"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single" w:sz="4" w:space="0" w:color="auto"/>
              <w:left w:val="nil"/>
              <w:right w:val="nil"/>
            </w:tcBorders>
            <w:shd w:val="clear" w:color="auto" w:fill="E7E6E6" w:themeFill="background2"/>
            <w:noWrap/>
            <w:vAlign w:val="center"/>
            <w:hideMark/>
          </w:tcPr>
          <w:p w14:paraId="3C5F91D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p≥0.05</w:t>
            </w:r>
          </w:p>
        </w:tc>
        <w:tc>
          <w:tcPr>
            <w:tcW w:w="672" w:type="dxa"/>
            <w:tcBorders>
              <w:top w:val="single" w:sz="4" w:space="0" w:color="auto"/>
              <w:left w:val="nil"/>
              <w:right w:val="nil"/>
            </w:tcBorders>
            <w:shd w:val="clear" w:color="auto" w:fill="E7E6E6" w:themeFill="background2"/>
            <w:noWrap/>
            <w:vAlign w:val="bottom"/>
            <w:hideMark/>
          </w:tcPr>
          <w:p w14:paraId="39699AA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35EB41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32F8B69"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3" w:type="dxa"/>
            <w:tcBorders>
              <w:top w:val="single" w:sz="4" w:space="0" w:color="auto"/>
              <w:left w:val="nil"/>
              <w:right w:val="single" w:sz="4" w:space="0" w:color="auto"/>
            </w:tcBorders>
            <w:shd w:val="clear" w:color="auto" w:fill="E7E6E6" w:themeFill="background2"/>
            <w:noWrap/>
            <w:vAlign w:val="bottom"/>
            <w:hideMark/>
          </w:tcPr>
          <w:p w14:paraId="5203DF5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799BB5D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59B000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tc>
        <w:tc>
          <w:tcPr>
            <w:tcW w:w="675" w:type="dxa"/>
            <w:tcBorders>
              <w:top w:val="single" w:sz="4" w:space="0" w:color="auto"/>
              <w:left w:val="single" w:sz="4" w:space="0" w:color="auto"/>
              <w:right w:val="nil"/>
            </w:tcBorders>
            <w:shd w:val="clear" w:color="auto" w:fill="E7E6E6" w:themeFill="background2"/>
            <w:noWrap/>
            <w:vAlign w:val="bottom"/>
            <w:hideMark/>
          </w:tcPr>
          <w:p w14:paraId="065CABA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2C3174A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0557F8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6B0AAC8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p w14:paraId="138A416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9FC5D8B"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10</w:t>
            </w:r>
          </w:p>
        </w:tc>
        <w:tc>
          <w:tcPr>
            <w:tcW w:w="675" w:type="dxa"/>
            <w:tcBorders>
              <w:top w:val="single" w:sz="4" w:space="0" w:color="auto"/>
              <w:left w:val="single" w:sz="4" w:space="0" w:color="auto"/>
              <w:right w:val="nil"/>
            </w:tcBorders>
            <w:shd w:val="clear" w:color="auto" w:fill="E7E6E6" w:themeFill="background2"/>
            <w:noWrap/>
            <w:vAlign w:val="bottom"/>
            <w:hideMark/>
          </w:tcPr>
          <w:p w14:paraId="219D75C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0BB92A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6F50DB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4" w:type="dxa"/>
            <w:tcBorders>
              <w:top w:val="single" w:sz="4" w:space="0" w:color="auto"/>
              <w:left w:val="nil"/>
              <w:right w:val="single" w:sz="4" w:space="0" w:color="auto"/>
            </w:tcBorders>
            <w:shd w:val="clear" w:color="auto" w:fill="E7E6E6" w:themeFill="background2"/>
            <w:noWrap/>
            <w:vAlign w:val="bottom"/>
            <w:hideMark/>
          </w:tcPr>
          <w:p w14:paraId="221B2C0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0774AB2A"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1D71A97"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675" w:type="dxa"/>
            <w:tcBorders>
              <w:top w:val="single" w:sz="4" w:space="0" w:color="auto"/>
              <w:left w:val="single" w:sz="4" w:space="0" w:color="auto"/>
              <w:right w:val="nil"/>
            </w:tcBorders>
            <w:shd w:val="clear" w:color="auto" w:fill="E7E6E6" w:themeFill="background2"/>
            <w:noWrap/>
            <w:vAlign w:val="bottom"/>
            <w:hideMark/>
          </w:tcPr>
          <w:p w14:paraId="5423CC66"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7C65521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60A87C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6" w:type="dxa"/>
            <w:tcBorders>
              <w:top w:val="single" w:sz="4" w:space="0" w:color="auto"/>
              <w:left w:val="nil"/>
              <w:right w:val="single" w:sz="4" w:space="0" w:color="auto"/>
            </w:tcBorders>
            <w:shd w:val="clear" w:color="auto" w:fill="E7E6E6" w:themeFill="background2"/>
            <w:noWrap/>
            <w:vAlign w:val="bottom"/>
            <w:hideMark/>
          </w:tcPr>
          <w:p w14:paraId="6D06E3D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3C5F51B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FCEFD0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799" w:type="dxa"/>
            <w:tcBorders>
              <w:top w:val="single" w:sz="4" w:space="0" w:color="auto"/>
              <w:left w:val="single" w:sz="4" w:space="0" w:color="auto"/>
              <w:right w:val="nil"/>
            </w:tcBorders>
            <w:shd w:val="clear" w:color="auto" w:fill="E7E6E6" w:themeFill="background2"/>
            <w:noWrap/>
            <w:vAlign w:val="bottom"/>
            <w:hideMark/>
          </w:tcPr>
          <w:p w14:paraId="32CEA335"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3C57E6A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33913B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709" w:type="dxa"/>
            <w:tcBorders>
              <w:top w:val="single" w:sz="4" w:space="0" w:color="auto"/>
              <w:left w:val="nil"/>
              <w:right w:val="single" w:sz="4" w:space="0" w:color="auto"/>
            </w:tcBorders>
            <w:shd w:val="clear" w:color="auto" w:fill="E7E6E6" w:themeFill="background2"/>
            <w:noWrap/>
            <w:vAlign w:val="bottom"/>
            <w:hideMark/>
          </w:tcPr>
          <w:p w14:paraId="0FB685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p w14:paraId="68355BD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211C33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516" w:type="dxa"/>
            <w:tcBorders>
              <w:top w:val="single" w:sz="4" w:space="0" w:color="auto"/>
              <w:left w:val="single" w:sz="4" w:space="0" w:color="auto"/>
              <w:right w:val="nil"/>
            </w:tcBorders>
            <w:shd w:val="clear" w:color="auto" w:fill="E7E6E6" w:themeFill="background2"/>
            <w:noWrap/>
            <w:vAlign w:val="bottom"/>
            <w:hideMark/>
          </w:tcPr>
          <w:p w14:paraId="5E7BDD7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0EC040F"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964878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single" w:sz="4" w:space="0" w:color="auto"/>
              <w:left w:val="nil"/>
              <w:right w:val="single" w:sz="4" w:space="0" w:color="auto"/>
            </w:tcBorders>
            <w:shd w:val="clear" w:color="auto" w:fill="E7E6E6" w:themeFill="background2"/>
            <w:noWrap/>
            <w:vAlign w:val="bottom"/>
            <w:hideMark/>
          </w:tcPr>
          <w:p w14:paraId="70AFCB8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231F446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18FAE7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9</w:t>
            </w:r>
          </w:p>
        </w:tc>
        <w:tc>
          <w:tcPr>
            <w:tcW w:w="679" w:type="dxa"/>
            <w:tcBorders>
              <w:top w:val="single" w:sz="4" w:space="0" w:color="auto"/>
              <w:left w:val="single" w:sz="4" w:space="0" w:color="auto"/>
              <w:right w:val="nil"/>
            </w:tcBorders>
            <w:shd w:val="clear" w:color="auto" w:fill="E7E6E6" w:themeFill="background2"/>
            <w:noWrap/>
            <w:vAlign w:val="bottom"/>
            <w:hideMark/>
          </w:tcPr>
          <w:p w14:paraId="0023A6B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2BEFAB7"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3A5341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E7E6E6" w:themeFill="background2"/>
            <w:noWrap/>
            <w:vAlign w:val="bottom"/>
            <w:hideMark/>
          </w:tcPr>
          <w:p w14:paraId="13CBBF8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p w14:paraId="0A7E825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25B329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11</w:t>
            </w:r>
          </w:p>
        </w:tc>
        <w:tc>
          <w:tcPr>
            <w:tcW w:w="679" w:type="dxa"/>
            <w:tcBorders>
              <w:top w:val="single" w:sz="4" w:space="0" w:color="auto"/>
              <w:left w:val="single" w:sz="4" w:space="0" w:color="auto"/>
              <w:right w:val="nil"/>
            </w:tcBorders>
            <w:shd w:val="clear" w:color="auto" w:fill="E7E6E6" w:themeFill="background2"/>
            <w:noWrap/>
            <w:vAlign w:val="bottom"/>
            <w:hideMark/>
          </w:tcPr>
          <w:p w14:paraId="6FB00B9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4FBA7A8C"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FFC381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80" w:type="dxa"/>
            <w:tcBorders>
              <w:top w:val="single" w:sz="4" w:space="0" w:color="auto"/>
              <w:left w:val="nil"/>
              <w:right w:val="single" w:sz="4" w:space="0" w:color="auto"/>
            </w:tcBorders>
            <w:shd w:val="clear" w:color="auto" w:fill="E7E6E6" w:themeFill="background2"/>
            <w:noWrap/>
            <w:vAlign w:val="bottom"/>
            <w:hideMark/>
          </w:tcPr>
          <w:p w14:paraId="4A0054B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14</w:t>
            </w:r>
          </w:p>
          <w:p w14:paraId="09BE0D0E"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B07842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tc>
        <w:tc>
          <w:tcPr>
            <w:tcW w:w="679" w:type="dxa"/>
            <w:tcBorders>
              <w:top w:val="single" w:sz="4" w:space="0" w:color="auto"/>
              <w:left w:val="single" w:sz="4" w:space="0" w:color="auto"/>
              <w:right w:val="nil"/>
            </w:tcBorders>
            <w:shd w:val="clear" w:color="auto" w:fill="E7E6E6" w:themeFill="background2"/>
            <w:noWrap/>
            <w:vAlign w:val="bottom"/>
            <w:hideMark/>
          </w:tcPr>
          <w:p w14:paraId="4A65197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238DDF04"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4B1639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81" w:type="dxa"/>
            <w:tcBorders>
              <w:top w:val="single" w:sz="4" w:space="0" w:color="auto"/>
              <w:left w:val="nil"/>
              <w:right w:val="single" w:sz="4" w:space="0" w:color="auto"/>
            </w:tcBorders>
            <w:shd w:val="clear" w:color="auto" w:fill="E7E6E6" w:themeFill="background2"/>
            <w:noWrap/>
            <w:vAlign w:val="bottom"/>
            <w:hideMark/>
          </w:tcPr>
          <w:p w14:paraId="74454D3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13</w:t>
            </w:r>
          </w:p>
          <w:p w14:paraId="21B1641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59D07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12</w:t>
            </w:r>
          </w:p>
        </w:tc>
        <w:tc>
          <w:tcPr>
            <w:tcW w:w="15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E9C8C"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w:t>
            </w:r>
          </w:p>
          <w:p w14:paraId="04E89FB9" w14:textId="77777777" w:rsidR="00C54BBB" w:rsidRPr="00931966" w:rsidRDefault="00C54BBB" w:rsidP="00931966">
            <w:pPr>
              <w:spacing w:after="0" w:line="240" w:lineRule="auto"/>
              <w:jc w:val="center"/>
              <w:rPr>
                <w:rFonts w:ascii="Times" w:hAnsi="Times" w:cs="Times"/>
                <w:b/>
                <w:bCs/>
                <w:sz w:val="20"/>
                <w:szCs w:val="20"/>
              </w:rPr>
            </w:pPr>
            <w:r w:rsidRPr="00931966">
              <w:rPr>
                <w:rFonts w:ascii="Times" w:hAnsi="Times" w:cs="Times"/>
                <w:b/>
                <w:bCs/>
                <w:sz w:val="20"/>
                <w:szCs w:val="20"/>
              </w:rPr>
              <w:t>REML+HKSJ</w:t>
            </w:r>
          </w:p>
        </w:tc>
      </w:tr>
      <w:tr w:rsidR="00C54BBB" w:rsidRPr="00931966" w14:paraId="754B9BDA" w14:textId="77777777" w:rsidTr="00144E82">
        <w:trPr>
          <w:trHeight w:val="385"/>
          <w:jc w:val="center"/>
        </w:trPr>
        <w:tc>
          <w:tcPr>
            <w:tcW w:w="455" w:type="dxa"/>
            <w:vMerge/>
            <w:tcBorders>
              <w:left w:val="nil"/>
              <w:bottom w:val="nil"/>
              <w:right w:val="nil"/>
            </w:tcBorders>
            <w:shd w:val="clear" w:color="auto" w:fill="E7E6E6" w:themeFill="background2"/>
          </w:tcPr>
          <w:p w14:paraId="31D1FF27" w14:textId="77777777" w:rsidR="00C54BBB" w:rsidRPr="00931966" w:rsidRDefault="00C54BBB" w:rsidP="00931966">
            <w:pPr>
              <w:spacing w:after="0" w:line="240" w:lineRule="auto"/>
              <w:jc w:val="center"/>
              <w:rPr>
                <w:rFonts w:ascii="Times" w:hAnsi="Times" w:cs="Times"/>
                <w:sz w:val="20"/>
                <w:szCs w:val="20"/>
              </w:rPr>
            </w:pPr>
          </w:p>
        </w:tc>
        <w:tc>
          <w:tcPr>
            <w:tcW w:w="863" w:type="dxa"/>
            <w:tcBorders>
              <w:top w:val="nil"/>
              <w:left w:val="nil"/>
              <w:bottom w:val="single" w:sz="4" w:space="0" w:color="auto"/>
              <w:right w:val="nil"/>
            </w:tcBorders>
            <w:shd w:val="clear" w:color="auto" w:fill="E7E6E6" w:themeFill="background2"/>
            <w:noWrap/>
            <w:vAlign w:val="center"/>
            <w:hideMark/>
          </w:tcPr>
          <w:p w14:paraId="60364B1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p&lt;0.05</w:t>
            </w:r>
          </w:p>
        </w:tc>
        <w:tc>
          <w:tcPr>
            <w:tcW w:w="672" w:type="dxa"/>
            <w:tcBorders>
              <w:top w:val="nil"/>
              <w:left w:val="nil"/>
              <w:bottom w:val="single" w:sz="4" w:space="0" w:color="auto"/>
              <w:right w:val="nil"/>
            </w:tcBorders>
            <w:shd w:val="clear" w:color="auto" w:fill="E7E6E6" w:themeFill="background2"/>
            <w:noWrap/>
            <w:vAlign w:val="bottom"/>
            <w:hideMark/>
          </w:tcPr>
          <w:p w14:paraId="1DEC9079"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76F2BE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EF319E0"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3" w:type="dxa"/>
            <w:tcBorders>
              <w:top w:val="nil"/>
              <w:left w:val="nil"/>
              <w:bottom w:val="single" w:sz="4" w:space="0" w:color="auto"/>
              <w:right w:val="single" w:sz="4" w:space="0" w:color="auto"/>
            </w:tcBorders>
            <w:shd w:val="clear" w:color="auto" w:fill="E7E6E6" w:themeFill="background2"/>
            <w:noWrap/>
            <w:vAlign w:val="bottom"/>
            <w:hideMark/>
          </w:tcPr>
          <w:p w14:paraId="6F34769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8</w:t>
            </w:r>
          </w:p>
          <w:p w14:paraId="4AB7A03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189E135"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7</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21915A77"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60484126"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EF843CE"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254E14B2"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F7CC8D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31324B6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7182AF90"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3D9613A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417D070C"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4" w:type="dxa"/>
            <w:tcBorders>
              <w:top w:val="nil"/>
              <w:left w:val="nil"/>
              <w:bottom w:val="single" w:sz="4" w:space="0" w:color="auto"/>
              <w:right w:val="single" w:sz="4" w:space="0" w:color="auto"/>
            </w:tcBorders>
            <w:shd w:val="clear" w:color="auto" w:fill="E7E6E6" w:themeFill="background2"/>
            <w:noWrap/>
            <w:vAlign w:val="bottom"/>
            <w:hideMark/>
          </w:tcPr>
          <w:p w14:paraId="74842A3A"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0D54EF3B"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E6A5D2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675" w:type="dxa"/>
            <w:tcBorders>
              <w:top w:val="nil"/>
              <w:left w:val="single" w:sz="4" w:space="0" w:color="auto"/>
              <w:bottom w:val="single" w:sz="4" w:space="0" w:color="auto"/>
              <w:right w:val="nil"/>
            </w:tcBorders>
            <w:shd w:val="clear" w:color="auto" w:fill="E7E6E6" w:themeFill="background2"/>
            <w:noWrap/>
            <w:vAlign w:val="bottom"/>
            <w:hideMark/>
          </w:tcPr>
          <w:p w14:paraId="2184C69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7DC42AE8"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9AEF71F"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6" w:type="dxa"/>
            <w:tcBorders>
              <w:top w:val="nil"/>
              <w:left w:val="nil"/>
              <w:bottom w:val="single" w:sz="4" w:space="0" w:color="auto"/>
              <w:right w:val="single" w:sz="4" w:space="0" w:color="auto"/>
            </w:tcBorders>
            <w:shd w:val="clear" w:color="auto" w:fill="E7E6E6" w:themeFill="background2"/>
            <w:noWrap/>
            <w:vAlign w:val="bottom"/>
            <w:hideMark/>
          </w:tcPr>
          <w:p w14:paraId="784B4F61"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7C31246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44DD664"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799" w:type="dxa"/>
            <w:tcBorders>
              <w:top w:val="nil"/>
              <w:left w:val="single" w:sz="4" w:space="0" w:color="auto"/>
              <w:bottom w:val="single" w:sz="4" w:space="0" w:color="auto"/>
              <w:right w:val="nil"/>
            </w:tcBorders>
            <w:shd w:val="clear" w:color="auto" w:fill="E7E6E6" w:themeFill="background2"/>
            <w:noWrap/>
            <w:vAlign w:val="bottom"/>
            <w:hideMark/>
          </w:tcPr>
          <w:p w14:paraId="3926678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115DD460"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57A91ACD"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709" w:type="dxa"/>
            <w:tcBorders>
              <w:top w:val="nil"/>
              <w:left w:val="nil"/>
              <w:bottom w:val="single" w:sz="4" w:space="0" w:color="auto"/>
              <w:right w:val="single" w:sz="4" w:space="0" w:color="auto"/>
            </w:tcBorders>
            <w:shd w:val="clear" w:color="auto" w:fill="E7E6E6" w:themeFill="background2"/>
            <w:noWrap/>
            <w:vAlign w:val="bottom"/>
            <w:hideMark/>
          </w:tcPr>
          <w:p w14:paraId="0D75FF98"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02DB2AE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D08F093"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516" w:type="dxa"/>
            <w:tcBorders>
              <w:top w:val="nil"/>
              <w:left w:val="single" w:sz="4" w:space="0" w:color="auto"/>
              <w:bottom w:val="single" w:sz="4" w:space="0" w:color="auto"/>
              <w:right w:val="nil"/>
            </w:tcBorders>
            <w:shd w:val="clear" w:color="auto" w:fill="E7E6E6" w:themeFill="background2"/>
            <w:noWrap/>
            <w:vAlign w:val="bottom"/>
            <w:hideMark/>
          </w:tcPr>
          <w:p w14:paraId="4B02146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29D51AC5"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F70B44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75" w:type="dxa"/>
            <w:tcBorders>
              <w:top w:val="nil"/>
              <w:left w:val="nil"/>
              <w:bottom w:val="single" w:sz="4" w:space="0" w:color="auto"/>
              <w:right w:val="single" w:sz="4" w:space="0" w:color="auto"/>
            </w:tcBorders>
            <w:shd w:val="clear" w:color="auto" w:fill="E7E6E6" w:themeFill="background2"/>
            <w:noWrap/>
            <w:vAlign w:val="bottom"/>
            <w:hideMark/>
          </w:tcPr>
          <w:p w14:paraId="51C026C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6</w:t>
            </w:r>
          </w:p>
          <w:p w14:paraId="539BD82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CBF93A1"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7C8F43F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1F2ED7E3"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31CD6D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E7E6E6" w:themeFill="background2"/>
            <w:noWrap/>
            <w:vAlign w:val="bottom"/>
            <w:hideMark/>
          </w:tcPr>
          <w:p w14:paraId="646AB27F"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6C4E9B69"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1EACECD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6B073BA3"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p w14:paraId="0F87D14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87379F6"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4</w:t>
            </w:r>
          </w:p>
        </w:tc>
        <w:tc>
          <w:tcPr>
            <w:tcW w:w="680" w:type="dxa"/>
            <w:tcBorders>
              <w:top w:val="nil"/>
              <w:left w:val="nil"/>
              <w:bottom w:val="single" w:sz="4" w:space="0" w:color="auto"/>
              <w:right w:val="single" w:sz="4" w:space="0" w:color="auto"/>
            </w:tcBorders>
            <w:shd w:val="clear" w:color="auto" w:fill="E7E6E6" w:themeFill="background2"/>
            <w:noWrap/>
            <w:vAlign w:val="bottom"/>
            <w:hideMark/>
          </w:tcPr>
          <w:p w14:paraId="311AB9EB"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p w14:paraId="695B474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6DC9957A"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0</w:t>
            </w:r>
          </w:p>
        </w:tc>
        <w:tc>
          <w:tcPr>
            <w:tcW w:w="679" w:type="dxa"/>
            <w:tcBorders>
              <w:top w:val="nil"/>
              <w:left w:val="single" w:sz="4" w:space="0" w:color="auto"/>
              <w:bottom w:val="single" w:sz="4" w:space="0" w:color="auto"/>
              <w:right w:val="nil"/>
            </w:tcBorders>
            <w:shd w:val="clear" w:color="auto" w:fill="E7E6E6" w:themeFill="background2"/>
            <w:noWrap/>
            <w:vAlign w:val="bottom"/>
            <w:hideMark/>
          </w:tcPr>
          <w:p w14:paraId="697855BD"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2</w:t>
            </w:r>
          </w:p>
          <w:p w14:paraId="487E2D91"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2BA701D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3</w:t>
            </w:r>
          </w:p>
        </w:tc>
        <w:tc>
          <w:tcPr>
            <w:tcW w:w="681" w:type="dxa"/>
            <w:tcBorders>
              <w:top w:val="nil"/>
              <w:left w:val="nil"/>
              <w:bottom w:val="single" w:sz="4" w:space="0" w:color="auto"/>
              <w:right w:val="single" w:sz="4" w:space="0" w:color="auto"/>
            </w:tcBorders>
            <w:shd w:val="clear" w:color="auto" w:fill="E7E6E6" w:themeFill="background2"/>
            <w:noWrap/>
            <w:vAlign w:val="bottom"/>
            <w:hideMark/>
          </w:tcPr>
          <w:p w14:paraId="40FDAF94" w14:textId="77777777" w:rsidR="00C54BBB"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p w14:paraId="5F4595E2" w14:textId="77777777" w:rsidR="00C54BBB" w:rsidRDefault="00C54BBB" w:rsidP="00931966">
            <w:pPr>
              <w:spacing w:after="0" w:line="240" w:lineRule="auto"/>
              <w:jc w:val="center"/>
              <w:rPr>
                <w:rFonts w:ascii="Times" w:hAnsi="Times" w:cs="Times"/>
                <w:sz w:val="20"/>
                <w:szCs w:val="20"/>
              </w:rPr>
            </w:pPr>
            <w:r>
              <w:rPr>
                <w:rFonts w:ascii="Times" w:hAnsi="Times" w:cs="Times"/>
                <w:sz w:val="20"/>
                <w:szCs w:val="20"/>
              </w:rPr>
              <w:t>vs</w:t>
            </w:r>
          </w:p>
          <w:p w14:paraId="0B93E622" w14:textId="77777777" w:rsidR="00C54BBB" w:rsidRPr="00931966" w:rsidRDefault="00C54BBB" w:rsidP="00931966">
            <w:pPr>
              <w:spacing w:after="0" w:line="240" w:lineRule="auto"/>
              <w:jc w:val="center"/>
              <w:rPr>
                <w:rFonts w:ascii="Times" w:hAnsi="Times" w:cs="Times"/>
                <w:sz w:val="20"/>
                <w:szCs w:val="20"/>
              </w:rPr>
            </w:pPr>
            <w:r w:rsidRPr="00931966">
              <w:rPr>
                <w:rFonts w:ascii="Times" w:hAnsi="Times" w:cs="Times"/>
                <w:sz w:val="20"/>
                <w:szCs w:val="20"/>
              </w:rPr>
              <w:t>1</w:t>
            </w:r>
          </w:p>
        </w:tc>
        <w:tc>
          <w:tcPr>
            <w:tcW w:w="1534" w:type="dxa"/>
            <w:gridSpan w:val="2"/>
            <w:vMerge/>
            <w:tcBorders>
              <w:left w:val="single" w:sz="4" w:space="0" w:color="auto"/>
              <w:bottom w:val="single" w:sz="4" w:space="0" w:color="auto"/>
              <w:right w:val="single" w:sz="4" w:space="0" w:color="auto"/>
            </w:tcBorders>
            <w:shd w:val="clear" w:color="auto" w:fill="auto"/>
            <w:noWrap/>
            <w:vAlign w:val="center"/>
            <w:hideMark/>
          </w:tcPr>
          <w:p w14:paraId="43F05076" w14:textId="77777777" w:rsidR="00C54BBB" w:rsidRPr="00931966" w:rsidRDefault="00C54BBB" w:rsidP="00931966">
            <w:pPr>
              <w:spacing w:after="0" w:line="240" w:lineRule="auto"/>
              <w:jc w:val="center"/>
              <w:rPr>
                <w:rFonts w:ascii="Times" w:hAnsi="Times" w:cs="Times"/>
                <w:sz w:val="20"/>
                <w:szCs w:val="20"/>
              </w:rPr>
            </w:pPr>
          </w:p>
        </w:tc>
      </w:tr>
      <w:tr w:rsidR="00C54BBB" w:rsidRPr="00931966" w14:paraId="13A8C7BB" w14:textId="77777777" w:rsidTr="00144E82">
        <w:trPr>
          <w:trHeight w:val="385"/>
          <w:jc w:val="center"/>
        </w:trPr>
        <w:tc>
          <w:tcPr>
            <w:tcW w:w="15026" w:type="dxa"/>
            <w:gridSpan w:val="22"/>
            <w:tcBorders>
              <w:left w:val="nil"/>
              <w:bottom w:val="nil"/>
              <w:right w:val="nil"/>
            </w:tcBorders>
            <w:vAlign w:val="center"/>
          </w:tcPr>
          <w:p w14:paraId="70A6E3FE" w14:textId="77777777" w:rsidR="00C54BBB" w:rsidRPr="009318F9" w:rsidRDefault="00C54BBB" w:rsidP="009318F9">
            <w:pPr>
              <w:spacing w:line="360" w:lineRule="auto"/>
              <w:rPr>
                <w:rFonts w:ascii="Times" w:hAnsi="Times" w:cs="Times"/>
                <w:sz w:val="24"/>
                <w:szCs w:val="24"/>
              </w:rPr>
            </w:pPr>
            <w:r w:rsidRPr="009318F9">
              <w:rPr>
                <w:rFonts w:ascii="Times" w:hAnsi="Times" w:cs="Times"/>
                <w:sz w:val="24"/>
                <w:szCs w:val="24"/>
              </w:rPr>
              <w:t>The top row of the label indicates the ITS analysis methods, bottom row indicates the meta-analysis method, e.g., OLS Fixed i</w:t>
            </w:r>
            <w:r>
              <w:rPr>
                <w:rFonts w:ascii="Times" w:hAnsi="Times" w:cs="Times"/>
                <w:sz w:val="24"/>
                <w:szCs w:val="24"/>
              </w:rPr>
              <w:t>ndicates</w:t>
            </w:r>
            <w:r w:rsidRPr="009318F9">
              <w:rPr>
                <w:rFonts w:ascii="Times" w:hAnsi="Times" w:cs="Times"/>
                <w:sz w:val="24"/>
                <w:szCs w:val="24"/>
              </w:rPr>
              <w:t xml:space="preserve"> OLS ITS analysis and fixed effect meta-analysis</w:t>
            </w:r>
            <w:r>
              <w:rPr>
                <w:rFonts w:ascii="Times" w:hAnsi="Times" w:cs="Times"/>
                <w:sz w:val="24"/>
                <w:szCs w:val="24"/>
              </w:rPr>
              <w:t xml:space="preserve"> was used</w:t>
            </w:r>
            <w:r w:rsidRPr="009318F9">
              <w:rPr>
                <w:rFonts w:ascii="Times" w:hAnsi="Times" w:cs="Times"/>
                <w:sz w:val="24"/>
                <w:szCs w:val="24"/>
              </w:rPr>
              <w:t xml:space="preserve">. </w:t>
            </w:r>
          </w:p>
          <w:p w14:paraId="4D857365" w14:textId="77777777" w:rsidR="00C54BBB" w:rsidRPr="009318F9" w:rsidRDefault="00C54BBB" w:rsidP="009318F9">
            <w:pPr>
              <w:spacing w:line="360" w:lineRule="auto"/>
              <w:rPr>
                <w:rFonts w:ascii="Times" w:hAnsi="Times" w:cs="Times"/>
                <w:sz w:val="24"/>
                <w:szCs w:val="24"/>
              </w:rPr>
            </w:pPr>
            <w:r w:rsidRPr="009318F9">
              <w:rPr>
                <w:rFonts w:ascii="Times" w:hAnsi="Times" w:cs="Times"/>
                <w:sz w:val="24"/>
                <w:szCs w:val="24"/>
              </w:rPr>
              <w:t>DL, DerSimonian and Laird. HKSJ, Hartung-Knapp / Sidik-Jonkman. ITS, interrupted time series. OLS, ordinary least squares. REML, restricted maximum likelihood. WT, Wald-type.</w:t>
            </w:r>
          </w:p>
        </w:tc>
      </w:tr>
    </w:tbl>
    <w:p w14:paraId="4D0302D6" w14:textId="77777777" w:rsidR="00C54BBB" w:rsidRPr="00D96847" w:rsidRDefault="00C54BBB" w:rsidP="00DB3533">
      <w:pPr>
        <w:rPr>
          <w:rFonts w:ascii="Times New Roman" w:hAnsi="Times New Roman" w:cs="Times New Roman"/>
        </w:rPr>
      </w:pPr>
    </w:p>
    <w:p w14:paraId="0790A489" w14:textId="77777777" w:rsidR="00C54BBB" w:rsidRPr="007B6890" w:rsidRDefault="00C54BBB" w:rsidP="007B6890">
      <w:pPr>
        <w:pStyle w:val="Heading3"/>
        <w:rPr>
          <w:rFonts w:ascii="Times" w:hAnsi="Times" w:cs="Times"/>
        </w:rPr>
      </w:pPr>
      <w:bookmarkStart w:id="19" w:name="_Toc121731921"/>
      <w:r w:rsidRPr="007B6890">
        <w:rPr>
          <w:rFonts w:ascii="Times" w:hAnsi="Times" w:cs="Times"/>
        </w:rPr>
        <w:lastRenderedPageBreak/>
        <w:t>Appendix Table S</w:t>
      </w:r>
      <w:r>
        <w:rPr>
          <w:rFonts w:ascii="Times" w:hAnsi="Times" w:cs="Times"/>
        </w:rPr>
        <w:t>7</w:t>
      </w:r>
      <w:r w:rsidRPr="007B6890">
        <w:rPr>
          <w:rFonts w:ascii="Times" w:hAnsi="Times" w:cs="Times"/>
        </w:rPr>
        <w:t xml:space="preserve">. </w:t>
      </w:r>
      <w:r>
        <w:rPr>
          <w:rFonts w:ascii="Times" w:hAnsi="Times" w:cs="Times"/>
        </w:rPr>
        <w:t>Comparing the primary and sensitivity analysis results for t</w:t>
      </w:r>
      <w:r w:rsidRPr="007B6890">
        <w:rPr>
          <w:rFonts w:ascii="Times" w:hAnsi="Times" w:cs="Times"/>
        </w:rPr>
        <w:t>he percentage agreement (kappa statistic) in statistical significance of estimates of level-change and slope-change (</w:t>
      </w:r>
      <w:r w:rsidRPr="00852AEE">
        <w:rPr>
          <w:rFonts w:ascii="Times" w:hAnsi="Times" w:cs="Times"/>
        </w:rPr>
        <w:t>categorised as p</w:t>
      </w:r>
      <m:oMath>
        <m:r>
          <w:rPr>
            <w:rFonts w:ascii="Cambria Math" w:hAnsi="Cambria Math" w:cs="Times"/>
          </w:rPr>
          <m:t>≤</m:t>
        </m:r>
      </m:oMath>
      <w:r w:rsidRPr="00852AEE">
        <w:rPr>
          <w:rFonts w:ascii="Times" w:hAnsi="Times" w:cs="Times"/>
        </w:rPr>
        <w:t>0.05 or p&gt;0.05</w:t>
      </w:r>
      <w:r w:rsidRPr="007B6890">
        <w:rPr>
          <w:rFonts w:ascii="Times" w:hAnsi="Times" w:cs="Times"/>
        </w:rPr>
        <w:t>) (n = 17)</w:t>
      </w:r>
      <w:bookmarkEnd w:id="19"/>
    </w:p>
    <w:tbl>
      <w:tblPr>
        <w:tblStyle w:val="TableGrid"/>
        <w:tblW w:w="1584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1515"/>
        <w:gridCol w:w="1519"/>
        <w:gridCol w:w="1522"/>
        <w:gridCol w:w="1524"/>
        <w:gridCol w:w="1555"/>
        <w:gridCol w:w="1517"/>
        <w:gridCol w:w="1519"/>
        <w:gridCol w:w="1522"/>
        <w:gridCol w:w="1524"/>
        <w:gridCol w:w="1555"/>
      </w:tblGrid>
      <w:tr w:rsidR="00C54BBB" w:rsidRPr="000713E0" w14:paraId="44FF7CAC" w14:textId="77777777" w:rsidTr="001603F8">
        <w:trPr>
          <w:trHeight w:val="357"/>
        </w:trPr>
        <w:tc>
          <w:tcPr>
            <w:tcW w:w="568" w:type="dxa"/>
            <w:shd w:val="clear" w:color="auto" w:fill="auto"/>
            <w:textDirection w:val="btLr"/>
            <w:vAlign w:val="center"/>
          </w:tcPr>
          <w:p w14:paraId="5304D89C" w14:textId="77777777" w:rsidR="00C54BBB" w:rsidRPr="000713E0" w:rsidRDefault="00C54BBB" w:rsidP="001603F8">
            <w:pPr>
              <w:jc w:val="center"/>
              <w:rPr>
                <w:rFonts w:ascii="Times" w:hAnsi="Times" w:cs="Times"/>
                <w:sz w:val="18"/>
                <w:szCs w:val="18"/>
              </w:rPr>
            </w:pPr>
          </w:p>
        </w:tc>
        <w:tc>
          <w:tcPr>
            <w:tcW w:w="15272" w:type="dxa"/>
            <w:gridSpan w:val="10"/>
            <w:shd w:val="clear" w:color="auto" w:fill="auto"/>
            <w:vAlign w:val="center"/>
            <w:hideMark/>
          </w:tcPr>
          <w:p w14:paraId="7BF6C564" w14:textId="77777777" w:rsidR="00C54BBB" w:rsidRPr="000713E0" w:rsidRDefault="00C54BBB" w:rsidP="001603F8">
            <w:pPr>
              <w:ind w:left="113" w:right="113"/>
              <w:jc w:val="center"/>
              <w:rPr>
                <w:rFonts w:ascii="Times" w:hAnsi="Times" w:cs="Times"/>
                <w:b/>
                <w:bCs/>
                <w:sz w:val="18"/>
                <w:szCs w:val="18"/>
              </w:rPr>
            </w:pPr>
            <w:r w:rsidRPr="000713E0">
              <w:rPr>
                <w:rFonts w:ascii="Times" w:hAnsi="Times" w:cs="Times"/>
                <w:b/>
                <w:bCs/>
                <w:sz w:val="18"/>
                <w:szCs w:val="18"/>
              </w:rPr>
              <w:t>Level-change</w:t>
            </w:r>
          </w:p>
        </w:tc>
      </w:tr>
      <w:tr w:rsidR="00C54BBB" w:rsidRPr="000713E0" w14:paraId="1EB34CF1" w14:textId="77777777" w:rsidTr="001603F8">
        <w:trPr>
          <w:trHeight w:val="357"/>
        </w:trPr>
        <w:tc>
          <w:tcPr>
            <w:tcW w:w="568" w:type="dxa"/>
            <w:vMerge w:val="restart"/>
            <w:shd w:val="clear" w:color="auto" w:fill="E7E6E6" w:themeFill="background2"/>
            <w:textDirection w:val="btLr"/>
            <w:vAlign w:val="center"/>
            <w:hideMark/>
          </w:tcPr>
          <w:p w14:paraId="185EA954" w14:textId="77777777" w:rsidR="00C54BBB" w:rsidRPr="000713E0" w:rsidRDefault="00C54BBB" w:rsidP="001603F8">
            <w:pPr>
              <w:ind w:left="113" w:right="113"/>
              <w:jc w:val="center"/>
              <w:rPr>
                <w:rFonts w:ascii="Times" w:hAnsi="Times" w:cs="Times"/>
                <w:sz w:val="18"/>
                <w:szCs w:val="18"/>
              </w:rPr>
            </w:pPr>
            <w:r w:rsidRPr="000713E0">
              <w:rPr>
                <w:rFonts w:ascii="Times" w:hAnsi="Times" w:cs="Times"/>
                <w:b/>
                <w:bCs/>
                <w:sz w:val="18"/>
                <w:szCs w:val="18"/>
              </w:rPr>
              <w:t>Slope-change</w:t>
            </w:r>
          </w:p>
        </w:tc>
        <w:tc>
          <w:tcPr>
            <w:tcW w:w="1515" w:type="dxa"/>
            <w:shd w:val="clear" w:color="auto" w:fill="auto"/>
            <w:vAlign w:val="center"/>
            <w:hideMark/>
          </w:tcPr>
          <w:p w14:paraId="0292C300"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Fixed</w:t>
            </w:r>
          </w:p>
        </w:tc>
        <w:tc>
          <w:tcPr>
            <w:tcW w:w="1519" w:type="dxa"/>
            <w:shd w:val="clear" w:color="auto" w:fill="auto"/>
            <w:vAlign w:val="center"/>
            <w:hideMark/>
          </w:tcPr>
          <w:p w14:paraId="534F956A" w14:textId="77777777" w:rsidR="00C54BBB" w:rsidRDefault="00C54BBB" w:rsidP="001603F8">
            <w:pPr>
              <w:jc w:val="center"/>
              <w:rPr>
                <w:rFonts w:ascii="Times" w:hAnsi="Times" w:cs="Times"/>
                <w:sz w:val="18"/>
                <w:szCs w:val="18"/>
              </w:rPr>
            </w:pPr>
            <w:r w:rsidRPr="00FD7FE8">
              <w:rPr>
                <w:rFonts w:ascii="Times" w:hAnsi="Times" w:cs="Times"/>
                <w:sz w:val="18"/>
                <w:szCs w:val="18"/>
              </w:rPr>
              <w:t>70.6% (0.43)</w:t>
            </w:r>
          </w:p>
          <w:p w14:paraId="2F23E91D" w14:textId="77777777" w:rsidR="00C54BBB" w:rsidRDefault="00C54BBB" w:rsidP="001603F8">
            <w:pPr>
              <w:jc w:val="center"/>
              <w:rPr>
                <w:rFonts w:ascii="Times" w:hAnsi="Times" w:cs="Times"/>
                <w:sz w:val="18"/>
                <w:szCs w:val="18"/>
              </w:rPr>
            </w:pPr>
            <w:r>
              <w:rPr>
                <w:rFonts w:ascii="Times" w:hAnsi="Times" w:cs="Times"/>
                <w:sz w:val="18"/>
                <w:szCs w:val="18"/>
              </w:rPr>
              <w:t>vs</w:t>
            </w:r>
          </w:p>
          <w:p w14:paraId="0FB2D3B5"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76.5% (0.51)</w:t>
            </w:r>
          </w:p>
        </w:tc>
        <w:tc>
          <w:tcPr>
            <w:tcW w:w="1522" w:type="dxa"/>
            <w:shd w:val="clear" w:color="auto" w:fill="auto"/>
            <w:vAlign w:val="center"/>
            <w:hideMark/>
          </w:tcPr>
          <w:p w14:paraId="5A7075E2" w14:textId="77777777" w:rsidR="00C54BBB" w:rsidRDefault="00C54BBB" w:rsidP="001603F8">
            <w:pPr>
              <w:jc w:val="center"/>
              <w:rPr>
                <w:rFonts w:ascii="Times" w:hAnsi="Times" w:cs="Times"/>
                <w:sz w:val="18"/>
                <w:szCs w:val="18"/>
              </w:rPr>
            </w:pPr>
            <w:r w:rsidRPr="00FD7FE8">
              <w:rPr>
                <w:rFonts w:ascii="Times" w:hAnsi="Times" w:cs="Times"/>
                <w:sz w:val="18"/>
                <w:szCs w:val="18"/>
              </w:rPr>
              <w:t>64.7% (0.32)</w:t>
            </w:r>
          </w:p>
          <w:p w14:paraId="2767429C" w14:textId="77777777" w:rsidR="00C54BBB" w:rsidRDefault="00C54BBB" w:rsidP="001603F8">
            <w:pPr>
              <w:jc w:val="center"/>
              <w:rPr>
                <w:rFonts w:ascii="Times" w:hAnsi="Times" w:cs="Times"/>
                <w:sz w:val="18"/>
                <w:szCs w:val="18"/>
              </w:rPr>
            </w:pPr>
            <w:r>
              <w:rPr>
                <w:rFonts w:ascii="Times" w:hAnsi="Times" w:cs="Times"/>
                <w:sz w:val="18"/>
                <w:szCs w:val="18"/>
              </w:rPr>
              <w:t>vs</w:t>
            </w:r>
          </w:p>
          <w:p w14:paraId="3F73168A"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70.6% (0.39)</w:t>
            </w:r>
          </w:p>
        </w:tc>
        <w:tc>
          <w:tcPr>
            <w:tcW w:w="1524" w:type="dxa"/>
            <w:shd w:val="clear" w:color="auto" w:fill="auto"/>
            <w:vAlign w:val="center"/>
            <w:hideMark/>
          </w:tcPr>
          <w:p w14:paraId="3D348AFE" w14:textId="77777777" w:rsidR="00C54BBB" w:rsidRDefault="00C54BBB" w:rsidP="001603F8">
            <w:pPr>
              <w:jc w:val="center"/>
              <w:rPr>
                <w:rFonts w:ascii="Times" w:hAnsi="Times" w:cs="Times"/>
                <w:sz w:val="18"/>
                <w:szCs w:val="18"/>
              </w:rPr>
            </w:pPr>
            <w:r w:rsidRPr="00FD7FE8">
              <w:rPr>
                <w:rFonts w:ascii="Times" w:hAnsi="Times" w:cs="Times"/>
                <w:sz w:val="18"/>
                <w:szCs w:val="18"/>
              </w:rPr>
              <w:t>70.6% (0.43)</w:t>
            </w:r>
          </w:p>
          <w:p w14:paraId="23C50A77" w14:textId="77777777" w:rsidR="00C54BBB" w:rsidRDefault="00C54BBB" w:rsidP="001603F8">
            <w:pPr>
              <w:jc w:val="center"/>
              <w:rPr>
                <w:rFonts w:ascii="Times" w:hAnsi="Times" w:cs="Times"/>
                <w:sz w:val="18"/>
                <w:szCs w:val="18"/>
              </w:rPr>
            </w:pPr>
            <w:r>
              <w:rPr>
                <w:rFonts w:ascii="Times" w:hAnsi="Times" w:cs="Times"/>
                <w:sz w:val="18"/>
                <w:szCs w:val="18"/>
              </w:rPr>
              <w:t>vs</w:t>
            </w:r>
          </w:p>
          <w:p w14:paraId="592F490D"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76.5% (0.51)</w:t>
            </w:r>
          </w:p>
        </w:tc>
        <w:tc>
          <w:tcPr>
            <w:tcW w:w="1555" w:type="dxa"/>
            <w:tcBorders>
              <w:top w:val="nil"/>
              <w:left w:val="nil"/>
              <w:bottom w:val="nil"/>
              <w:right w:val="single" w:sz="4" w:space="0" w:color="auto"/>
            </w:tcBorders>
            <w:shd w:val="clear" w:color="auto" w:fill="auto"/>
            <w:vAlign w:val="center"/>
            <w:hideMark/>
          </w:tcPr>
          <w:p w14:paraId="06125F0D" w14:textId="77777777" w:rsidR="00C54BBB" w:rsidRDefault="00C54BBB" w:rsidP="001603F8">
            <w:pPr>
              <w:jc w:val="center"/>
              <w:rPr>
                <w:rFonts w:ascii="Times" w:hAnsi="Times" w:cs="Times"/>
                <w:sz w:val="18"/>
                <w:szCs w:val="18"/>
              </w:rPr>
            </w:pPr>
            <w:r w:rsidRPr="00FD7FE8">
              <w:rPr>
                <w:rFonts w:ascii="Times" w:hAnsi="Times" w:cs="Times"/>
                <w:sz w:val="18"/>
                <w:szCs w:val="18"/>
              </w:rPr>
              <w:t>64.7% (0.32)</w:t>
            </w:r>
          </w:p>
          <w:p w14:paraId="09D53BB6" w14:textId="77777777" w:rsidR="00C54BBB" w:rsidRDefault="00C54BBB" w:rsidP="001603F8">
            <w:pPr>
              <w:jc w:val="center"/>
              <w:rPr>
                <w:rFonts w:ascii="Times" w:hAnsi="Times" w:cs="Times"/>
                <w:sz w:val="18"/>
                <w:szCs w:val="18"/>
              </w:rPr>
            </w:pPr>
            <w:r>
              <w:rPr>
                <w:rFonts w:ascii="Times" w:hAnsi="Times" w:cs="Times"/>
                <w:sz w:val="18"/>
                <w:szCs w:val="18"/>
              </w:rPr>
              <w:t>vs</w:t>
            </w:r>
          </w:p>
          <w:p w14:paraId="54605B41"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70.6% (0.39)</w:t>
            </w:r>
          </w:p>
        </w:tc>
        <w:tc>
          <w:tcPr>
            <w:tcW w:w="1517" w:type="dxa"/>
            <w:tcBorders>
              <w:top w:val="nil"/>
              <w:left w:val="single" w:sz="4" w:space="0" w:color="auto"/>
              <w:bottom w:val="nil"/>
              <w:right w:val="nil"/>
            </w:tcBorders>
            <w:shd w:val="clear" w:color="auto" w:fill="auto"/>
            <w:vAlign w:val="center"/>
            <w:hideMark/>
          </w:tcPr>
          <w:p w14:paraId="0F99B7EA" w14:textId="77777777" w:rsidR="00C54BBB" w:rsidRDefault="00C54BBB" w:rsidP="001603F8">
            <w:pPr>
              <w:jc w:val="center"/>
              <w:rPr>
                <w:rFonts w:ascii="Times" w:hAnsi="Times" w:cs="Times"/>
                <w:sz w:val="18"/>
                <w:szCs w:val="18"/>
              </w:rPr>
            </w:pPr>
            <w:r w:rsidRPr="00FD7FE8">
              <w:rPr>
                <w:rFonts w:ascii="Times" w:hAnsi="Times" w:cs="Times"/>
                <w:sz w:val="18"/>
                <w:szCs w:val="18"/>
              </w:rPr>
              <w:t>82.4% (0.65)</w:t>
            </w:r>
          </w:p>
          <w:p w14:paraId="173143AF" w14:textId="77777777" w:rsidR="00C54BBB" w:rsidRDefault="00C54BBB" w:rsidP="001603F8">
            <w:pPr>
              <w:jc w:val="center"/>
              <w:rPr>
                <w:rFonts w:ascii="Times" w:hAnsi="Times" w:cs="Times"/>
                <w:sz w:val="18"/>
                <w:szCs w:val="18"/>
              </w:rPr>
            </w:pPr>
            <w:r>
              <w:rPr>
                <w:rFonts w:ascii="Times" w:hAnsi="Times" w:cs="Times"/>
                <w:sz w:val="18"/>
                <w:szCs w:val="18"/>
              </w:rPr>
              <w:t>vs</w:t>
            </w:r>
          </w:p>
          <w:p w14:paraId="57FE427A"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88.2% (0.76)</w:t>
            </w:r>
          </w:p>
        </w:tc>
        <w:tc>
          <w:tcPr>
            <w:tcW w:w="1519" w:type="dxa"/>
            <w:shd w:val="clear" w:color="auto" w:fill="auto"/>
            <w:vAlign w:val="center"/>
            <w:hideMark/>
          </w:tcPr>
          <w:p w14:paraId="50491B1C" w14:textId="77777777" w:rsidR="00C54BBB" w:rsidRDefault="00C54BBB" w:rsidP="001603F8">
            <w:pPr>
              <w:jc w:val="center"/>
              <w:rPr>
                <w:rFonts w:ascii="Times" w:hAnsi="Times" w:cs="Times"/>
                <w:sz w:val="18"/>
                <w:szCs w:val="18"/>
              </w:rPr>
            </w:pPr>
            <w:r w:rsidRPr="00FD7FE8">
              <w:rPr>
                <w:rFonts w:ascii="Times" w:hAnsi="Times" w:cs="Times"/>
                <w:sz w:val="18"/>
                <w:szCs w:val="18"/>
              </w:rPr>
              <w:t>82.4% (0.65)</w:t>
            </w:r>
          </w:p>
          <w:p w14:paraId="1FA1E461" w14:textId="77777777" w:rsidR="00C54BBB" w:rsidRDefault="00C54BBB" w:rsidP="001603F8">
            <w:pPr>
              <w:jc w:val="center"/>
              <w:rPr>
                <w:rFonts w:ascii="Times" w:hAnsi="Times" w:cs="Times"/>
                <w:sz w:val="18"/>
                <w:szCs w:val="18"/>
              </w:rPr>
            </w:pPr>
            <w:r>
              <w:rPr>
                <w:rFonts w:ascii="Times" w:hAnsi="Times" w:cs="Times"/>
                <w:sz w:val="18"/>
                <w:szCs w:val="18"/>
              </w:rPr>
              <w:t>vs</w:t>
            </w:r>
          </w:p>
          <w:p w14:paraId="20C32399"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82.4% (0.64)</w:t>
            </w:r>
          </w:p>
        </w:tc>
        <w:tc>
          <w:tcPr>
            <w:tcW w:w="1522" w:type="dxa"/>
            <w:shd w:val="clear" w:color="auto" w:fill="auto"/>
            <w:vAlign w:val="center"/>
            <w:hideMark/>
          </w:tcPr>
          <w:p w14:paraId="79396D8F" w14:textId="77777777" w:rsidR="00C54BBB" w:rsidRDefault="00C54BBB" w:rsidP="001603F8">
            <w:pPr>
              <w:jc w:val="center"/>
              <w:rPr>
                <w:rFonts w:ascii="Times" w:hAnsi="Times" w:cs="Times"/>
                <w:sz w:val="18"/>
                <w:szCs w:val="18"/>
              </w:rPr>
            </w:pPr>
            <w:r w:rsidRPr="00FD7FE8">
              <w:rPr>
                <w:rFonts w:ascii="Times" w:hAnsi="Times" w:cs="Times"/>
                <w:sz w:val="18"/>
                <w:szCs w:val="18"/>
              </w:rPr>
              <w:t>64.7% (0.32)</w:t>
            </w:r>
          </w:p>
          <w:p w14:paraId="2B2D0402" w14:textId="77777777" w:rsidR="00C54BBB" w:rsidRDefault="00C54BBB" w:rsidP="001603F8">
            <w:pPr>
              <w:jc w:val="center"/>
              <w:rPr>
                <w:rFonts w:ascii="Times" w:hAnsi="Times" w:cs="Times"/>
                <w:sz w:val="18"/>
                <w:szCs w:val="18"/>
              </w:rPr>
            </w:pPr>
            <w:r>
              <w:rPr>
                <w:rFonts w:ascii="Times" w:hAnsi="Times" w:cs="Times"/>
                <w:sz w:val="18"/>
                <w:szCs w:val="18"/>
              </w:rPr>
              <w:t>vs</w:t>
            </w:r>
          </w:p>
          <w:p w14:paraId="78FF7A58"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70.6% (0.39)</w:t>
            </w:r>
          </w:p>
        </w:tc>
        <w:tc>
          <w:tcPr>
            <w:tcW w:w="1524" w:type="dxa"/>
            <w:shd w:val="clear" w:color="auto" w:fill="auto"/>
            <w:vAlign w:val="center"/>
            <w:hideMark/>
          </w:tcPr>
          <w:p w14:paraId="7C0575F4" w14:textId="77777777" w:rsidR="00C54BBB" w:rsidRDefault="00C54BBB" w:rsidP="001603F8">
            <w:pPr>
              <w:jc w:val="center"/>
              <w:rPr>
                <w:rFonts w:ascii="Times" w:hAnsi="Times" w:cs="Times"/>
                <w:sz w:val="18"/>
                <w:szCs w:val="18"/>
              </w:rPr>
            </w:pPr>
            <w:r w:rsidRPr="00FD7FE8">
              <w:rPr>
                <w:rFonts w:ascii="Times" w:hAnsi="Times" w:cs="Times"/>
                <w:sz w:val="18"/>
                <w:szCs w:val="18"/>
              </w:rPr>
              <w:t>76.5% (0.54)</w:t>
            </w:r>
          </w:p>
          <w:p w14:paraId="788B18BC" w14:textId="77777777" w:rsidR="00C54BBB" w:rsidRDefault="00C54BBB" w:rsidP="001603F8">
            <w:pPr>
              <w:jc w:val="center"/>
              <w:rPr>
                <w:rFonts w:ascii="Times" w:hAnsi="Times" w:cs="Times"/>
                <w:sz w:val="18"/>
                <w:szCs w:val="18"/>
              </w:rPr>
            </w:pPr>
            <w:r>
              <w:rPr>
                <w:rFonts w:ascii="Times" w:hAnsi="Times" w:cs="Times"/>
                <w:sz w:val="18"/>
                <w:szCs w:val="18"/>
              </w:rPr>
              <w:t>vs</w:t>
            </w:r>
          </w:p>
          <w:p w14:paraId="0B40D152"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82.4% (0.64)</w:t>
            </w:r>
          </w:p>
        </w:tc>
        <w:tc>
          <w:tcPr>
            <w:tcW w:w="1555" w:type="dxa"/>
            <w:shd w:val="clear" w:color="auto" w:fill="auto"/>
            <w:vAlign w:val="center"/>
            <w:hideMark/>
          </w:tcPr>
          <w:p w14:paraId="50AAF55A" w14:textId="77777777" w:rsidR="00C54BBB" w:rsidRDefault="00C54BBB" w:rsidP="001603F8">
            <w:pPr>
              <w:jc w:val="center"/>
              <w:rPr>
                <w:rFonts w:ascii="Times" w:hAnsi="Times" w:cs="Times"/>
                <w:sz w:val="18"/>
                <w:szCs w:val="18"/>
              </w:rPr>
            </w:pPr>
            <w:r w:rsidRPr="00FD7FE8">
              <w:rPr>
                <w:rFonts w:ascii="Times" w:hAnsi="Times" w:cs="Times"/>
                <w:sz w:val="18"/>
                <w:szCs w:val="18"/>
              </w:rPr>
              <w:t>64.7% (0.32)</w:t>
            </w:r>
          </w:p>
          <w:p w14:paraId="4993713C" w14:textId="77777777" w:rsidR="00C54BBB" w:rsidRDefault="00C54BBB" w:rsidP="001603F8">
            <w:pPr>
              <w:jc w:val="center"/>
              <w:rPr>
                <w:rFonts w:ascii="Times" w:hAnsi="Times" w:cs="Times"/>
                <w:sz w:val="18"/>
                <w:szCs w:val="18"/>
              </w:rPr>
            </w:pPr>
            <w:r>
              <w:rPr>
                <w:rFonts w:ascii="Times" w:hAnsi="Times" w:cs="Times"/>
                <w:sz w:val="18"/>
                <w:szCs w:val="18"/>
              </w:rPr>
              <w:t>vs</w:t>
            </w:r>
          </w:p>
          <w:p w14:paraId="386BE815" w14:textId="77777777" w:rsidR="00C54BBB" w:rsidRPr="00FD7FE8" w:rsidRDefault="00C54BBB" w:rsidP="001603F8">
            <w:pPr>
              <w:jc w:val="center"/>
              <w:rPr>
                <w:rFonts w:ascii="Times" w:hAnsi="Times" w:cs="Times"/>
                <w:sz w:val="18"/>
                <w:szCs w:val="18"/>
              </w:rPr>
            </w:pPr>
            <w:r w:rsidRPr="00FD7FE8">
              <w:rPr>
                <w:rFonts w:ascii="Times" w:hAnsi="Times" w:cs="Times"/>
                <w:sz w:val="18"/>
                <w:szCs w:val="18"/>
              </w:rPr>
              <w:t>70.6% (0.39)</w:t>
            </w:r>
          </w:p>
        </w:tc>
      </w:tr>
      <w:tr w:rsidR="00C54BBB" w:rsidRPr="000713E0" w14:paraId="66D14AD1" w14:textId="77777777" w:rsidTr="001603F8">
        <w:trPr>
          <w:trHeight w:val="363"/>
        </w:trPr>
        <w:tc>
          <w:tcPr>
            <w:tcW w:w="0" w:type="auto"/>
            <w:vMerge/>
            <w:shd w:val="clear" w:color="auto" w:fill="E7E6E6" w:themeFill="background2"/>
            <w:vAlign w:val="center"/>
            <w:hideMark/>
          </w:tcPr>
          <w:p w14:paraId="5F9B6ED3"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68F7741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(0.46)</w:t>
            </w:r>
          </w:p>
          <w:p w14:paraId="782E3FBE"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150599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(0.55)</w:t>
            </w:r>
          </w:p>
        </w:tc>
        <w:tc>
          <w:tcPr>
            <w:tcW w:w="1519" w:type="dxa"/>
            <w:shd w:val="clear" w:color="auto" w:fill="auto"/>
            <w:vAlign w:val="center"/>
            <w:hideMark/>
          </w:tcPr>
          <w:p w14:paraId="228A5345"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DL+WT</w:t>
            </w:r>
          </w:p>
        </w:tc>
        <w:tc>
          <w:tcPr>
            <w:tcW w:w="1522" w:type="dxa"/>
            <w:shd w:val="clear" w:color="auto" w:fill="auto"/>
            <w:vAlign w:val="center"/>
            <w:hideMark/>
          </w:tcPr>
          <w:p w14:paraId="2FA94E3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0D2B61A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44D7E22"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24" w:type="dxa"/>
            <w:shd w:val="clear" w:color="auto" w:fill="auto"/>
            <w:vAlign w:val="center"/>
            <w:hideMark/>
          </w:tcPr>
          <w:p w14:paraId="3BECC8F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05E6E48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5D8FFD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55" w:type="dxa"/>
            <w:tcBorders>
              <w:top w:val="nil"/>
              <w:left w:val="nil"/>
              <w:bottom w:val="nil"/>
              <w:right w:val="single" w:sz="4" w:space="0" w:color="auto"/>
            </w:tcBorders>
            <w:shd w:val="clear" w:color="auto" w:fill="auto"/>
            <w:vAlign w:val="center"/>
            <w:hideMark/>
          </w:tcPr>
          <w:p w14:paraId="70DC49F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4E0ED85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A8F017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17" w:type="dxa"/>
            <w:tcBorders>
              <w:top w:val="nil"/>
              <w:left w:val="single" w:sz="4" w:space="0" w:color="auto"/>
              <w:bottom w:val="nil"/>
              <w:right w:val="nil"/>
            </w:tcBorders>
            <w:shd w:val="clear" w:color="auto" w:fill="auto"/>
            <w:vAlign w:val="center"/>
            <w:hideMark/>
          </w:tcPr>
          <w:p w14:paraId="4B38D780"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76.5% (0.51)</w:t>
            </w:r>
          </w:p>
          <w:p w14:paraId="5EB02117"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5F25629"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(0.51)</w:t>
            </w:r>
          </w:p>
        </w:tc>
        <w:tc>
          <w:tcPr>
            <w:tcW w:w="1519" w:type="dxa"/>
            <w:shd w:val="clear" w:color="auto" w:fill="auto"/>
            <w:vAlign w:val="center"/>
            <w:hideMark/>
          </w:tcPr>
          <w:p w14:paraId="5CE01E76"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(0.72)</w:t>
            </w:r>
          </w:p>
          <w:p w14:paraId="1CFD7E38"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3DFECA8"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2" w:type="dxa"/>
            <w:shd w:val="clear" w:color="auto" w:fill="auto"/>
            <w:vAlign w:val="center"/>
            <w:hideMark/>
          </w:tcPr>
          <w:p w14:paraId="0086B95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4B81A71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7F4A8DA"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24" w:type="dxa"/>
            <w:shd w:val="clear" w:color="auto" w:fill="auto"/>
            <w:vAlign w:val="center"/>
            <w:hideMark/>
          </w:tcPr>
          <w:p w14:paraId="0FFE83A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(0.85)</w:t>
            </w:r>
          </w:p>
          <w:p w14:paraId="320E141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126399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shd w:val="clear" w:color="auto" w:fill="auto"/>
            <w:vAlign w:val="center"/>
            <w:hideMark/>
          </w:tcPr>
          <w:p w14:paraId="127CDB6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5AFAE8E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6C67708"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r>
      <w:tr w:rsidR="00C54BBB" w:rsidRPr="000713E0" w14:paraId="502D3304" w14:textId="77777777" w:rsidTr="001603F8">
        <w:trPr>
          <w:trHeight w:val="363"/>
        </w:trPr>
        <w:tc>
          <w:tcPr>
            <w:tcW w:w="0" w:type="auto"/>
            <w:vMerge/>
            <w:shd w:val="clear" w:color="auto" w:fill="E7E6E6" w:themeFill="background2"/>
            <w:vAlign w:val="center"/>
            <w:hideMark/>
          </w:tcPr>
          <w:p w14:paraId="063016C3"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7DE5DA5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(0.29)</w:t>
            </w:r>
          </w:p>
          <w:p w14:paraId="75F6B2A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43038D7"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64.7% (0.37)</w:t>
            </w:r>
          </w:p>
        </w:tc>
        <w:tc>
          <w:tcPr>
            <w:tcW w:w="1519" w:type="dxa"/>
            <w:shd w:val="clear" w:color="auto" w:fill="E7E6E6" w:themeFill="background2"/>
            <w:vAlign w:val="center"/>
            <w:hideMark/>
          </w:tcPr>
          <w:p w14:paraId="19013BF1"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(0.72)</w:t>
            </w:r>
          </w:p>
          <w:p w14:paraId="5F6549FE"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BD46D0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(0.75)</w:t>
            </w:r>
          </w:p>
        </w:tc>
        <w:tc>
          <w:tcPr>
            <w:tcW w:w="1522" w:type="dxa"/>
            <w:shd w:val="clear" w:color="auto" w:fill="auto"/>
            <w:vAlign w:val="center"/>
            <w:hideMark/>
          </w:tcPr>
          <w:p w14:paraId="2F6700D4"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DL+</w:t>
            </w:r>
            <w:r>
              <w:rPr>
                <w:rFonts w:ascii="Times" w:hAnsi="Times" w:cs="Times"/>
                <w:b/>
                <w:bCs/>
                <w:sz w:val="18"/>
                <w:szCs w:val="18"/>
              </w:rPr>
              <w:t>HKSJ</w:t>
            </w:r>
          </w:p>
        </w:tc>
        <w:tc>
          <w:tcPr>
            <w:tcW w:w="1524" w:type="dxa"/>
            <w:shd w:val="clear" w:color="auto" w:fill="auto"/>
            <w:vAlign w:val="center"/>
            <w:hideMark/>
          </w:tcPr>
          <w:p w14:paraId="1D979EB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5CB0497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200220A"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55" w:type="dxa"/>
            <w:tcBorders>
              <w:top w:val="nil"/>
              <w:left w:val="nil"/>
              <w:bottom w:val="nil"/>
              <w:right w:val="single" w:sz="4" w:space="0" w:color="auto"/>
            </w:tcBorders>
            <w:shd w:val="clear" w:color="auto" w:fill="auto"/>
            <w:vAlign w:val="center"/>
            <w:hideMark/>
          </w:tcPr>
          <w:p w14:paraId="0A26CD7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0DA56DE8"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E7613AE"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17" w:type="dxa"/>
            <w:tcBorders>
              <w:top w:val="nil"/>
              <w:left w:val="single" w:sz="4" w:space="0" w:color="auto"/>
              <w:bottom w:val="nil"/>
              <w:right w:val="nil"/>
            </w:tcBorders>
            <w:shd w:val="clear" w:color="auto" w:fill="auto"/>
            <w:vAlign w:val="center"/>
            <w:hideMark/>
          </w:tcPr>
          <w:p w14:paraId="32DDCF1B"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(0.39)</w:t>
            </w:r>
          </w:p>
          <w:p w14:paraId="025F10EF"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419574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(0.39)</w:t>
            </w:r>
          </w:p>
        </w:tc>
        <w:tc>
          <w:tcPr>
            <w:tcW w:w="1519" w:type="dxa"/>
            <w:shd w:val="clear" w:color="auto" w:fill="auto"/>
            <w:vAlign w:val="center"/>
            <w:hideMark/>
          </w:tcPr>
          <w:p w14:paraId="2B36DA7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726838F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35E098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22" w:type="dxa"/>
            <w:shd w:val="clear" w:color="auto" w:fill="auto"/>
            <w:vAlign w:val="center"/>
            <w:hideMark/>
          </w:tcPr>
          <w:p w14:paraId="699FBFD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308F0EA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B328A1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(0.60)</w:t>
            </w:r>
          </w:p>
        </w:tc>
        <w:tc>
          <w:tcPr>
            <w:tcW w:w="1524" w:type="dxa"/>
            <w:shd w:val="clear" w:color="auto" w:fill="auto"/>
            <w:vAlign w:val="center"/>
            <w:hideMark/>
          </w:tcPr>
          <w:p w14:paraId="5CE96C20"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(0.68)</w:t>
            </w:r>
          </w:p>
          <w:p w14:paraId="01E5EF8E"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D23CB96"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55" w:type="dxa"/>
            <w:shd w:val="clear" w:color="auto" w:fill="auto"/>
            <w:vAlign w:val="center"/>
            <w:hideMark/>
          </w:tcPr>
          <w:p w14:paraId="114631C2"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4CEF980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EA8E385"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(0.60)</w:t>
            </w:r>
          </w:p>
        </w:tc>
      </w:tr>
      <w:tr w:rsidR="00C54BBB" w:rsidRPr="000713E0" w14:paraId="335782CF" w14:textId="77777777" w:rsidTr="001603F8">
        <w:trPr>
          <w:trHeight w:val="363"/>
        </w:trPr>
        <w:tc>
          <w:tcPr>
            <w:tcW w:w="0" w:type="auto"/>
            <w:vMerge/>
            <w:shd w:val="clear" w:color="auto" w:fill="E7E6E6" w:themeFill="background2"/>
            <w:vAlign w:val="center"/>
            <w:hideMark/>
          </w:tcPr>
          <w:p w14:paraId="710B0827"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4F44A8F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(0.29)</w:t>
            </w:r>
          </w:p>
          <w:p w14:paraId="1813F69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0E88C72"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64.7% (0.37)</w:t>
            </w:r>
          </w:p>
        </w:tc>
        <w:tc>
          <w:tcPr>
            <w:tcW w:w="1519" w:type="dxa"/>
            <w:shd w:val="clear" w:color="auto" w:fill="E7E6E6" w:themeFill="background2"/>
            <w:vAlign w:val="center"/>
            <w:hideMark/>
          </w:tcPr>
          <w:p w14:paraId="0460E016"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(0.72)</w:t>
            </w:r>
          </w:p>
          <w:p w14:paraId="13816A56"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6D91D83"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(0.75)</w:t>
            </w:r>
          </w:p>
        </w:tc>
        <w:tc>
          <w:tcPr>
            <w:tcW w:w="1522" w:type="dxa"/>
            <w:shd w:val="clear" w:color="auto" w:fill="E7E6E6" w:themeFill="background2"/>
            <w:vAlign w:val="center"/>
            <w:hideMark/>
          </w:tcPr>
          <w:p w14:paraId="324E143D"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(0.67)</w:t>
            </w:r>
          </w:p>
          <w:p w14:paraId="786B4658"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676842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(0.72)</w:t>
            </w:r>
          </w:p>
        </w:tc>
        <w:tc>
          <w:tcPr>
            <w:tcW w:w="1524" w:type="dxa"/>
            <w:shd w:val="clear" w:color="auto" w:fill="auto"/>
            <w:vAlign w:val="center"/>
            <w:hideMark/>
          </w:tcPr>
          <w:p w14:paraId="4BB95C88"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REML+WT</w:t>
            </w:r>
          </w:p>
        </w:tc>
        <w:tc>
          <w:tcPr>
            <w:tcW w:w="1555" w:type="dxa"/>
            <w:tcBorders>
              <w:top w:val="nil"/>
              <w:left w:val="nil"/>
              <w:bottom w:val="nil"/>
              <w:right w:val="single" w:sz="4" w:space="0" w:color="auto"/>
            </w:tcBorders>
            <w:shd w:val="clear" w:color="auto" w:fill="auto"/>
            <w:vAlign w:val="center"/>
            <w:hideMark/>
          </w:tcPr>
          <w:p w14:paraId="211FB15D"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57E3FC19"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04B379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17" w:type="dxa"/>
            <w:tcBorders>
              <w:top w:val="nil"/>
              <w:left w:val="single" w:sz="4" w:space="0" w:color="auto"/>
              <w:bottom w:val="nil"/>
              <w:right w:val="nil"/>
            </w:tcBorders>
            <w:shd w:val="clear" w:color="auto" w:fill="auto"/>
            <w:vAlign w:val="center"/>
            <w:hideMark/>
          </w:tcPr>
          <w:p w14:paraId="40A0033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76.5% (0.51)</w:t>
            </w:r>
          </w:p>
          <w:p w14:paraId="55A7C4F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03B56B3"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(0.51)</w:t>
            </w:r>
          </w:p>
        </w:tc>
        <w:tc>
          <w:tcPr>
            <w:tcW w:w="1519" w:type="dxa"/>
            <w:shd w:val="clear" w:color="auto" w:fill="auto"/>
            <w:vAlign w:val="center"/>
            <w:hideMark/>
          </w:tcPr>
          <w:p w14:paraId="1F79E240"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(0.72)</w:t>
            </w:r>
          </w:p>
          <w:p w14:paraId="21E9873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6F449C1"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2" w:type="dxa"/>
            <w:shd w:val="clear" w:color="auto" w:fill="auto"/>
            <w:vAlign w:val="center"/>
            <w:hideMark/>
          </w:tcPr>
          <w:p w14:paraId="34BE3A9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00DBA08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4A95E4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c>
          <w:tcPr>
            <w:tcW w:w="1524" w:type="dxa"/>
            <w:shd w:val="clear" w:color="auto" w:fill="auto"/>
            <w:vAlign w:val="center"/>
            <w:hideMark/>
          </w:tcPr>
          <w:p w14:paraId="7093062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(0.85)</w:t>
            </w:r>
          </w:p>
          <w:p w14:paraId="536050F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10E9D8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shd w:val="clear" w:color="auto" w:fill="auto"/>
            <w:vAlign w:val="center"/>
            <w:hideMark/>
          </w:tcPr>
          <w:p w14:paraId="18BED5D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6C1E1B47"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A0956E5"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(0.82)</w:t>
            </w:r>
          </w:p>
        </w:tc>
      </w:tr>
      <w:tr w:rsidR="00C54BBB" w:rsidRPr="000713E0" w14:paraId="74CC3D65" w14:textId="77777777" w:rsidTr="001603F8">
        <w:trPr>
          <w:trHeight w:val="363"/>
        </w:trPr>
        <w:tc>
          <w:tcPr>
            <w:tcW w:w="0" w:type="auto"/>
            <w:vMerge/>
            <w:shd w:val="clear" w:color="auto" w:fill="E7E6E6" w:themeFill="background2"/>
            <w:vAlign w:val="center"/>
            <w:hideMark/>
          </w:tcPr>
          <w:p w14:paraId="3F41FD17" w14:textId="77777777" w:rsidR="00C54BBB" w:rsidRPr="000713E0" w:rsidRDefault="00C54BBB" w:rsidP="001603F8">
            <w:pPr>
              <w:jc w:val="center"/>
              <w:rPr>
                <w:rFonts w:ascii="Times" w:hAnsi="Times" w:cs="Times"/>
                <w:sz w:val="18"/>
                <w:szCs w:val="18"/>
              </w:rPr>
            </w:pPr>
          </w:p>
        </w:tc>
        <w:tc>
          <w:tcPr>
            <w:tcW w:w="1515" w:type="dxa"/>
            <w:tcBorders>
              <w:top w:val="nil"/>
              <w:left w:val="nil"/>
              <w:bottom w:val="single" w:sz="4" w:space="0" w:color="auto"/>
              <w:right w:val="nil"/>
            </w:tcBorders>
            <w:shd w:val="clear" w:color="auto" w:fill="E7E6E6" w:themeFill="background2"/>
            <w:vAlign w:val="center"/>
            <w:hideMark/>
          </w:tcPr>
          <w:p w14:paraId="6197368B"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52.9% (0.21)</w:t>
            </w:r>
          </w:p>
          <w:p w14:paraId="01144E83"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314AD2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58.8% (0.29)</w:t>
            </w:r>
          </w:p>
        </w:tc>
        <w:tc>
          <w:tcPr>
            <w:tcW w:w="1519" w:type="dxa"/>
            <w:tcBorders>
              <w:top w:val="nil"/>
              <w:left w:val="nil"/>
              <w:bottom w:val="single" w:sz="4" w:space="0" w:color="auto"/>
              <w:right w:val="nil"/>
            </w:tcBorders>
            <w:shd w:val="clear" w:color="auto" w:fill="E7E6E6" w:themeFill="background2"/>
            <w:vAlign w:val="center"/>
            <w:hideMark/>
          </w:tcPr>
          <w:p w14:paraId="4B43F93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09BD0AAA"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44EC5C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(0.61)</w:t>
            </w:r>
          </w:p>
        </w:tc>
        <w:tc>
          <w:tcPr>
            <w:tcW w:w="1522" w:type="dxa"/>
            <w:tcBorders>
              <w:top w:val="nil"/>
              <w:left w:val="nil"/>
              <w:bottom w:val="single" w:sz="4" w:space="0" w:color="auto"/>
              <w:right w:val="nil"/>
            </w:tcBorders>
            <w:shd w:val="clear" w:color="auto" w:fill="E7E6E6" w:themeFill="background2"/>
            <w:vAlign w:val="center"/>
            <w:hideMark/>
          </w:tcPr>
          <w:p w14:paraId="4D06D2C3"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19D070C3"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C82AE39"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4" w:type="dxa"/>
            <w:tcBorders>
              <w:top w:val="nil"/>
              <w:left w:val="nil"/>
              <w:bottom w:val="single" w:sz="4" w:space="0" w:color="auto"/>
              <w:right w:val="nil"/>
            </w:tcBorders>
            <w:shd w:val="clear" w:color="auto" w:fill="E7E6E6" w:themeFill="background2"/>
            <w:vAlign w:val="center"/>
            <w:hideMark/>
          </w:tcPr>
          <w:p w14:paraId="6C62A230"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1EF4F16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5DE5197"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tcBorders>
              <w:top w:val="nil"/>
              <w:left w:val="nil"/>
              <w:bottom w:val="single" w:sz="4" w:space="0" w:color="auto"/>
              <w:right w:val="single" w:sz="4" w:space="0" w:color="auto"/>
            </w:tcBorders>
            <w:shd w:val="clear" w:color="auto" w:fill="auto"/>
            <w:vAlign w:val="center"/>
            <w:hideMark/>
          </w:tcPr>
          <w:p w14:paraId="2CECDEC8"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REML+</w:t>
            </w:r>
            <w:r>
              <w:rPr>
                <w:rFonts w:ascii="Times" w:hAnsi="Times" w:cs="Times"/>
                <w:b/>
                <w:bCs/>
                <w:sz w:val="18"/>
                <w:szCs w:val="18"/>
              </w:rPr>
              <w:t>HKSJ</w:t>
            </w:r>
          </w:p>
        </w:tc>
        <w:tc>
          <w:tcPr>
            <w:tcW w:w="1517" w:type="dxa"/>
            <w:tcBorders>
              <w:top w:val="nil"/>
              <w:left w:val="single" w:sz="4" w:space="0" w:color="auto"/>
              <w:bottom w:val="single" w:sz="4" w:space="0" w:color="auto"/>
              <w:right w:val="nil"/>
            </w:tcBorders>
            <w:shd w:val="clear" w:color="auto" w:fill="auto"/>
            <w:vAlign w:val="center"/>
            <w:hideMark/>
          </w:tcPr>
          <w:p w14:paraId="162B58BB"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(0.39)</w:t>
            </w:r>
          </w:p>
          <w:p w14:paraId="17F7A8A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30D89F3"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(0.39)</w:t>
            </w:r>
          </w:p>
        </w:tc>
        <w:tc>
          <w:tcPr>
            <w:tcW w:w="1519" w:type="dxa"/>
            <w:tcBorders>
              <w:top w:val="nil"/>
              <w:left w:val="nil"/>
              <w:bottom w:val="single" w:sz="4" w:space="0" w:color="auto"/>
              <w:right w:val="nil"/>
            </w:tcBorders>
            <w:shd w:val="clear" w:color="auto" w:fill="auto"/>
            <w:vAlign w:val="center"/>
            <w:hideMark/>
          </w:tcPr>
          <w:p w14:paraId="0971F81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744812E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C0AF64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22" w:type="dxa"/>
            <w:tcBorders>
              <w:top w:val="nil"/>
              <w:left w:val="nil"/>
              <w:bottom w:val="single" w:sz="4" w:space="0" w:color="auto"/>
              <w:right w:val="nil"/>
            </w:tcBorders>
            <w:shd w:val="clear" w:color="auto" w:fill="auto"/>
            <w:vAlign w:val="center"/>
            <w:hideMark/>
          </w:tcPr>
          <w:p w14:paraId="1B95BB4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5A3F992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4E3EDC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(0.60)</w:t>
            </w:r>
          </w:p>
        </w:tc>
        <w:tc>
          <w:tcPr>
            <w:tcW w:w="1524" w:type="dxa"/>
            <w:tcBorders>
              <w:top w:val="nil"/>
              <w:left w:val="nil"/>
              <w:bottom w:val="single" w:sz="4" w:space="0" w:color="auto"/>
              <w:right w:val="nil"/>
            </w:tcBorders>
            <w:shd w:val="clear" w:color="auto" w:fill="auto"/>
            <w:vAlign w:val="center"/>
            <w:hideMark/>
          </w:tcPr>
          <w:p w14:paraId="4726898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(0.68)</w:t>
            </w:r>
          </w:p>
          <w:p w14:paraId="2C768810"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A4E91FF"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55" w:type="dxa"/>
            <w:tcBorders>
              <w:top w:val="nil"/>
              <w:left w:val="nil"/>
              <w:bottom w:val="single" w:sz="4" w:space="0" w:color="auto"/>
              <w:right w:val="nil"/>
            </w:tcBorders>
            <w:shd w:val="clear" w:color="auto" w:fill="auto"/>
            <w:vAlign w:val="center"/>
            <w:hideMark/>
          </w:tcPr>
          <w:p w14:paraId="1343C8B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2A77EF98"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62F6F43"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(0.60)</w:t>
            </w:r>
          </w:p>
        </w:tc>
      </w:tr>
      <w:tr w:rsidR="00C54BBB" w:rsidRPr="000713E0" w14:paraId="36F4EEF7" w14:textId="77777777" w:rsidTr="001603F8">
        <w:trPr>
          <w:trHeight w:val="363"/>
        </w:trPr>
        <w:tc>
          <w:tcPr>
            <w:tcW w:w="0" w:type="auto"/>
            <w:vMerge/>
            <w:shd w:val="clear" w:color="auto" w:fill="E7E6E6" w:themeFill="background2"/>
            <w:vAlign w:val="center"/>
            <w:hideMark/>
          </w:tcPr>
          <w:p w14:paraId="5A5C46A6" w14:textId="77777777" w:rsidR="00C54BBB" w:rsidRPr="000713E0" w:rsidRDefault="00C54BBB" w:rsidP="001603F8">
            <w:pPr>
              <w:jc w:val="center"/>
              <w:rPr>
                <w:rFonts w:ascii="Times" w:hAnsi="Times" w:cs="Times"/>
                <w:sz w:val="18"/>
                <w:szCs w:val="18"/>
              </w:rPr>
            </w:pPr>
          </w:p>
        </w:tc>
        <w:tc>
          <w:tcPr>
            <w:tcW w:w="1515" w:type="dxa"/>
            <w:tcBorders>
              <w:top w:val="single" w:sz="4" w:space="0" w:color="auto"/>
              <w:left w:val="nil"/>
              <w:bottom w:val="nil"/>
              <w:right w:val="nil"/>
            </w:tcBorders>
            <w:shd w:val="clear" w:color="auto" w:fill="E7E6E6" w:themeFill="background2"/>
            <w:vAlign w:val="center"/>
            <w:hideMark/>
          </w:tcPr>
          <w:p w14:paraId="210F2AF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(0.65)</w:t>
            </w:r>
          </w:p>
          <w:p w14:paraId="5DF12033"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66D1AC6"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(0.55)</w:t>
            </w:r>
          </w:p>
        </w:tc>
        <w:tc>
          <w:tcPr>
            <w:tcW w:w="1519" w:type="dxa"/>
            <w:tcBorders>
              <w:top w:val="single" w:sz="4" w:space="0" w:color="auto"/>
              <w:left w:val="nil"/>
              <w:bottom w:val="nil"/>
              <w:right w:val="nil"/>
            </w:tcBorders>
            <w:shd w:val="clear" w:color="auto" w:fill="E7E6E6" w:themeFill="background2"/>
            <w:vAlign w:val="center"/>
            <w:hideMark/>
          </w:tcPr>
          <w:p w14:paraId="22A8D40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76.5% (0.52)</w:t>
            </w:r>
          </w:p>
          <w:p w14:paraId="41DAEFE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73339B5"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(0.76)</w:t>
            </w:r>
          </w:p>
        </w:tc>
        <w:tc>
          <w:tcPr>
            <w:tcW w:w="1522" w:type="dxa"/>
            <w:tcBorders>
              <w:top w:val="single" w:sz="4" w:space="0" w:color="auto"/>
              <w:left w:val="nil"/>
              <w:bottom w:val="nil"/>
              <w:right w:val="nil"/>
            </w:tcBorders>
            <w:shd w:val="clear" w:color="auto" w:fill="E7E6E6" w:themeFill="background2"/>
            <w:vAlign w:val="center"/>
            <w:hideMark/>
          </w:tcPr>
          <w:p w14:paraId="533989B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64.7% (0.27)</w:t>
            </w:r>
          </w:p>
          <w:p w14:paraId="61658E8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019580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(0.49)</w:t>
            </w:r>
          </w:p>
        </w:tc>
        <w:tc>
          <w:tcPr>
            <w:tcW w:w="1524" w:type="dxa"/>
            <w:tcBorders>
              <w:top w:val="single" w:sz="4" w:space="0" w:color="auto"/>
              <w:left w:val="nil"/>
              <w:bottom w:val="nil"/>
              <w:right w:val="nil"/>
            </w:tcBorders>
            <w:shd w:val="clear" w:color="auto" w:fill="E7E6E6" w:themeFill="background2"/>
            <w:vAlign w:val="center"/>
            <w:hideMark/>
          </w:tcPr>
          <w:p w14:paraId="375240C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64.7% (0.27)</w:t>
            </w:r>
          </w:p>
          <w:p w14:paraId="698D173E"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4C1A1C1"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76.5% (0.49)</w:t>
            </w:r>
          </w:p>
        </w:tc>
        <w:tc>
          <w:tcPr>
            <w:tcW w:w="1555" w:type="dxa"/>
            <w:tcBorders>
              <w:top w:val="single" w:sz="4" w:space="0" w:color="auto"/>
              <w:left w:val="nil"/>
              <w:bottom w:val="nil"/>
              <w:right w:val="single" w:sz="4" w:space="0" w:color="auto"/>
            </w:tcBorders>
            <w:shd w:val="clear" w:color="auto" w:fill="E7E6E6" w:themeFill="background2"/>
            <w:vAlign w:val="center"/>
            <w:hideMark/>
          </w:tcPr>
          <w:p w14:paraId="7367491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(0.14)</w:t>
            </w:r>
          </w:p>
          <w:p w14:paraId="5C6C11B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8F02D7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(0.35)</w:t>
            </w:r>
          </w:p>
        </w:tc>
        <w:tc>
          <w:tcPr>
            <w:tcW w:w="1517" w:type="dxa"/>
            <w:tcBorders>
              <w:top w:val="single" w:sz="4" w:space="0" w:color="auto"/>
              <w:left w:val="single" w:sz="4" w:space="0" w:color="auto"/>
              <w:bottom w:val="nil"/>
              <w:right w:val="nil"/>
            </w:tcBorders>
            <w:shd w:val="clear" w:color="auto" w:fill="auto"/>
            <w:vAlign w:val="center"/>
            <w:hideMark/>
          </w:tcPr>
          <w:p w14:paraId="710DDAFD"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Fixed</w:t>
            </w:r>
          </w:p>
        </w:tc>
        <w:tc>
          <w:tcPr>
            <w:tcW w:w="1519" w:type="dxa"/>
            <w:tcBorders>
              <w:top w:val="single" w:sz="4" w:space="0" w:color="auto"/>
              <w:left w:val="nil"/>
              <w:bottom w:val="nil"/>
              <w:right w:val="nil"/>
            </w:tcBorders>
            <w:shd w:val="clear" w:color="auto" w:fill="auto"/>
            <w:vAlign w:val="center"/>
            <w:hideMark/>
          </w:tcPr>
          <w:p w14:paraId="3B97202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76.5% (0.52)</w:t>
            </w:r>
          </w:p>
          <w:p w14:paraId="2FB98F4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CBB3E9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(0.64)</w:t>
            </w:r>
          </w:p>
        </w:tc>
        <w:tc>
          <w:tcPr>
            <w:tcW w:w="1522" w:type="dxa"/>
            <w:tcBorders>
              <w:top w:val="single" w:sz="4" w:space="0" w:color="auto"/>
              <w:left w:val="nil"/>
              <w:bottom w:val="nil"/>
              <w:right w:val="nil"/>
            </w:tcBorders>
            <w:shd w:val="clear" w:color="auto" w:fill="auto"/>
            <w:vAlign w:val="center"/>
            <w:hideMark/>
          </w:tcPr>
          <w:p w14:paraId="365DC502"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(0.39)</w:t>
            </w:r>
          </w:p>
          <w:p w14:paraId="465BAB9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5D21C0A"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(0.39)</w:t>
            </w:r>
          </w:p>
        </w:tc>
        <w:tc>
          <w:tcPr>
            <w:tcW w:w="1524" w:type="dxa"/>
            <w:tcBorders>
              <w:top w:val="single" w:sz="4" w:space="0" w:color="auto"/>
              <w:left w:val="nil"/>
              <w:bottom w:val="nil"/>
              <w:right w:val="nil"/>
            </w:tcBorders>
            <w:shd w:val="clear" w:color="auto" w:fill="auto"/>
            <w:vAlign w:val="center"/>
            <w:hideMark/>
          </w:tcPr>
          <w:p w14:paraId="288A8C3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(0.64)</w:t>
            </w:r>
          </w:p>
          <w:p w14:paraId="6631F8F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629E80A"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(0.64)</w:t>
            </w:r>
          </w:p>
        </w:tc>
        <w:tc>
          <w:tcPr>
            <w:tcW w:w="1555" w:type="dxa"/>
            <w:tcBorders>
              <w:top w:val="single" w:sz="4" w:space="0" w:color="auto"/>
              <w:left w:val="nil"/>
              <w:bottom w:val="nil"/>
              <w:right w:val="nil"/>
            </w:tcBorders>
            <w:shd w:val="clear" w:color="auto" w:fill="auto"/>
            <w:vAlign w:val="center"/>
            <w:hideMark/>
          </w:tcPr>
          <w:p w14:paraId="30B79137"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(0.39)</w:t>
            </w:r>
          </w:p>
          <w:p w14:paraId="0D4AACB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4CFE79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(0.39)</w:t>
            </w:r>
          </w:p>
        </w:tc>
      </w:tr>
      <w:tr w:rsidR="00C54BBB" w:rsidRPr="000713E0" w14:paraId="60DA55B2" w14:textId="77777777" w:rsidTr="001603F8">
        <w:trPr>
          <w:trHeight w:val="363"/>
        </w:trPr>
        <w:tc>
          <w:tcPr>
            <w:tcW w:w="0" w:type="auto"/>
            <w:vMerge/>
            <w:shd w:val="clear" w:color="auto" w:fill="E7E6E6" w:themeFill="background2"/>
            <w:vAlign w:val="center"/>
            <w:hideMark/>
          </w:tcPr>
          <w:p w14:paraId="6D804269"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6C809753"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(0.29)</w:t>
            </w:r>
          </w:p>
          <w:p w14:paraId="1C3A3B9F"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10E0EF8"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64.7% (0.37)</w:t>
            </w:r>
          </w:p>
        </w:tc>
        <w:tc>
          <w:tcPr>
            <w:tcW w:w="1519" w:type="dxa"/>
            <w:shd w:val="clear" w:color="auto" w:fill="E7E6E6" w:themeFill="background2"/>
            <w:vAlign w:val="center"/>
            <w:hideMark/>
          </w:tcPr>
          <w:p w14:paraId="1360E92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(0.72)</w:t>
            </w:r>
          </w:p>
          <w:p w14:paraId="07DD6BB1"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479213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(0.75)</w:t>
            </w:r>
          </w:p>
        </w:tc>
        <w:tc>
          <w:tcPr>
            <w:tcW w:w="1522" w:type="dxa"/>
            <w:shd w:val="clear" w:color="auto" w:fill="E7E6E6" w:themeFill="background2"/>
            <w:vAlign w:val="center"/>
            <w:hideMark/>
          </w:tcPr>
          <w:p w14:paraId="45FBBD6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(0.67)</w:t>
            </w:r>
          </w:p>
          <w:p w14:paraId="659E74D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AF5DE3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(0.72)</w:t>
            </w:r>
          </w:p>
        </w:tc>
        <w:tc>
          <w:tcPr>
            <w:tcW w:w="1524" w:type="dxa"/>
            <w:shd w:val="clear" w:color="auto" w:fill="E7E6E6" w:themeFill="background2"/>
            <w:vAlign w:val="center"/>
            <w:hideMark/>
          </w:tcPr>
          <w:p w14:paraId="155B741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(0.67)</w:t>
            </w:r>
          </w:p>
          <w:p w14:paraId="7082984F"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D1A00B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(0.72)</w:t>
            </w:r>
          </w:p>
        </w:tc>
        <w:tc>
          <w:tcPr>
            <w:tcW w:w="1555" w:type="dxa"/>
            <w:tcBorders>
              <w:top w:val="nil"/>
              <w:left w:val="nil"/>
              <w:bottom w:val="nil"/>
              <w:right w:val="single" w:sz="4" w:space="0" w:color="auto"/>
            </w:tcBorders>
            <w:shd w:val="clear" w:color="auto" w:fill="E7E6E6" w:themeFill="background2"/>
            <w:vAlign w:val="center"/>
            <w:hideMark/>
          </w:tcPr>
          <w:p w14:paraId="499B3E2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(0.46)</w:t>
            </w:r>
          </w:p>
          <w:p w14:paraId="63AD5DA6"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CEE9B93"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(0.55)</w:t>
            </w:r>
          </w:p>
        </w:tc>
        <w:tc>
          <w:tcPr>
            <w:tcW w:w="1517" w:type="dxa"/>
            <w:tcBorders>
              <w:top w:val="nil"/>
              <w:left w:val="single" w:sz="4" w:space="0" w:color="auto"/>
              <w:bottom w:val="nil"/>
              <w:right w:val="nil"/>
            </w:tcBorders>
            <w:shd w:val="clear" w:color="auto" w:fill="E7E6E6" w:themeFill="background2"/>
            <w:vAlign w:val="center"/>
            <w:hideMark/>
          </w:tcPr>
          <w:p w14:paraId="38D309F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76.5% (0.51)</w:t>
            </w:r>
          </w:p>
          <w:p w14:paraId="1331AE49"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3F7D56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(0.75)</w:t>
            </w:r>
          </w:p>
        </w:tc>
        <w:tc>
          <w:tcPr>
            <w:tcW w:w="1519" w:type="dxa"/>
            <w:shd w:val="clear" w:color="auto" w:fill="auto"/>
            <w:vAlign w:val="center"/>
            <w:hideMark/>
          </w:tcPr>
          <w:p w14:paraId="05C38534"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DL+WT</w:t>
            </w:r>
          </w:p>
        </w:tc>
        <w:tc>
          <w:tcPr>
            <w:tcW w:w="1522" w:type="dxa"/>
            <w:shd w:val="clear" w:color="auto" w:fill="auto"/>
            <w:vAlign w:val="center"/>
            <w:hideMark/>
          </w:tcPr>
          <w:p w14:paraId="38D9BDD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14547916"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7B5F94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24" w:type="dxa"/>
            <w:shd w:val="clear" w:color="auto" w:fill="auto"/>
            <w:vAlign w:val="center"/>
            <w:hideMark/>
          </w:tcPr>
          <w:p w14:paraId="6B2868FD"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(0.87)</w:t>
            </w:r>
          </w:p>
          <w:p w14:paraId="08509019"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5B4CF0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55" w:type="dxa"/>
            <w:shd w:val="clear" w:color="auto" w:fill="auto"/>
            <w:vAlign w:val="center"/>
            <w:hideMark/>
          </w:tcPr>
          <w:p w14:paraId="5475E427"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49BE8C00"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E0DC20E"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r>
      <w:tr w:rsidR="00C54BBB" w:rsidRPr="000713E0" w14:paraId="6A555FD9" w14:textId="77777777" w:rsidTr="001603F8">
        <w:trPr>
          <w:trHeight w:val="363"/>
        </w:trPr>
        <w:tc>
          <w:tcPr>
            <w:tcW w:w="0" w:type="auto"/>
            <w:vMerge/>
            <w:shd w:val="clear" w:color="auto" w:fill="E7E6E6" w:themeFill="background2"/>
            <w:vAlign w:val="center"/>
            <w:hideMark/>
          </w:tcPr>
          <w:p w14:paraId="331679DD"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004DD1DB"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52.9% (0.21)</w:t>
            </w:r>
          </w:p>
          <w:p w14:paraId="4478655F"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9D5CACC"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58.8% (0.29)</w:t>
            </w:r>
          </w:p>
        </w:tc>
        <w:tc>
          <w:tcPr>
            <w:tcW w:w="1519" w:type="dxa"/>
            <w:shd w:val="clear" w:color="auto" w:fill="E7E6E6" w:themeFill="background2"/>
            <w:vAlign w:val="center"/>
            <w:hideMark/>
          </w:tcPr>
          <w:p w14:paraId="79D1E1CD"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03D072AF"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ECC44C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(0.61)</w:t>
            </w:r>
          </w:p>
        </w:tc>
        <w:tc>
          <w:tcPr>
            <w:tcW w:w="1522" w:type="dxa"/>
            <w:shd w:val="clear" w:color="auto" w:fill="E7E6E6" w:themeFill="background2"/>
            <w:vAlign w:val="center"/>
            <w:hideMark/>
          </w:tcPr>
          <w:p w14:paraId="2D76FEF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491F91E9"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B2D651E"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4" w:type="dxa"/>
            <w:shd w:val="clear" w:color="auto" w:fill="E7E6E6" w:themeFill="background2"/>
            <w:vAlign w:val="center"/>
            <w:hideMark/>
          </w:tcPr>
          <w:p w14:paraId="778D290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7D6CF34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7BDA19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tcBorders>
              <w:top w:val="nil"/>
              <w:left w:val="nil"/>
              <w:bottom w:val="nil"/>
              <w:right w:val="single" w:sz="4" w:space="0" w:color="auto"/>
            </w:tcBorders>
            <w:shd w:val="clear" w:color="auto" w:fill="E7E6E6" w:themeFill="background2"/>
            <w:vAlign w:val="center"/>
            <w:hideMark/>
          </w:tcPr>
          <w:p w14:paraId="20EC0920"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1A26D51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ECA6DC2"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17" w:type="dxa"/>
            <w:tcBorders>
              <w:top w:val="nil"/>
              <w:left w:val="single" w:sz="4" w:space="0" w:color="auto"/>
              <w:bottom w:val="nil"/>
              <w:right w:val="nil"/>
            </w:tcBorders>
            <w:shd w:val="clear" w:color="auto" w:fill="E7E6E6" w:themeFill="background2"/>
            <w:vAlign w:val="center"/>
            <w:hideMark/>
          </w:tcPr>
          <w:p w14:paraId="16E19C7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(0.14)</w:t>
            </w:r>
          </w:p>
          <w:p w14:paraId="683C7E22"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3BFD6AF"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(0.35)</w:t>
            </w:r>
          </w:p>
        </w:tc>
        <w:tc>
          <w:tcPr>
            <w:tcW w:w="1519" w:type="dxa"/>
            <w:shd w:val="clear" w:color="auto" w:fill="E7E6E6" w:themeFill="background2"/>
            <w:vAlign w:val="center"/>
            <w:hideMark/>
          </w:tcPr>
          <w:p w14:paraId="219BECD7"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(0.46)</w:t>
            </w:r>
          </w:p>
          <w:p w14:paraId="75D9B1EB"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B8B7EF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(0.55)</w:t>
            </w:r>
          </w:p>
        </w:tc>
        <w:tc>
          <w:tcPr>
            <w:tcW w:w="1522" w:type="dxa"/>
            <w:shd w:val="clear" w:color="auto" w:fill="auto"/>
            <w:vAlign w:val="center"/>
            <w:hideMark/>
          </w:tcPr>
          <w:p w14:paraId="719236C5"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DL+</w:t>
            </w:r>
            <w:r>
              <w:rPr>
                <w:rFonts w:ascii="Times" w:hAnsi="Times" w:cs="Times"/>
                <w:b/>
                <w:bCs/>
                <w:sz w:val="18"/>
                <w:szCs w:val="18"/>
              </w:rPr>
              <w:t>HKSJ</w:t>
            </w:r>
          </w:p>
        </w:tc>
        <w:tc>
          <w:tcPr>
            <w:tcW w:w="1524" w:type="dxa"/>
            <w:shd w:val="clear" w:color="auto" w:fill="auto"/>
            <w:vAlign w:val="center"/>
            <w:hideMark/>
          </w:tcPr>
          <w:p w14:paraId="114C257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(0.68)</w:t>
            </w:r>
          </w:p>
          <w:p w14:paraId="31472B6A"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25956C8"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c>
          <w:tcPr>
            <w:tcW w:w="1555" w:type="dxa"/>
            <w:shd w:val="clear" w:color="auto" w:fill="auto"/>
            <w:vAlign w:val="center"/>
            <w:hideMark/>
          </w:tcPr>
          <w:p w14:paraId="0862DEE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540DBF6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E756FF9"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r>
      <w:tr w:rsidR="00C54BBB" w:rsidRPr="000713E0" w14:paraId="618E35B8" w14:textId="77777777" w:rsidTr="001603F8">
        <w:trPr>
          <w:trHeight w:val="363"/>
        </w:trPr>
        <w:tc>
          <w:tcPr>
            <w:tcW w:w="0" w:type="auto"/>
            <w:vMerge/>
            <w:shd w:val="clear" w:color="auto" w:fill="E7E6E6" w:themeFill="background2"/>
            <w:vAlign w:val="center"/>
            <w:hideMark/>
          </w:tcPr>
          <w:p w14:paraId="684AF11B"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1E107A8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52.9% (0.21)</w:t>
            </w:r>
          </w:p>
          <w:p w14:paraId="7938EE6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81E8DBB"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58.8% (0.29)</w:t>
            </w:r>
          </w:p>
        </w:tc>
        <w:tc>
          <w:tcPr>
            <w:tcW w:w="1519" w:type="dxa"/>
            <w:shd w:val="clear" w:color="auto" w:fill="E7E6E6" w:themeFill="background2"/>
            <w:vAlign w:val="center"/>
            <w:hideMark/>
          </w:tcPr>
          <w:p w14:paraId="67300E48"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39A0C7B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81A45A4"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(0.61)</w:t>
            </w:r>
          </w:p>
        </w:tc>
        <w:tc>
          <w:tcPr>
            <w:tcW w:w="1522" w:type="dxa"/>
            <w:shd w:val="clear" w:color="auto" w:fill="E7E6E6" w:themeFill="background2"/>
            <w:vAlign w:val="center"/>
            <w:hideMark/>
          </w:tcPr>
          <w:p w14:paraId="52EE8B14"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(0.46)</w:t>
            </w:r>
          </w:p>
          <w:p w14:paraId="245A6AB0"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BBBB569"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(0.55)</w:t>
            </w:r>
          </w:p>
        </w:tc>
        <w:tc>
          <w:tcPr>
            <w:tcW w:w="1524" w:type="dxa"/>
            <w:shd w:val="clear" w:color="auto" w:fill="E7E6E6" w:themeFill="background2"/>
            <w:vAlign w:val="center"/>
            <w:hideMark/>
          </w:tcPr>
          <w:p w14:paraId="2B2B3DF6"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34F4BE6A"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C39BD41"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tcBorders>
              <w:top w:val="nil"/>
              <w:left w:val="nil"/>
              <w:bottom w:val="nil"/>
              <w:right w:val="single" w:sz="4" w:space="0" w:color="auto"/>
            </w:tcBorders>
            <w:shd w:val="clear" w:color="auto" w:fill="E7E6E6" w:themeFill="background2"/>
            <w:vAlign w:val="center"/>
            <w:hideMark/>
          </w:tcPr>
          <w:p w14:paraId="3E1E2AC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265CB931"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E39418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(0.67)</w:t>
            </w:r>
          </w:p>
        </w:tc>
        <w:tc>
          <w:tcPr>
            <w:tcW w:w="1517" w:type="dxa"/>
            <w:tcBorders>
              <w:top w:val="nil"/>
              <w:left w:val="single" w:sz="4" w:space="0" w:color="auto"/>
              <w:bottom w:val="nil"/>
              <w:right w:val="nil"/>
            </w:tcBorders>
            <w:shd w:val="clear" w:color="auto" w:fill="E7E6E6" w:themeFill="background2"/>
            <w:vAlign w:val="center"/>
            <w:hideMark/>
          </w:tcPr>
          <w:p w14:paraId="05949345"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70.6% (0.39)</w:t>
            </w:r>
          </w:p>
          <w:p w14:paraId="2FE277C3"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E19487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(0.61)</w:t>
            </w:r>
          </w:p>
        </w:tc>
        <w:tc>
          <w:tcPr>
            <w:tcW w:w="1519" w:type="dxa"/>
            <w:shd w:val="clear" w:color="auto" w:fill="E7E6E6" w:themeFill="background2"/>
            <w:vAlign w:val="center"/>
            <w:hideMark/>
          </w:tcPr>
          <w:p w14:paraId="4AFCA6E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599D0C2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78E7C1C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2" w:type="dxa"/>
            <w:shd w:val="clear" w:color="auto" w:fill="E7E6E6" w:themeFill="background2"/>
            <w:vAlign w:val="center"/>
            <w:hideMark/>
          </w:tcPr>
          <w:p w14:paraId="6E02D7E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7E225BB6"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725536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(0.67)</w:t>
            </w:r>
          </w:p>
        </w:tc>
        <w:tc>
          <w:tcPr>
            <w:tcW w:w="1524" w:type="dxa"/>
            <w:shd w:val="clear" w:color="auto" w:fill="auto"/>
            <w:vAlign w:val="center"/>
            <w:hideMark/>
          </w:tcPr>
          <w:p w14:paraId="3DFC3FE6"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REML+WT</w:t>
            </w:r>
          </w:p>
        </w:tc>
        <w:tc>
          <w:tcPr>
            <w:tcW w:w="1555" w:type="dxa"/>
            <w:shd w:val="clear" w:color="auto" w:fill="auto"/>
            <w:vAlign w:val="center"/>
            <w:hideMark/>
          </w:tcPr>
          <w:p w14:paraId="112C32F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(0.68)</w:t>
            </w:r>
          </w:p>
          <w:p w14:paraId="67AC3AD1"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559654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(0.68)</w:t>
            </w:r>
          </w:p>
        </w:tc>
      </w:tr>
      <w:tr w:rsidR="00C54BBB" w:rsidRPr="000713E0" w14:paraId="2F11174C" w14:textId="77777777" w:rsidTr="001603F8">
        <w:trPr>
          <w:trHeight w:val="363"/>
        </w:trPr>
        <w:tc>
          <w:tcPr>
            <w:tcW w:w="0" w:type="auto"/>
            <w:vMerge/>
            <w:shd w:val="clear" w:color="auto" w:fill="E7E6E6" w:themeFill="background2"/>
            <w:vAlign w:val="center"/>
            <w:hideMark/>
          </w:tcPr>
          <w:p w14:paraId="27AFBC25" w14:textId="77777777" w:rsidR="00C54BBB" w:rsidRPr="000713E0" w:rsidRDefault="00C54BBB" w:rsidP="001603F8">
            <w:pPr>
              <w:jc w:val="center"/>
              <w:rPr>
                <w:rFonts w:ascii="Times" w:hAnsi="Times" w:cs="Times"/>
                <w:sz w:val="18"/>
                <w:szCs w:val="18"/>
              </w:rPr>
            </w:pPr>
          </w:p>
        </w:tc>
        <w:tc>
          <w:tcPr>
            <w:tcW w:w="1515" w:type="dxa"/>
            <w:shd w:val="clear" w:color="auto" w:fill="E7E6E6" w:themeFill="background2"/>
            <w:vAlign w:val="center"/>
            <w:hideMark/>
          </w:tcPr>
          <w:p w14:paraId="1BD1AB4A"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52.9% (0.21)</w:t>
            </w:r>
          </w:p>
          <w:p w14:paraId="55A4F32C"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3411CF27"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58.8% (0.29)</w:t>
            </w:r>
          </w:p>
        </w:tc>
        <w:tc>
          <w:tcPr>
            <w:tcW w:w="1519" w:type="dxa"/>
            <w:shd w:val="clear" w:color="auto" w:fill="E7E6E6" w:themeFill="background2"/>
            <w:vAlign w:val="center"/>
            <w:hideMark/>
          </w:tcPr>
          <w:p w14:paraId="2A44E1C9"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(0.56)</w:t>
            </w:r>
          </w:p>
          <w:p w14:paraId="2F96B4F6"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43A90C25"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(0.61)</w:t>
            </w:r>
          </w:p>
        </w:tc>
        <w:tc>
          <w:tcPr>
            <w:tcW w:w="1522" w:type="dxa"/>
            <w:shd w:val="clear" w:color="auto" w:fill="E7E6E6" w:themeFill="background2"/>
            <w:vAlign w:val="center"/>
            <w:hideMark/>
          </w:tcPr>
          <w:p w14:paraId="4743CBEC"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0EF2E678"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178032E2"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24" w:type="dxa"/>
            <w:shd w:val="clear" w:color="auto" w:fill="E7E6E6" w:themeFill="background2"/>
            <w:vAlign w:val="center"/>
            <w:hideMark/>
          </w:tcPr>
          <w:p w14:paraId="2C2CBECD"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94.1% (0.82)</w:t>
            </w:r>
          </w:p>
          <w:p w14:paraId="4BA088E0"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8AFE160"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94.1% (0.85)</w:t>
            </w:r>
          </w:p>
        </w:tc>
        <w:tc>
          <w:tcPr>
            <w:tcW w:w="1555" w:type="dxa"/>
            <w:tcBorders>
              <w:top w:val="nil"/>
              <w:left w:val="nil"/>
              <w:bottom w:val="nil"/>
              <w:right w:val="single" w:sz="4" w:space="0" w:color="auto"/>
            </w:tcBorders>
            <w:shd w:val="clear" w:color="auto" w:fill="E7E6E6" w:themeFill="background2"/>
            <w:vAlign w:val="center"/>
            <w:hideMark/>
          </w:tcPr>
          <w:p w14:paraId="3E65FE36"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69D62B6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584B89FF"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17" w:type="dxa"/>
            <w:tcBorders>
              <w:top w:val="nil"/>
              <w:left w:val="single" w:sz="4" w:space="0" w:color="auto"/>
              <w:bottom w:val="nil"/>
              <w:right w:val="nil"/>
            </w:tcBorders>
            <w:shd w:val="clear" w:color="auto" w:fill="E7E6E6" w:themeFill="background2"/>
            <w:vAlign w:val="center"/>
            <w:hideMark/>
          </w:tcPr>
          <w:p w14:paraId="64F9E057"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58.8% (0.14)</w:t>
            </w:r>
          </w:p>
          <w:p w14:paraId="6120483D"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E8035CF"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70.6% (0.35)</w:t>
            </w:r>
          </w:p>
        </w:tc>
        <w:tc>
          <w:tcPr>
            <w:tcW w:w="1519" w:type="dxa"/>
            <w:shd w:val="clear" w:color="auto" w:fill="E7E6E6" w:themeFill="background2"/>
            <w:vAlign w:val="center"/>
            <w:hideMark/>
          </w:tcPr>
          <w:p w14:paraId="079D2463"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82.4% (0.46)</w:t>
            </w:r>
          </w:p>
          <w:p w14:paraId="3289A9CE"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66441462"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82.4% (0.55)</w:t>
            </w:r>
          </w:p>
        </w:tc>
        <w:tc>
          <w:tcPr>
            <w:tcW w:w="1522" w:type="dxa"/>
            <w:shd w:val="clear" w:color="auto" w:fill="E7E6E6" w:themeFill="background2"/>
            <w:vAlign w:val="center"/>
            <w:hideMark/>
          </w:tcPr>
          <w:p w14:paraId="5CCED78E"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100.0% (1.00)</w:t>
            </w:r>
          </w:p>
          <w:p w14:paraId="06304844"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05511ED7"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100.0% (1.00)</w:t>
            </w:r>
          </w:p>
        </w:tc>
        <w:tc>
          <w:tcPr>
            <w:tcW w:w="1524" w:type="dxa"/>
            <w:shd w:val="clear" w:color="auto" w:fill="E7E6E6" w:themeFill="background2"/>
            <w:vAlign w:val="center"/>
            <w:hideMark/>
          </w:tcPr>
          <w:p w14:paraId="1418D22F" w14:textId="77777777" w:rsidR="00C54BBB" w:rsidRDefault="00C54BBB" w:rsidP="001603F8">
            <w:pPr>
              <w:ind w:left="113" w:right="113"/>
              <w:jc w:val="center"/>
              <w:rPr>
                <w:rFonts w:ascii="Times" w:hAnsi="Times" w:cs="Times"/>
                <w:sz w:val="18"/>
                <w:szCs w:val="18"/>
              </w:rPr>
            </w:pPr>
            <w:r w:rsidRPr="00FD7FE8">
              <w:rPr>
                <w:rFonts w:ascii="Times" w:hAnsi="Times" w:cs="Times"/>
                <w:sz w:val="18"/>
                <w:szCs w:val="18"/>
              </w:rPr>
              <w:t>88.2% (0.60)</w:t>
            </w:r>
          </w:p>
          <w:p w14:paraId="174411C5" w14:textId="77777777" w:rsidR="00C54BBB" w:rsidRDefault="00C54BBB" w:rsidP="001603F8">
            <w:pPr>
              <w:ind w:left="113" w:right="113"/>
              <w:jc w:val="center"/>
              <w:rPr>
                <w:rFonts w:ascii="Times" w:hAnsi="Times" w:cs="Times"/>
                <w:sz w:val="18"/>
                <w:szCs w:val="18"/>
              </w:rPr>
            </w:pPr>
            <w:r>
              <w:rPr>
                <w:rFonts w:ascii="Times" w:hAnsi="Times" w:cs="Times"/>
                <w:sz w:val="18"/>
                <w:szCs w:val="18"/>
              </w:rPr>
              <w:t>vs</w:t>
            </w:r>
          </w:p>
          <w:p w14:paraId="296A6AFD" w14:textId="77777777" w:rsidR="00C54BBB" w:rsidRPr="00FD7FE8" w:rsidRDefault="00C54BBB" w:rsidP="001603F8">
            <w:pPr>
              <w:ind w:left="113" w:right="113"/>
              <w:jc w:val="center"/>
              <w:rPr>
                <w:rFonts w:ascii="Times" w:hAnsi="Times" w:cs="Times"/>
                <w:sz w:val="18"/>
                <w:szCs w:val="18"/>
              </w:rPr>
            </w:pPr>
            <w:r w:rsidRPr="00FD7FE8">
              <w:rPr>
                <w:rFonts w:ascii="Times" w:hAnsi="Times" w:cs="Times"/>
                <w:sz w:val="18"/>
                <w:szCs w:val="18"/>
              </w:rPr>
              <w:t>88.2% (0.67)</w:t>
            </w:r>
          </w:p>
        </w:tc>
        <w:tc>
          <w:tcPr>
            <w:tcW w:w="1555" w:type="dxa"/>
            <w:shd w:val="clear" w:color="auto" w:fill="auto"/>
            <w:vAlign w:val="center"/>
            <w:hideMark/>
          </w:tcPr>
          <w:p w14:paraId="72973D21" w14:textId="77777777" w:rsidR="00C54BBB" w:rsidRPr="00FD7FE8" w:rsidRDefault="00C54BBB" w:rsidP="001603F8">
            <w:pPr>
              <w:ind w:left="113" w:right="113"/>
              <w:jc w:val="center"/>
              <w:rPr>
                <w:rFonts w:ascii="Times" w:hAnsi="Times" w:cs="Times"/>
                <w:b/>
                <w:bCs/>
                <w:sz w:val="18"/>
                <w:szCs w:val="18"/>
              </w:rPr>
            </w:pPr>
            <w:r w:rsidRPr="00FD7FE8">
              <w:rPr>
                <w:rFonts w:ascii="Times" w:hAnsi="Times" w:cs="Times"/>
                <w:b/>
                <w:bCs/>
                <w:sz w:val="18"/>
                <w:szCs w:val="18"/>
              </w:rPr>
              <w:t>REML+</w:t>
            </w:r>
            <w:r>
              <w:rPr>
                <w:rFonts w:ascii="Times" w:hAnsi="Times" w:cs="Times"/>
                <w:b/>
                <w:bCs/>
                <w:sz w:val="18"/>
                <w:szCs w:val="18"/>
              </w:rPr>
              <w:t>HKSJ</w:t>
            </w:r>
          </w:p>
        </w:tc>
      </w:tr>
      <w:tr w:rsidR="00C54BBB" w:rsidRPr="000713E0" w14:paraId="16EA2AE8" w14:textId="77777777" w:rsidTr="001603F8">
        <w:trPr>
          <w:trHeight w:val="363"/>
        </w:trPr>
        <w:tc>
          <w:tcPr>
            <w:tcW w:w="15840" w:type="dxa"/>
            <w:gridSpan w:val="11"/>
            <w:shd w:val="clear" w:color="auto" w:fill="auto"/>
            <w:vAlign w:val="center"/>
          </w:tcPr>
          <w:p w14:paraId="3DB77F46" w14:textId="77777777" w:rsidR="00C54BBB" w:rsidRPr="009318F9" w:rsidRDefault="00C54BBB" w:rsidP="009318F9">
            <w:pPr>
              <w:spacing w:after="160" w:line="360" w:lineRule="auto"/>
              <w:rPr>
                <w:rFonts w:ascii="Times" w:hAnsi="Times" w:cs="Times"/>
                <w:sz w:val="24"/>
                <w:szCs w:val="24"/>
              </w:rPr>
            </w:pPr>
            <w:r w:rsidRPr="009318F9">
              <w:rPr>
                <w:rFonts w:ascii="Times" w:hAnsi="Times" w:cs="Times"/>
                <w:sz w:val="24"/>
                <w:szCs w:val="24"/>
              </w:rPr>
              <w:t>The top row of the label indicates the ITS analysis methods, bottom row indicates the meta-analysis method, e.g., OLS Fixed is OLS ITS analysis and fixed effect meta-analysis. We used the following adjectives to describe agreement: moderate agreement as a kappa value of 0.41-0.6, substantial agreement as a value of 0.61-0.8, and almost perfect agreement as a value of 0.81-1.0.</w:t>
            </w:r>
          </w:p>
          <w:p w14:paraId="439A70E7" w14:textId="77777777" w:rsidR="00C54BBB" w:rsidRPr="009318F9" w:rsidRDefault="00C54BBB" w:rsidP="009318F9">
            <w:pPr>
              <w:spacing w:after="160" w:line="360" w:lineRule="auto"/>
              <w:rPr>
                <w:rFonts w:ascii="Times" w:hAnsi="Times" w:cs="Times"/>
                <w:sz w:val="24"/>
                <w:szCs w:val="24"/>
              </w:rPr>
            </w:pPr>
            <w:r w:rsidRPr="009318F9">
              <w:rPr>
                <w:rFonts w:ascii="Times" w:hAnsi="Times" w:cs="Times"/>
                <w:sz w:val="24"/>
                <w:szCs w:val="24"/>
              </w:rPr>
              <w:lastRenderedPageBreak/>
              <w:t>DL, DerSimonian and Laird. HKSJ, Hartung-Knapp / Sidik-Jonkman. ITS, interrupted time series. OLS, ordinary least squares. REML, restricted maximum likelihood. WT, Wald-type.</w:t>
            </w:r>
          </w:p>
        </w:tc>
      </w:tr>
    </w:tbl>
    <w:p w14:paraId="307CC9B8" w14:textId="77777777" w:rsidR="00C54BBB" w:rsidRPr="00D96847" w:rsidRDefault="00C54BBB" w:rsidP="00DB3533">
      <w:pPr>
        <w:rPr>
          <w:rFonts w:ascii="Times New Roman" w:hAnsi="Times New Roman" w:cs="Times New Roman"/>
        </w:rPr>
      </w:pPr>
    </w:p>
    <w:p w14:paraId="3E535D9A" w14:textId="77777777" w:rsidR="00C54BBB" w:rsidRDefault="00C54BBB" w:rsidP="00DB3533">
      <w:pPr>
        <w:rPr>
          <w:rFonts w:ascii="Times New Roman" w:hAnsi="Times New Roman" w:cs="Times New Roman"/>
        </w:rPr>
      </w:pPr>
    </w:p>
    <w:p w14:paraId="1F3ABAE8" w14:textId="77777777" w:rsidR="00C54BBB" w:rsidRPr="007B6890" w:rsidRDefault="00C54BBB" w:rsidP="007B6890">
      <w:pPr>
        <w:pStyle w:val="Heading3"/>
        <w:rPr>
          <w:rFonts w:ascii="Times" w:hAnsi="Times" w:cs="Times"/>
        </w:rPr>
      </w:pPr>
      <w:bookmarkStart w:id="20" w:name="_Toc121731922"/>
      <w:r>
        <w:rPr>
          <w:rFonts w:ascii="Times" w:hAnsi="Times" w:cs="Times"/>
        </w:rPr>
        <w:t>Appendix Table S8. Comparing the primary and sensitivity analysis results for the median</w:t>
      </w:r>
      <w:r w:rsidRPr="00AF157A">
        <w:rPr>
          <w:rFonts w:ascii="Times" w:hAnsi="Times" w:cs="Times"/>
        </w:rPr>
        <w:t xml:space="preserve"> and </w:t>
      </w:r>
      <w:r>
        <w:rPr>
          <w:rFonts w:ascii="Times" w:hAnsi="Times" w:cs="Times"/>
        </w:rPr>
        <w:t>IQR for the</w:t>
      </w:r>
      <w:r w:rsidRPr="00AF157A">
        <w:rPr>
          <w:rFonts w:ascii="Times" w:hAnsi="Times" w:cs="Times"/>
        </w:rPr>
        <w:t xml:space="preserve"> </w:t>
      </w:r>
      <w:r>
        <w:rPr>
          <w:rFonts w:ascii="Times" w:hAnsi="Times" w:cs="Times"/>
        </w:rPr>
        <w:t xml:space="preserve">differences in between-study variance estimates </w:t>
      </w:r>
      <w:r w:rsidRPr="00852AEE">
        <w:rPr>
          <w:rFonts w:ascii="Times" w:hAnsi="Times" w:cs="Times"/>
        </w:rPr>
        <w:t>for the meta-analytic immediate level-change (top triangle</w:t>
      </w:r>
      <w:r>
        <w:rPr>
          <w:rFonts w:ascii="Times" w:hAnsi="Times" w:cs="Times"/>
        </w:rPr>
        <w:t xml:space="preserve">, difference calculated as </w:t>
      </w:r>
      <w:r w:rsidRPr="00AF157A">
        <w:rPr>
          <w:rFonts w:ascii="Times" w:hAnsi="Times" w:cs="Times"/>
        </w:rPr>
        <w:t xml:space="preserve">column method </w:t>
      </w:r>
      <w:r>
        <w:rPr>
          <w:rFonts w:ascii="Times" w:hAnsi="Times" w:cs="Times"/>
        </w:rPr>
        <w:t>-</w:t>
      </w:r>
      <w:r w:rsidRPr="00AF157A">
        <w:rPr>
          <w:rFonts w:ascii="Times" w:hAnsi="Times" w:cs="Times"/>
        </w:rPr>
        <w:t xml:space="preserve"> row method</w:t>
      </w:r>
      <w:r w:rsidRPr="00852AEE">
        <w:rPr>
          <w:rFonts w:ascii="Times" w:hAnsi="Times" w:cs="Times"/>
        </w:rPr>
        <w:t>) and slope-change (bottom triangle</w:t>
      </w:r>
      <w:r>
        <w:rPr>
          <w:rFonts w:ascii="Times" w:hAnsi="Times" w:cs="Times"/>
        </w:rPr>
        <w:t xml:space="preserve">, difference calculated as row </w:t>
      </w:r>
      <w:r w:rsidRPr="00AF157A">
        <w:rPr>
          <w:rFonts w:ascii="Times" w:hAnsi="Times" w:cs="Times"/>
        </w:rPr>
        <w:t xml:space="preserve">method </w:t>
      </w:r>
      <w:r>
        <w:rPr>
          <w:rFonts w:ascii="Times" w:hAnsi="Times" w:cs="Times"/>
        </w:rPr>
        <w:t>-</w:t>
      </w:r>
      <w:r w:rsidRPr="00AF157A">
        <w:rPr>
          <w:rFonts w:ascii="Times" w:hAnsi="Times" w:cs="Times"/>
        </w:rPr>
        <w:t xml:space="preserve"> </w:t>
      </w:r>
      <w:r>
        <w:rPr>
          <w:rFonts w:ascii="Times" w:hAnsi="Times" w:cs="Times"/>
        </w:rPr>
        <w:t>column</w:t>
      </w:r>
      <w:r w:rsidRPr="00AF157A">
        <w:rPr>
          <w:rFonts w:ascii="Times" w:hAnsi="Times" w:cs="Times"/>
        </w:rPr>
        <w:t xml:space="preserve"> method</w:t>
      </w:r>
      <w:r w:rsidRPr="00852AEE">
        <w:rPr>
          <w:rFonts w:ascii="Times" w:hAnsi="Times" w:cs="Times"/>
        </w:rPr>
        <w:t>)</w:t>
      </w:r>
      <w:r w:rsidRPr="007B6890">
        <w:rPr>
          <w:rFonts w:ascii="Times" w:hAnsi="Times" w:cs="Times"/>
        </w:rPr>
        <w:t>.</w:t>
      </w:r>
      <w:bookmarkEnd w:id="20"/>
    </w:p>
    <w:p w14:paraId="2B212794" w14:textId="77777777" w:rsidR="00C54BBB" w:rsidRDefault="00C54BBB" w:rsidP="004B0E09"/>
    <w:tbl>
      <w:tblPr>
        <w:tblW w:w="9356" w:type="dxa"/>
        <w:jc w:val="center"/>
        <w:tblLayout w:type="fixed"/>
        <w:tblLook w:val="04A0" w:firstRow="1" w:lastRow="0" w:firstColumn="1" w:lastColumn="0" w:noHBand="0" w:noVBand="1"/>
      </w:tblPr>
      <w:tblGrid>
        <w:gridCol w:w="426"/>
        <w:gridCol w:w="2232"/>
        <w:gridCol w:w="2233"/>
        <w:gridCol w:w="2232"/>
        <w:gridCol w:w="2233"/>
      </w:tblGrid>
      <w:tr w:rsidR="00C54BBB" w:rsidRPr="007B6890" w14:paraId="40FCAD17" w14:textId="77777777" w:rsidTr="009F558E">
        <w:trPr>
          <w:trHeight w:val="326"/>
          <w:jc w:val="center"/>
        </w:trPr>
        <w:tc>
          <w:tcPr>
            <w:tcW w:w="426" w:type="dxa"/>
            <w:shd w:val="clear" w:color="auto" w:fill="E7E6E6" w:themeFill="background2"/>
            <w:noWrap/>
            <w:textDirection w:val="btLr"/>
            <w:vAlign w:val="center"/>
          </w:tcPr>
          <w:p w14:paraId="31F835AE" w14:textId="77777777" w:rsidR="00C54BBB" w:rsidRPr="007B6890" w:rsidRDefault="00C54BBB" w:rsidP="009F558E">
            <w:pPr>
              <w:spacing w:after="0" w:line="240" w:lineRule="auto"/>
              <w:jc w:val="center"/>
              <w:rPr>
                <w:rFonts w:ascii="Times" w:hAnsi="Times" w:cs="Times"/>
                <w:b/>
                <w:bCs/>
                <w:sz w:val="20"/>
                <w:szCs w:val="20"/>
              </w:rPr>
            </w:pPr>
          </w:p>
        </w:tc>
        <w:tc>
          <w:tcPr>
            <w:tcW w:w="8930" w:type="dxa"/>
            <w:gridSpan w:val="4"/>
            <w:shd w:val="clear" w:color="auto" w:fill="auto"/>
            <w:noWrap/>
            <w:vAlign w:val="center"/>
          </w:tcPr>
          <w:p w14:paraId="1A3010AE" w14:textId="77777777" w:rsidR="00C54BBB" w:rsidRPr="007B6890" w:rsidRDefault="00C54BBB" w:rsidP="009F558E">
            <w:pPr>
              <w:spacing w:after="0" w:line="240" w:lineRule="auto"/>
              <w:jc w:val="center"/>
              <w:rPr>
                <w:rFonts w:ascii="Times" w:hAnsi="Times" w:cs="Times"/>
                <w:b/>
                <w:bCs/>
                <w:sz w:val="20"/>
                <w:szCs w:val="20"/>
              </w:rPr>
            </w:pPr>
            <w:r w:rsidRPr="007B6890">
              <w:rPr>
                <w:rFonts w:ascii="Times" w:hAnsi="Times" w:cs="Times"/>
                <w:b/>
                <w:bCs/>
                <w:sz w:val="20"/>
                <w:szCs w:val="20"/>
              </w:rPr>
              <w:t>Level-change</w:t>
            </w:r>
          </w:p>
        </w:tc>
      </w:tr>
      <w:tr w:rsidR="00C54BBB" w:rsidRPr="007B6890" w14:paraId="2D5FB79E" w14:textId="77777777" w:rsidTr="00965370">
        <w:trPr>
          <w:trHeight w:val="326"/>
          <w:jc w:val="center"/>
        </w:trPr>
        <w:tc>
          <w:tcPr>
            <w:tcW w:w="426" w:type="dxa"/>
            <w:vMerge w:val="restart"/>
            <w:shd w:val="clear" w:color="auto" w:fill="E7E6E6" w:themeFill="background2"/>
            <w:noWrap/>
            <w:textDirection w:val="btLr"/>
            <w:vAlign w:val="center"/>
            <w:hideMark/>
          </w:tcPr>
          <w:p w14:paraId="388928F1" w14:textId="77777777" w:rsidR="00C54BBB" w:rsidRPr="007B6890" w:rsidRDefault="00C54BBB" w:rsidP="007B6890">
            <w:pPr>
              <w:spacing w:after="0" w:line="240" w:lineRule="auto"/>
              <w:jc w:val="center"/>
              <w:rPr>
                <w:rFonts w:ascii="Times" w:hAnsi="Times" w:cs="Times"/>
                <w:b/>
                <w:bCs/>
                <w:sz w:val="20"/>
                <w:szCs w:val="20"/>
              </w:rPr>
            </w:pPr>
            <w:r w:rsidRPr="007B6890">
              <w:rPr>
                <w:rFonts w:ascii="Times" w:hAnsi="Times" w:cs="Times"/>
                <w:b/>
                <w:bCs/>
                <w:sz w:val="20"/>
                <w:szCs w:val="20"/>
              </w:rPr>
              <w:t>Slope-change</w:t>
            </w:r>
          </w:p>
        </w:tc>
        <w:tc>
          <w:tcPr>
            <w:tcW w:w="2232" w:type="dxa"/>
            <w:shd w:val="clear" w:color="auto" w:fill="auto"/>
            <w:noWrap/>
            <w:vAlign w:val="center"/>
            <w:hideMark/>
          </w:tcPr>
          <w:p w14:paraId="00F47A60" w14:textId="77777777" w:rsidR="00C54BBB" w:rsidRPr="007B6890" w:rsidRDefault="00C54BBB" w:rsidP="007B6890">
            <w:pPr>
              <w:spacing w:after="0" w:line="240" w:lineRule="auto"/>
              <w:jc w:val="center"/>
              <w:rPr>
                <w:rFonts w:ascii="Times" w:hAnsi="Times" w:cs="Times"/>
                <w:b/>
                <w:bCs/>
                <w:sz w:val="20"/>
                <w:szCs w:val="20"/>
              </w:rPr>
            </w:pPr>
            <w:r w:rsidRPr="007B6890">
              <w:rPr>
                <w:rFonts w:ascii="Times" w:hAnsi="Times" w:cs="Times"/>
                <w:b/>
                <w:bCs/>
                <w:sz w:val="20"/>
                <w:szCs w:val="20"/>
              </w:rPr>
              <w:t>OLS</w:t>
            </w:r>
          </w:p>
          <w:p w14:paraId="3E0759AA" w14:textId="77777777" w:rsidR="00C54BBB" w:rsidRPr="007B6890" w:rsidRDefault="00C54BBB" w:rsidP="007B6890">
            <w:pPr>
              <w:spacing w:after="0" w:line="240" w:lineRule="auto"/>
              <w:jc w:val="center"/>
              <w:rPr>
                <w:rFonts w:ascii="Times" w:hAnsi="Times" w:cs="Times"/>
                <w:sz w:val="20"/>
                <w:szCs w:val="20"/>
              </w:rPr>
            </w:pPr>
            <w:r w:rsidRPr="007B6890">
              <w:rPr>
                <w:rFonts w:ascii="Times" w:hAnsi="Times" w:cs="Times"/>
                <w:b/>
                <w:bCs/>
                <w:sz w:val="20"/>
                <w:szCs w:val="20"/>
              </w:rPr>
              <w:t>DL</w:t>
            </w:r>
          </w:p>
        </w:tc>
        <w:tc>
          <w:tcPr>
            <w:tcW w:w="2233" w:type="dxa"/>
            <w:shd w:val="clear" w:color="auto" w:fill="auto"/>
            <w:noWrap/>
            <w:vAlign w:val="bottom"/>
            <w:hideMark/>
          </w:tcPr>
          <w:p w14:paraId="3B07AFB8" w14:textId="77777777" w:rsidR="00C54BBB" w:rsidRDefault="00C54BBB" w:rsidP="007B6890">
            <w:pPr>
              <w:spacing w:after="0" w:line="240" w:lineRule="auto"/>
              <w:jc w:val="center"/>
              <w:rPr>
                <w:rFonts w:ascii="Times" w:hAnsi="Times" w:cs="Times"/>
                <w:sz w:val="20"/>
                <w:szCs w:val="20"/>
              </w:rPr>
            </w:pPr>
            <w:r w:rsidRPr="007B6890">
              <w:rPr>
                <w:rFonts w:ascii="Times" w:hAnsi="Times" w:cs="Times"/>
                <w:sz w:val="20"/>
                <w:szCs w:val="20"/>
              </w:rPr>
              <w:t>0.00 (0.00,0.38)</w:t>
            </w:r>
          </w:p>
          <w:p w14:paraId="30ECE66F" w14:textId="77777777" w:rsidR="00C54BBB" w:rsidRDefault="00C54BBB" w:rsidP="007B6890">
            <w:pPr>
              <w:spacing w:after="0" w:line="240" w:lineRule="auto"/>
              <w:jc w:val="center"/>
              <w:rPr>
                <w:rFonts w:ascii="Times" w:hAnsi="Times" w:cs="Times"/>
                <w:sz w:val="20"/>
                <w:szCs w:val="20"/>
              </w:rPr>
            </w:pPr>
            <w:r>
              <w:rPr>
                <w:rFonts w:ascii="Times" w:hAnsi="Times" w:cs="Times"/>
                <w:sz w:val="20"/>
                <w:szCs w:val="20"/>
              </w:rPr>
              <w:t>vs</w:t>
            </w:r>
          </w:p>
          <w:p w14:paraId="0B50F9D5" w14:textId="77777777" w:rsidR="00C54BBB" w:rsidRPr="007B6890" w:rsidRDefault="00C54BBB" w:rsidP="007B6890">
            <w:pPr>
              <w:spacing w:after="0" w:line="240" w:lineRule="auto"/>
              <w:jc w:val="center"/>
              <w:rPr>
                <w:rFonts w:ascii="Times" w:hAnsi="Times" w:cs="Times"/>
                <w:sz w:val="20"/>
                <w:szCs w:val="20"/>
              </w:rPr>
            </w:pPr>
            <w:r w:rsidRPr="007B6890">
              <w:rPr>
                <w:rFonts w:ascii="Times" w:hAnsi="Times" w:cs="Times"/>
                <w:sz w:val="20"/>
                <w:szCs w:val="20"/>
              </w:rPr>
              <w:t>0.00 (0.00,0.03)</w:t>
            </w:r>
          </w:p>
        </w:tc>
        <w:tc>
          <w:tcPr>
            <w:tcW w:w="2232" w:type="dxa"/>
            <w:shd w:val="clear" w:color="auto" w:fill="auto"/>
            <w:noWrap/>
            <w:vAlign w:val="bottom"/>
            <w:hideMark/>
          </w:tcPr>
          <w:p w14:paraId="3C8D1B20" w14:textId="77777777" w:rsidR="00C54BBB" w:rsidRDefault="00C54BBB" w:rsidP="007B6890">
            <w:pPr>
              <w:spacing w:after="0" w:line="240" w:lineRule="auto"/>
              <w:jc w:val="center"/>
              <w:rPr>
                <w:rFonts w:ascii="Times" w:hAnsi="Times" w:cs="Times"/>
                <w:sz w:val="20"/>
                <w:szCs w:val="20"/>
              </w:rPr>
            </w:pPr>
            <w:r w:rsidRPr="007B6890">
              <w:rPr>
                <w:rFonts w:ascii="Times" w:hAnsi="Times" w:cs="Times"/>
                <w:sz w:val="20"/>
                <w:szCs w:val="20"/>
              </w:rPr>
              <w:t>0.00 (-0.28,0.14)</w:t>
            </w:r>
          </w:p>
          <w:p w14:paraId="0C565DB0" w14:textId="77777777" w:rsidR="00C54BBB" w:rsidRDefault="00C54BBB" w:rsidP="007B6890">
            <w:pPr>
              <w:spacing w:after="0" w:line="240" w:lineRule="auto"/>
              <w:jc w:val="center"/>
              <w:rPr>
                <w:rFonts w:ascii="Times" w:hAnsi="Times" w:cs="Times"/>
                <w:sz w:val="20"/>
                <w:szCs w:val="20"/>
              </w:rPr>
            </w:pPr>
            <w:r>
              <w:rPr>
                <w:rFonts w:ascii="Times" w:hAnsi="Times" w:cs="Times"/>
                <w:sz w:val="20"/>
                <w:szCs w:val="20"/>
              </w:rPr>
              <w:t>vs</w:t>
            </w:r>
          </w:p>
          <w:p w14:paraId="6854F237" w14:textId="77777777" w:rsidR="00C54BBB" w:rsidRPr="007B6890" w:rsidRDefault="00C54BBB" w:rsidP="007B6890">
            <w:pPr>
              <w:spacing w:after="0" w:line="240" w:lineRule="auto"/>
              <w:jc w:val="center"/>
              <w:rPr>
                <w:rFonts w:ascii="Times" w:hAnsi="Times" w:cs="Times"/>
                <w:sz w:val="20"/>
                <w:szCs w:val="20"/>
              </w:rPr>
            </w:pPr>
            <w:r w:rsidRPr="007B6890">
              <w:rPr>
                <w:rFonts w:ascii="Times" w:hAnsi="Times" w:cs="Times"/>
                <w:sz w:val="20"/>
                <w:szCs w:val="20"/>
              </w:rPr>
              <w:t>0.00 (-0.28,0.14)</w:t>
            </w:r>
          </w:p>
        </w:tc>
        <w:tc>
          <w:tcPr>
            <w:tcW w:w="2233" w:type="dxa"/>
            <w:shd w:val="clear" w:color="auto" w:fill="auto"/>
            <w:noWrap/>
            <w:vAlign w:val="bottom"/>
            <w:hideMark/>
          </w:tcPr>
          <w:p w14:paraId="1DDD1A8C" w14:textId="77777777" w:rsidR="00C54BBB" w:rsidRDefault="00C54BBB" w:rsidP="007B6890">
            <w:pPr>
              <w:spacing w:after="0" w:line="240" w:lineRule="auto"/>
              <w:jc w:val="center"/>
              <w:rPr>
                <w:rFonts w:ascii="Times" w:hAnsi="Times" w:cs="Times"/>
                <w:sz w:val="20"/>
                <w:szCs w:val="20"/>
              </w:rPr>
            </w:pPr>
            <w:r w:rsidRPr="007B6890">
              <w:rPr>
                <w:rFonts w:ascii="Times" w:hAnsi="Times" w:cs="Times"/>
                <w:sz w:val="20"/>
                <w:szCs w:val="20"/>
              </w:rPr>
              <w:t>0.08 (0.00,1.37)</w:t>
            </w:r>
          </w:p>
          <w:p w14:paraId="46503C49" w14:textId="77777777" w:rsidR="00C54BBB" w:rsidRDefault="00C54BBB" w:rsidP="007B6890">
            <w:pPr>
              <w:spacing w:after="0" w:line="240" w:lineRule="auto"/>
              <w:jc w:val="center"/>
              <w:rPr>
                <w:rFonts w:ascii="Times" w:hAnsi="Times" w:cs="Times"/>
                <w:sz w:val="20"/>
                <w:szCs w:val="20"/>
              </w:rPr>
            </w:pPr>
            <w:r>
              <w:rPr>
                <w:rFonts w:ascii="Times" w:hAnsi="Times" w:cs="Times"/>
                <w:sz w:val="20"/>
                <w:szCs w:val="20"/>
              </w:rPr>
              <w:t>vs</w:t>
            </w:r>
          </w:p>
          <w:p w14:paraId="0F2584AE" w14:textId="77777777" w:rsidR="00C54BBB" w:rsidRPr="007B6890" w:rsidRDefault="00C54BBB" w:rsidP="007B6890">
            <w:pPr>
              <w:spacing w:after="0" w:line="240" w:lineRule="auto"/>
              <w:jc w:val="center"/>
              <w:rPr>
                <w:rFonts w:ascii="Times" w:hAnsi="Times" w:cs="Times"/>
                <w:sz w:val="20"/>
                <w:szCs w:val="20"/>
              </w:rPr>
            </w:pPr>
            <w:r w:rsidRPr="007B6890">
              <w:rPr>
                <w:rFonts w:ascii="Times" w:hAnsi="Times" w:cs="Times"/>
                <w:sz w:val="20"/>
                <w:szCs w:val="20"/>
              </w:rPr>
              <w:t>0.00 (-0.01,1.37)</w:t>
            </w:r>
          </w:p>
        </w:tc>
      </w:tr>
      <w:tr w:rsidR="00C54BBB" w:rsidRPr="007B6890" w14:paraId="6A782E0B" w14:textId="77777777" w:rsidTr="00365192">
        <w:trPr>
          <w:trHeight w:val="326"/>
          <w:jc w:val="center"/>
        </w:trPr>
        <w:tc>
          <w:tcPr>
            <w:tcW w:w="426" w:type="dxa"/>
            <w:vMerge/>
            <w:shd w:val="clear" w:color="auto" w:fill="E7E6E6" w:themeFill="background2"/>
            <w:noWrap/>
            <w:textDirection w:val="btLr"/>
            <w:vAlign w:val="center"/>
            <w:hideMark/>
          </w:tcPr>
          <w:p w14:paraId="4C13E8E9" w14:textId="77777777" w:rsidR="00C54BBB" w:rsidRPr="007B6890" w:rsidRDefault="00C54BBB" w:rsidP="00E33653">
            <w:pPr>
              <w:spacing w:after="0" w:line="240" w:lineRule="auto"/>
              <w:jc w:val="center"/>
              <w:rPr>
                <w:rFonts w:ascii="Times" w:hAnsi="Times" w:cs="Times"/>
                <w:sz w:val="20"/>
                <w:szCs w:val="20"/>
              </w:rPr>
            </w:pPr>
          </w:p>
        </w:tc>
        <w:tc>
          <w:tcPr>
            <w:tcW w:w="2232" w:type="dxa"/>
            <w:shd w:val="clear" w:color="auto" w:fill="E7E6E6" w:themeFill="background2"/>
            <w:noWrap/>
            <w:vAlign w:val="bottom"/>
            <w:hideMark/>
          </w:tcPr>
          <w:p w14:paraId="32DB1B8C" w14:textId="77777777" w:rsidR="00C54BBB" w:rsidRDefault="00C54BBB" w:rsidP="00E33653">
            <w:pPr>
              <w:spacing w:after="0" w:line="240" w:lineRule="auto"/>
              <w:jc w:val="center"/>
              <w:rPr>
                <w:rFonts w:ascii="Times" w:hAnsi="Times" w:cs="Times"/>
                <w:sz w:val="20"/>
                <w:szCs w:val="20"/>
              </w:rPr>
            </w:pPr>
            <w:r w:rsidRPr="00E33653">
              <w:rPr>
                <w:rFonts w:ascii="Times" w:hAnsi="Times" w:cs="Times"/>
                <w:sz w:val="20"/>
                <w:szCs w:val="20"/>
              </w:rPr>
              <w:t>0.00 (0.00,0.11)</w:t>
            </w:r>
          </w:p>
          <w:p w14:paraId="1ABC88BA"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4DD60A42" w14:textId="77777777" w:rsidR="00C54BBB" w:rsidRPr="007B6890" w:rsidRDefault="00C54BBB" w:rsidP="00E33653">
            <w:pPr>
              <w:spacing w:after="0" w:line="240" w:lineRule="auto"/>
              <w:jc w:val="center"/>
              <w:rPr>
                <w:rFonts w:ascii="Times" w:hAnsi="Times" w:cs="Times"/>
                <w:sz w:val="20"/>
                <w:szCs w:val="20"/>
              </w:rPr>
            </w:pPr>
            <w:r w:rsidRPr="00E33653">
              <w:rPr>
                <w:rFonts w:ascii="Times" w:hAnsi="Times" w:cs="Times"/>
                <w:sz w:val="20"/>
                <w:szCs w:val="20"/>
              </w:rPr>
              <w:t>0.00 (0.00,0.11)</w:t>
            </w:r>
          </w:p>
        </w:tc>
        <w:tc>
          <w:tcPr>
            <w:tcW w:w="2233" w:type="dxa"/>
            <w:shd w:val="clear" w:color="auto" w:fill="auto"/>
            <w:noWrap/>
            <w:vAlign w:val="center"/>
            <w:hideMark/>
          </w:tcPr>
          <w:p w14:paraId="275452C8" w14:textId="77777777" w:rsidR="00C54BBB" w:rsidRPr="007B6890" w:rsidRDefault="00C54BBB" w:rsidP="00E33653">
            <w:pPr>
              <w:spacing w:after="0" w:line="240" w:lineRule="auto"/>
              <w:jc w:val="center"/>
              <w:rPr>
                <w:rFonts w:ascii="Times" w:hAnsi="Times" w:cs="Times"/>
                <w:b/>
                <w:bCs/>
                <w:sz w:val="20"/>
                <w:szCs w:val="20"/>
              </w:rPr>
            </w:pPr>
            <w:r w:rsidRPr="007B6890">
              <w:rPr>
                <w:rFonts w:ascii="Times" w:hAnsi="Times" w:cs="Times"/>
                <w:b/>
                <w:bCs/>
                <w:sz w:val="20"/>
                <w:szCs w:val="20"/>
              </w:rPr>
              <w:t>OLS</w:t>
            </w:r>
          </w:p>
          <w:p w14:paraId="68F87D19"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b/>
                <w:bCs/>
                <w:sz w:val="20"/>
                <w:szCs w:val="20"/>
              </w:rPr>
              <w:t>REML</w:t>
            </w:r>
          </w:p>
        </w:tc>
        <w:tc>
          <w:tcPr>
            <w:tcW w:w="2232" w:type="dxa"/>
            <w:shd w:val="clear" w:color="auto" w:fill="auto"/>
            <w:noWrap/>
            <w:vAlign w:val="bottom"/>
            <w:hideMark/>
          </w:tcPr>
          <w:p w14:paraId="1FE41C00" w14:textId="77777777" w:rsidR="00C54BBB"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(-0.29,0.14)</w:t>
            </w:r>
          </w:p>
          <w:p w14:paraId="0D12DF67"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28113D20"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(-0.29,0.14)</w:t>
            </w:r>
          </w:p>
        </w:tc>
        <w:tc>
          <w:tcPr>
            <w:tcW w:w="2233" w:type="dxa"/>
            <w:shd w:val="clear" w:color="auto" w:fill="auto"/>
            <w:noWrap/>
            <w:vAlign w:val="bottom"/>
            <w:hideMark/>
          </w:tcPr>
          <w:p w14:paraId="3862ABC6" w14:textId="77777777" w:rsidR="00C54BBB"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(-0.29,0.11)</w:t>
            </w:r>
          </w:p>
          <w:p w14:paraId="3C6498C8"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7A45FFED"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(-0.27,0.11)</w:t>
            </w:r>
          </w:p>
        </w:tc>
      </w:tr>
      <w:tr w:rsidR="00C54BBB" w:rsidRPr="007B6890" w14:paraId="675072CA" w14:textId="77777777" w:rsidTr="007F7DA9">
        <w:trPr>
          <w:trHeight w:val="326"/>
          <w:jc w:val="center"/>
        </w:trPr>
        <w:tc>
          <w:tcPr>
            <w:tcW w:w="426" w:type="dxa"/>
            <w:vMerge/>
            <w:shd w:val="clear" w:color="auto" w:fill="E7E6E6" w:themeFill="background2"/>
            <w:noWrap/>
            <w:vAlign w:val="center"/>
            <w:hideMark/>
          </w:tcPr>
          <w:p w14:paraId="1F8B3B15" w14:textId="77777777" w:rsidR="00C54BBB" w:rsidRPr="007B6890" w:rsidRDefault="00C54BBB" w:rsidP="00E33653">
            <w:pPr>
              <w:spacing w:after="0" w:line="240" w:lineRule="auto"/>
              <w:jc w:val="center"/>
              <w:rPr>
                <w:rFonts w:ascii="Times" w:hAnsi="Times" w:cs="Times"/>
                <w:sz w:val="20"/>
                <w:szCs w:val="20"/>
              </w:rPr>
            </w:pPr>
          </w:p>
        </w:tc>
        <w:tc>
          <w:tcPr>
            <w:tcW w:w="2232" w:type="dxa"/>
            <w:shd w:val="clear" w:color="auto" w:fill="E7E6E6" w:themeFill="background2"/>
            <w:noWrap/>
            <w:vAlign w:val="bottom"/>
            <w:hideMark/>
          </w:tcPr>
          <w:p w14:paraId="3B665B5D" w14:textId="77777777" w:rsidR="00C54BBB"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,0.00)</w:t>
            </w:r>
          </w:p>
          <w:p w14:paraId="60CBC43E"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043466FA" w14:textId="77777777" w:rsidR="00C54BBB" w:rsidRPr="007B6890"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,0.07)</w:t>
            </w:r>
          </w:p>
        </w:tc>
        <w:tc>
          <w:tcPr>
            <w:tcW w:w="2233" w:type="dxa"/>
            <w:shd w:val="clear" w:color="auto" w:fill="E7E6E6" w:themeFill="background2"/>
            <w:noWrap/>
            <w:vAlign w:val="bottom"/>
            <w:hideMark/>
          </w:tcPr>
          <w:p w14:paraId="695F403C"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0.00</w:t>
            </w:r>
            <w:r w:rsidRPr="00E33653">
              <w:rPr>
                <w:rFonts w:ascii="Times" w:hAnsi="Times" w:cs="Times"/>
                <w:sz w:val="20"/>
                <w:szCs w:val="20"/>
              </w:rPr>
              <w:t xml:space="preserve"> (-0.04,</w:t>
            </w:r>
            <w:r>
              <w:rPr>
                <w:rFonts w:ascii="Times" w:hAnsi="Times" w:cs="Times"/>
                <w:sz w:val="20"/>
                <w:szCs w:val="20"/>
              </w:rPr>
              <w:t>0.00</w:t>
            </w:r>
            <w:r w:rsidRPr="00E33653">
              <w:rPr>
                <w:rFonts w:ascii="Times" w:hAnsi="Times" w:cs="Times"/>
                <w:sz w:val="20"/>
                <w:szCs w:val="20"/>
              </w:rPr>
              <w:t>)</w:t>
            </w:r>
          </w:p>
          <w:p w14:paraId="06303F94"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0403B4F6" w14:textId="77777777" w:rsidR="00C54BBB" w:rsidRPr="007B6890" w:rsidRDefault="00C54BBB" w:rsidP="00E33653">
            <w:pPr>
              <w:spacing w:after="0" w:line="240" w:lineRule="auto"/>
              <w:jc w:val="center"/>
              <w:rPr>
                <w:rFonts w:ascii="Times" w:hAnsi="Times" w:cs="Times"/>
                <w:sz w:val="20"/>
                <w:szCs w:val="20"/>
              </w:rPr>
            </w:pPr>
            <w:r>
              <w:rPr>
                <w:rFonts w:ascii="Times" w:hAnsi="Times" w:cs="Times"/>
                <w:sz w:val="20"/>
                <w:szCs w:val="20"/>
              </w:rPr>
              <w:t>0.00</w:t>
            </w:r>
            <w:r w:rsidRPr="00E33653">
              <w:rPr>
                <w:rFonts w:ascii="Times" w:hAnsi="Times" w:cs="Times"/>
                <w:sz w:val="20"/>
                <w:szCs w:val="20"/>
              </w:rPr>
              <w:t xml:space="preserve"> (-0.01,0.00)</w:t>
            </w:r>
          </w:p>
        </w:tc>
        <w:tc>
          <w:tcPr>
            <w:tcW w:w="2232" w:type="dxa"/>
            <w:shd w:val="clear" w:color="auto" w:fill="auto"/>
            <w:noWrap/>
            <w:vAlign w:val="center"/>
            <w:hideMark/>
          </w:tcPr>
          <w:p w14:paraId="1D41EA95" w14:textId="77777777" w:rsidR="00C54BBB" w:rsidRPr="007B6890" w:rsidRDefault="00C54BBB" w:rsidP="00E33653">
            <w:pPr>
              <w:spacing w:after="0" w:line="240" w:lineRule="auto"/>
              <w:jc w:val="center"/>
              <w:rPr>
                <w:rFonts w:ascii="Times" w:hAnsi="Times" w:cs="Times"/>
                <w:b/>
                <w:bCs/>
                <w:sz w:val="20"/>
                <w:szCs w:val="20"/>
              </w:rPr>
            </w:pPr>
            <w:r w:rsidRPr="007B6890">
              <w:rPr>
                <w:rFonts w:ascii="Times" w:hAnsi="Times" w:cs="Times"/>
                <w:b/>
                <w:bCs/>
                <w:sz w:val="20"/>
                <w:szCs w:val="20"/>
              </w:rPr>
              <w:t>REML</w:t>
            </w:r>
          </w:p>
          <w:p w14:paraId="04D105DD"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b/>
                <w:bCs/>
                <w:sz w:val="20"/>
                <w:szCs w:val="20"/>
              </w:rPr>
              <w:t>DL</w:t>
            </w:r>
          </w:p>
        </w:tc>
        <w:tc>
          <w:tcPr>
            <w:tcW w:w="2233" w:type="dxa"/>
            <w:shd w:val="clear" w:color="auto" w:fill="auto"/>
            <w:noWrap/>
            <w:vAlign w:val="bottom"/>
            <w:hideMark/>
          </w:tcPr>
          <w:p w14:paraId="61DA9772" w14:textId="77777777" w:rsidR="00C54BBB"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(-0.03,0.08)</w:t>
            </w:r>
          </w:p>
          <w:p w14:paraId="19F0D80B"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479CD97D"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sz w:val="20"/>
                <w:szCs w:val="20"/>
              </w:rPr>
              <w:t>0.00 (-0.03,0.08)</w:t>
            </w:r>
          </w:p>
        </w:tc>
      </w:tr>
      <w:tr w:rsidR="00C54BBB" w:rsidRPr="007B6890" w14:paraId="6F01632B" w14:textId="77777777" w:rsidTr="00736931">
        <w:trPr>
          <w:trHeight w:val="326"/>
          <w:jc w:val="center"/>
        </w:trPr>
        <w:tc>
          <w:tcPr>
            <w:tcW w:w="426" w:type="dxa"/>
            <w:vMerge/>
            <w:shd w:val="clear" w:color="auto" w:fill="E7E6E6" w:themeFill="background2"/>
            <w:noWrap/>
            <w:vAlign w:val="center"/>
            <w:hideMark/>
          </w:tcPr>
          <w:p w14:paraId="14509C2F" w14:textId="77777777" w:rsidR="00C54BBB" w:rsidRPr="007B6890" w:rsidRDefault="00C54BBB" w:rsidP="00E33653">
            <w:pPr>
              <w:spacing w:after="0" w:line="240" w:lineRule="auto"/>
              <w:jc w:val="center"/>
              <w:rPr>
                <w:rFonts w:ascii="Times" w:hAnsi="Times" w:cs="Times"/>
                <w:sz w:val="20"/>
                <w:szCs w:val="20"/>
              </w:rPr>
            </w:pPr>
          </w:p>
        </w:tc>
        <w:tc>
          <w:tcPr>
            <w:tcW w:w="2232" w:type="dxa"/>
            <w:shd w:val="clear" w:color="auto" w:fill="E7E6E6" w:themeFill="background2"/>
            <w:noWrap/>
            <w:vAlign w:val="bottom"/>
            <w:hideMark/>
          </w:tcPr>
          <w:p w14:paraId="738460A8" w14:textId="77777777" w:rsidR="00C54BBB"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,0.07)</w:t>
            </w:r>
          </w:p>
          <w:p w14:paraId="387D05F7"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2F5AB52A" w14:textId="77777777" w:rsidR="00C54BBB" w:rsidRPr="007B6890"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,0.11)</w:t>
            </w:r>
          </w:p>
        </w:tc>
        <w:tc>
          <w:tcPr>
            <w:tcW w:w="2233" w:type="dxa"/>
            <w:shd w:val="clear" w:color="auto" w:fill="E7E6E6" w:themeFill="background2"/>
            <w:noWrap/>
            <w:vAlign w:val="bottom"/>
            <w:hideMark/>
          </w:tcPr>
          <w:p w14:paraId="45E4DD55"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0.00</w:t>
            </w:r>
            <w:r w:rsidRPr="00E33653">
              <w:rPr>
                <w:rFonts w:ascii="Times" w:hAnsi="Times" w:cs="Times"/>
                <w:sz w:val="20"/>
                <w:szCs w:val="20"/>
              </w:rPr>
              <w:t xml:space="preserve"> (-0.01,0.01)</w:t>
            </w:r>
          </w:p>
          <w:p w14:paraId="780BCDE2"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77E6464B" w14:textId="77777777" w:rsidR="00C54BBB" w:rsidRPr="007B6890" w:rsidRDefault="00C54BBB" w:rsidP="00E33653">
            <w:pPr>
              <w:spacing w:after="0" w:line="240" w:lineRule="auto"/>
              <w:jc w:val="center"/>
              <w:rPr>
                <w:rFonts w:ascii="Times" w:hAnsi="Times" w:cs="Times"/>
                <w:sz w:val="20"/>
                <w:szCs w:val="20"/>
              </w:rPr>
            </w:pPr>
            <w:r>
              <w:rPr>
                <w:rFonts w:ascii="Times" w:hAnsi="Times" w:cs="Times"/>
                <w:sz w:val="20"/>
                <w:szCs w:val="20"/>
              </w:rPr>
              <w:t>0.00</w:t>
            </w:r>
            <w:r w:rsidRPr="00E33653">
              <w:rPr>
                <w:rFonts w:ascii="Times" w:hAnsi="Times" w:cs="Times"/>
                <w:sz w:val="20"/>
                <w:szCs w:val="20"/>
              </w:rPr>
              <w:t xml:space="preserve"> (</w:t>
            </w:r>
            <w:r>
              <w:rPr>
                <w:rFonts w:ascii="Times" w:hAnsi="Times" w:cs="Times"/>
                <w:sz w:val="20"/>
                <w:szCs w:val="20"/>
              </w:rPr>
              <w:t>0.00</w:t>
            </w:r>
            <w:r w:rsidRPr="00E33653">
              <w:rPr>
                <w:rFonts w:ascii="Times" w:hAnsi="Times" w:cs="Times"/>
                <w:sz w:val="20"/>
                <w:szCs w:val="20"/>
              </w:rPr>
              <w:t>,0.04)</w:t>
            </w:r>
          </w:p>
        </w:tc>
        <w:tc>
          <w:tcPr>
            <w:tcW w:w="2232" w:type="dxa"/>
            <w:shd w:val="clear" w:color="auto" w:fill="E7E6E6" w:themeFill="background2"/>
            <w:noWrap/>
            <w:vAlign w:val="bottom"/>
            <w:hideMark/>
          </w:tcPr>
          <w:p w14:paraId="58239A5D" w14:textId="77777777" w:rsidR="00C54BBB"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,0.02)</w:t>
            </w:r>
          </w:p>
          <w:p w14:paraId="68E5CA02" w14:textId="77777777" w:rsidR="00C54BBB" w:rsidRDefault="00C54BBB" w:rsidP="00E33653">
            <w:pPr>
              <w:spacing w:after="0" w:line="240" w:lineRule="auto"/>
              <w:jc w:val="center"/>
              <w:rPr>
                <w:rFonts w:ascii="Times" w:hAnsi="Times" w:cs="Times"/>
                <w:sz w:val="20"/>
                <w:szCs w:val="20"/>
              </w:rPr>
            </w:pPr>
            <w:r>
              <w:rPr>
                <w:rFonts w:ascii="Times" w:hAnsi="Times" w:cs="Times"/>
                <w:sz w:val="20"/>
                <w:szCs w:val="20"/>
              </w:rPr>
              <w:t>vs</w:t>
            </w:r>
          </w:p>
          <w:p w14:paraId="5283A1F7" w14:textId="77777777" w:rsidR="00C54BBB" w:rsidRPr="007B6890" w:rsidRDefault="00C54BBB" w:rsidP="00E33653">
            <w:pPr>
              <w:spacing w:after="0" w:line="240" w:lineRule="auto"/>
              <w:jc w:val="center"/>
              <w:rPr>
                <w:rFonts w:ascii="Times" w:hAnsi="Times" w:cs="Times"/>
                <w:sz w:val="20"/>
                <w:szCs w:val="20"/>
              </w:rPr>
            </w:pPr>
            <w:r w:rsidRPr="00E33653">
              <w:rPr>
                <w:rFonts w:ascii="Times" w:hAnsi="Times" w:cs="Times"/>
                <w:sz w:val="20"/>
                <w:szCs w:val="20"/>
              </w:rPr>
              <w:t>0.00 (</w:t>
            </w:r>
            <w:r>
              <w:rPr>
                <w:rFonts w:ascii="Times" w:hAnsi="Times" w:cs="Times"/>
                <w:sz w:val="20"/>
                <w:szCs w:val="20"/>
              </w:rPr>
              <w:t>0.00</w:t>
            </w:r>
            <w:r w:rsidRPr="00E33653">
              <w:rPr>
                <w:rFonts w:ascii="Times" w:hAnsi="Times" w:cs="Times"/>
                <w:sz w:val="20"/>
                <w:szCs w:val="20"/>
              </w:rPr>
              <w:t>,0.07)</w:t>
            </w:r>
          </w:p>
        </w:tc>
        <w:tc>
          <w:tcPr>
            <w:tcW w:w="2233" w:type="dxa"/>
            <w:shd w:val="clear" w:color="auto" w:fill="auto"/>
            <w:noWrap/>
            <w:vAlign w:val="center"/>
            <w:hideMark/>
          </w:tcPr>
          <w:p w14:paraId="1EE96882" w14:textId="77777777" w:rsidR="00C54BBB" w:rsidRPr="007B6890" w:rsidRDefault="00C54BBB" w:rsidP="00E33653">
            <w:pPr>
              <w:spacing w:after="0" w:line="240" w:lineRule="auto"/>
              <w:jc w:val="center"/>
              <w:rPr>
                <w:rFonts w:ascii="Times" w:hAnsi="Times" w:cs="Times"/>
                <w:b/>
                <w:bCs/>
                <w:sz w:val="20"/>
                <w:szCs w:val="20"/>
              </w:rPr>
            </w:pPr>
            <w:r w:rsidRPr="007B6890">
              <w:rPr>
                <w:rFonts w:ascii="Times" w:hAnsi="Times" w:cs="Times"/>
                <w:b/>
                <w:bCs/>
                <w:sz w:val="20"/>
                <w:szCs w:val="20"/>
              </w:rPr>
              <w:t>REML</w:t>
            </w:r>
          </w:p>
          <w:p w14:paraId="7B5B0CA7" w14:textId="77777777" w:rsidR="00C54BBB" w:rsidRPr="007B6890" w:rsidRDefault="00C54BBB" w:rsidP="00E33653">
            <w:pPr>
              <w:spacing w:after="0" w:line="240" w:lineRule="auto"/>
              <w:jc w:val="center"/>
              <w:rPr>
                <w:rFonts w:ascii="Times" w:hAnsi="Times" w:cs="Times"/>
                <w:sz w:val="20"/>
                <w:szCs w:val="20"/>
              </w:rPr>
            </w:pPr>
            <w:r w:rsidRPr="007B6890">
              <w:rPr>
                <w:rFonts w:ascii="Times" w:hAnsi="Times" w:cs="Times"/>
                <w:b/>
                <w:bCs/>
                <w:sz w:val="20"/>
                <w:szCs w:val="20"/>
              </w:rPr>
              <w:t>REML</w:t>
            </w:r>
          </w:p>
        </w:tc>
      </w:tr>
      <w:tr w:rsidR="00C54BBB" w:rsidRPr="007B6890" w14:paraId="03B9EC88" w14:textId="77777777" w:rsidTr="009F558E">
        <w:trPr>
          <w:cantSplit/>
          <w:trHeight w:val="326"/>
          <w:jc w:val="center"/>
        </w:trPr>
        <w:tc>
          <w:tcPr>
            <w:tcW w:w="9356" w:type="dxa"/>
            <w:gridSpan w:val="5"/>
            <w:shd w:val="clear" w:color="auto" w:fill="auto"/>
            <w:noWrap/>
            <w:vAlign w:val="center"/>
          </w:tcPr>
          <w:p w14:paraId="2346563E" w14:textId="77777777" w:rsidR="00C54BBB" w:rsidRPr="009318F9" w:rsidRDefault="00C54BBB" w:rsidP="009318F9">
            <w:pPr>
              <w:spacing w:line="360" w:lineRule="auto"/>
              <w:rPr>
                <w:rFonts w:ascii="Times" w:hAnsi="Times" w:cs="Times"/>
                <w:sz w:val="24"/>
                <w:szCs w:val="24"/>
              </w:rPr>
            </w:pPr>
            <w:r w:rsidRPr="009318F9">
              <w:rPr>
                <w:rFonts w:ascii="Times" w:hAnsi="Times" w:cs="Times"/>
                <w:sz w:val="24"/>
                <w:szCs w:val="24"/>
              </w:rPr>
              <w:lastRenderedPageBreak/>
              <w:t>For example, the median between-study variance for immediate level-change yielded by REML ITS analysis with DL estimator 0.04 lower than that yielded by OLS ITS analysis with DL estimator (column 3, row 1). The median between-study variance for slope-change yielded by REML ITS analysis with DL estimator was 0.05 higher than that yielded by OLS ITS analysis with fixed effect meta-analysis (column 1, row 3).</w:t>
            </w:r>
          </w:p>
          <w:p w14:paraId="5C675878" w14:textId="77777777" w:rsidR="00C54BBB" w:rsidRPr="007B6890" w:rsidRDefault="00C54BBB" w:rsidP="009318F9">
            <w:pPr>
              <w:spacing w:line="360" w:lineRule="auto"/>
              <w:rPr>
                <w:rFonts w:ascii="Times" w:hAnsi="Times" w:cs="Times"/>
                <w:b/>
                <w:bCs/>
                <w:sz w:val="20"/>
                <w:szCs w:val="20"/>
              </w:rPr>
            </w:pPr>
            <w:r w:rsidRPr="009318F9">
              <w:rPr>
                <w:rFonts w:ascii="Times" w:hAnsi="Times" w:cs="Times"/>
                <w:sz w:val="24"/>
                <w:szCs w:val="24"/>
              </w:rPr>
              <w:t>DL, DerSimonian and Laird. HKSJ, Hartung-Knapp / Sidik-Jonkman. ITS, interrupted time series. IQR, interquartile range. OLS, ordinary least squares. REML, restricted maximum likelihood. WT, Wald-type.</w:t>
            </w:r>
          </w:p>
        </w:tc>
      </w:tr>
    </w:tbl>
    <w:p w14:paraId="0EB3D754" w14:textId="77777777" w:rsidR="00C54BBB" w:rsidRPr="004B0E09" w:rsidRDefault="00C54BBB" w:rsidP="004B0E09">
      <w:pPr>
        <w:sectPr w:rsidR="00C54BBB" w:rsidRPr="004B0E09" w:rsidSect="009B3DFB">
          <w:pgSz w:w="16838" w:h="11906" w:orient="landscape"/>
          <w:pgMar w:top="1440" w:right="1440" w:bottom="1440" w:left="1440" w:header="708" w:footer="708" w:gutter="0"/>
          <w:cols w:space="708"/>
          <w:docGrid w:linePitch="360"/>
        </w:sectPr>
      </w:pPr>
    </w:p>
    <w:p w14:paraId="245874A7" w14:textId="77777777" w:rsidR="00C54BBB" w:rsidRPr="00D96847" w:rsidRDefault="00C54BBB" w:rsidP="003A3B7D">
      <w:pPr>
        <w:pStyle w:val="Heading2"/>
        <w:rPr>
          <w:rFonts w:ascii="Times New Roman" w:hAnsi="Times New Roman" w:cs="Times New Roman"/>
        </w:rPr>
      </w:pPr>
      <w:bookmarkStart w:id="21" w:name="_Toc121731923"/>
      <w:r w:rsidRPr="00D96847">
        <w:rPr>
          <w:rFonts w:ascii="Times New Roman" w:hAnsi="Times New Roman" w:cs="Times New Roman"/>
        </w:rPr>
        <w:lastRenderedPageBreak/>
        <w:t xml:space="preserve">Appendix </w:t>
      </w:r>
      <w:r>
        <w:rPr>
          <w:rFonts w:ascii="Times New Roman" w:hAnsi="Times New Roman" w:cs="Times New Roman"/>
        </w:rPr>
        <w:t>4</w:t>
      </w:r>
      <w:r w:rsidRPr="00D96847">
        <w:rPr>
          <w:rFonts w:ascii="Times New Roman" w:hAnsi="Times New Roman" w:cs="Times New Roman"/>
        </w:rPr>
        <w:t xml:space="preserve"> – Reviews that contributed data</w:t>
      </w:r>
      <w:bookmarkEnd w:id="21"/>
    </w:p>
    <w:p w14:paraId="707FFAEA" w14:textId="77777777" w:rsidR="00C54BBB" w:rsidRPr="00D96847" w:rsidRDefault="00C54BBB" w:rsidP="006001B8">
      <w:pPr>
        <w:rPr>
          <w:rFonts w:ascii="Times New Roman" w:hAnsi="Times New Roman" w:cs="Times New Roman"/>
        </w:rPr>
      </w:pPr>
      <w:r w:rsidRPr="00D96847">
        <w:rPr>
          <w:rFonts w:ascii="Times New Roman" w:hAnsi="Times New Roman" w:cs="Times New Roman"/>
        </w:rPr>
        <w:t>The table below contains the citations of the 40 reviews that met our eligibility criteria. We indicate whether and how data was provided for each review and whether the data has been made available in our online repository. We thank all authors who contributed data for this study.</w:t>
      </w:r>
    </w:p>
    <w:p w14:paraId="78C9D173" w14:textId="77777777" w:rsidR="00C54BBB" w:rsidRPr="00D96847" w:rsidRDefault="00C54BBB" w:rsidP="006001B8">
      <w:pPr>
        <w:pStyle w:val="Heading3"/>
        <w:rPr>
          <w:rFonts w:ascii="Times New Roman" w:hAnsi="Times New Roman" w:cs="Times New Roman"/>
        </w:rPr>
      </w:pPr>
      <w:bookmarkStart w:id="22" w:name="_Toc121731924"/>
      <w:r w:rsidRPr="00D96847">
        <w:rPr>
          <w:rFonts w:ascii="Times New Roman" w:hAnsi="Times New Roman" w:cs="Times New Roman"/>
        </w:rPr>
        <w:t>Appendix Table S</w:t>
      </w:r>
      <w:r>
        <w:rPr>
          <w:rFonts w:ascii="Times New Roman" w:hAnsi="Times New Roman" w:cs="Times New Roman"/>
        </w:rPr>
        <w:t>9. Eligible reviews and reviews that contributed data</w:t>
      </w:r>
      <w:bookmarkEnd w:id="22"/>
    </w:p>
    <w:tbl>
      <w:tblPr>
        <w:tblStyle w:val="TableGrid"/>
        <w:tblW w:w="9923" w:type="dxa"/>
        <w:tblInd w:w="-567" w:type="dxa"/>
        <w:tblLook w:val="04A0" w:firstRow="1" w:lastRow="0" w:firstColumn="1" w:lastColumn="0" w:noHBand="0" w:noVBand="1"/>
      </w:tblPr>
      <w:tblGrid>
        <w:gridCol w:w="5529"/>
        <w:gridCol w:w="1842"/>
        <w:gridCol w:w="2552"/>
      </w:tblGrid>
      <w:tr w:rsidR="00C54BBB" w:rsidRPr="00D96847" w14:paraId="5B4C0F7F" w14:textId="77777777" w:rsidTr="00137B87">
        <w:trPr>
          <w:cantSplit/>
          <w:tblHeader/>
        </w:trPr>
        <w:tc>
          <w:tcPr>
            <w:tcW w:w="5529" w:type="dxa"/>
            <w:tcBorders>
              <w:top w:val="nil"/>
              <w:left w:val="nil"/>
              <w:bottom w:val="single" w:sz="6" w:space="0" w:color="000000"/>
              <w:right w:val="nil"/>
            </w:tcBorders>
            <w:shd w:val="clear" w:color="auto" w:fill="D0CECE" w:themeFill="background2" w:themeFillShade="E6"/>
          </w:tcPr>
          <w:p w14:paraId="71751F16" w14:textId="77777777" w:rsidR="00C54BBB" w:rsidRPr="003A5DD7" w:rsidRDefault="00C54BBB" w:rsidP="003A3B7D">
            <w:pPr>
              <w:rPr>
                <w:rFonts w:ascii="Times New Roman" w:eastAsia="Times New Roman" w:hAnsi="Times New Roman" w:cs="Times New Roman"/>
                <w:b/>
                <w:bCs/>
                <w:lang w:val="en-US"/>
              </w:rPr>
            </w:pPr>
            <w:r w:rsidRPr="003A5DD7">
              <w:rPr>
                <w:rFonts w:ascii="Times New Roman" w:eastAsia="Times New Roman" w:hAnsi="Times New Roman" w:cs="Times New Roman"/>
                <w:b/>
                <w:bCs/>
                <w:lang w:val="en-US"/>
              </w:rPr>
              <w:t>Citation</w:t>
            </w:r>
          </w:p>
        </w:tc>
        <w:tc>
          <w:tcPr>
            <w:tcW w:w="1842" w:type="dxa"/>
            <w:tcBorders>
              <w:top w:val="nil"/>
              <w:left w:val="nil"/>
              <w:bottom w:val="single" w:sz="6" w:space="0" w:color="000000"/>
              <w:right w:val="nil"/>
            </w:tcBorders>
            <w:shd w:val="clear" w:color="auto" w:fill="D0CECE" w:themeFill="background2" w:themeFillShade="E6"/>
          </w:tcPr>
          <w:p w14:paraId="35368801" w14:textId="77777777" w:rsidR="00C54BBB" w:rsidRPr="003A5DD7" w:rsidRDefault="00C54BBB" w:rsidP="003A3B7D">
            <w:pPr>
              <w:rPr>
                <w:rFonts w:ascii="Times New Roman" w:eastAsia="Times New Roman" w:hAnsi="Times New Roman" w:cs="Times New Roman"/>
                <w:b/>
                <w:bCs/>
                <w:lang w:val="en-US"/>
              </w:rPr>
            </w:pPr>
            <w:r w:rsidRPr="003A5DD7">
              <w:rPr>
                <w:rFonts w:ascii="Times New Roman" w:eastAsia="Times New Roman" w:hAnsi="Times New Roman" w:cs="Times New Roman"/>
                <w:b/>
                <w:bCs/>
                <w:lang w:val="en-US"/>
              </w:rPr>
              <w:t>Data source</w:t>
            </w:r>
          </w:p>
        </w:tc>
        <w:tc>
          <w:tcPr>
            <w:tcW w:w="2552" w:type="dxa"/>
            <w:tcBorders>
              <w:top w:val="nil"/>
              <w:left w:val="nil"/>
              <w:bottom w:val="single" w:sz="6" w:space="0" w:color="000000"/>
              <w:right w:val="nil"/>
            </w:tcBorders>
            <w:shd w:val="clear" w:color="auto" w:fill="D0CECE" w:themeFill="background2" w:themeFillShade="E6"/>
          </w:tcPr>
          <w:p w14:paraId="080C4F54" w14:textId="77777777" w:rsidR="00C54BBB" w:rsidRPr="003A5DD7" w:rsidRDefault="00C54BBB" w:rsidP="003A3B7D">
            <w:pPr>
              <w:rPr>
                <w:rFonts w:ascii="Times New Roman" w:eastAsia="Times New Roman" w:hAnsi="Times New Roman" w:cs="Times New Roman"/>
                <w:b/>
                <w:bCs/>
                <w:lang w:val="en-US"/>
              </w:rPr>
            </w:pPr>
            <w:r w:rsidRPr="003A5DD7">
              <w:rPr>
                <w:rFonts w:ascii="Times New Roman" w:eastAsia="Times New Roman" w:hAnsi="Times New Roman" w:cs="Times New Roman"/>
                <w:b/>
                <w:bCs/>
                <w:lang w:val="en-US"/>
              </w:rPr>
              <w:t>Data is supplied in online repository</w:t>
            </w:r>
          </w:p>
        </w:tc>
      </w:tr>
      <w:tr w:rsidR="00C54BBB" w:rsidRPr="00D96847" w14:paraId="1017D836" w14:textId="77777777" w:rsidTr="003A3B7D">
        <w:tc>
          <w:tcPr>
            <w:tcW w:w="5529" w:type="dxa"/>
            <w:tcBorders>
              <w:top w:val="single" w:sz="6" w:space="0" w:color="000000"/>
              <w:left w:val="nil"/>
              <w:bottom w:val="nil"/>
              <w:right w:val="nil"/>
            </w:tcBorders>
          </w:tcPr>
          <w:p w14:paraId="0FFB6E01"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Acosta A, </w:t>
            </w:r>
            <w:proofErr w:type="spellStart"/>
            <w:r w:rsidRPr="00D96847">
              <w:rPr>
                <w:rFonts w:ascii="Times New Roman" w:eastAsia="Times New Roman" w:hAnsi="Times New Roman" w:cs="Times New Roman"/>
                <w:lang w:val="en-US"/>
              </w:rPr>
              <w:t>Ciapponi</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Aaserud</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Vietto</w:t>
            </w:r>
            <w:proofErr w:type="spellEnd"/>
            <w:r w:rsidRPr="00D96847">
              <w:rPr>
                <w:rFonts w:ascii="Times New Roman" w:eastAsia="Times New Roman" w:hAnsi="Times New Roman" w:cs="Times New Roman"/>
                <w:lang w:val="en-US"/>
              </w:rPr>
              <w:t xml:space="preserve"> V, </w:t>
            </w:r>
            <w:proofErr w:type="spellStart"/>
            <w:r w:rsidRPr="00D96847">
              <w:rPr>
                <w:rFonts w:ascii="Times New Roman" w:eastAsia="Times New Roman" w:hAnsi="Times New Roman" w:cs="Times New Roman"/>
                <w:lang w:val="en-US"/>
              </w:rPr>
              <w:t>Austvoll</w:t>
            </w:r>
            <w:proofErr w:type="spellEnd"/>
            <w:r w:rsidRPr="00D96847">
              <w:rPr>
                <w:rFonts w:ascii="Times New Roman" w:eastAsia="Times New Roman" w:hAnsi="Times New Roman" w:cs="Times New Roman"/>
                <w:lang w:val="en-US"/>
              </w:rPr>
              <w:t xml:space="preserve">-Dahlgren A, </w:t>
            </w:r>
            <w:proofErr w:type="spellStart"/>
            <w:r w:rsidRPr="00D96847">
              <w:rPr>
                <w:rFonts w:ascii="Times New Roman" w:eastAsia="Times New Roman" w:hAnsi="Times New Roman" w:cs="Times New Roman"/>
                <w:lang w:val="en-US"/>
              </w:rPr>
              <w:t>Kösters</w:t>
            </w:r>
            <w:proofErr w:type="spellEnd"/>
            <w:r w:rsidRPr="00D96847">
              <w:rPr>
                <w:rFonts w:ascii="Times New Roman" w:eastAsia="Times New Roman" w:hAnsi="Times New Roman" w:cs="Times New Roman"/>
                <w:lang w:val="en-US"/>
              </w:rPr>
              <w:t xml:space="preserve"> JP, Vacca C, Machado M, Diaz Ayala DH, </w:t>
            </w:r>
            <w:proofErr w:type="spellStart"/>
            <w:r w:rsidRPr="00D96847">
              <w:rPr>
                <w:rFonts w:ascii="Times New Roman" w:eastAsia="Times New Roman" w:hAnsi="Times New Roman" w:cs="Times New Roman"/>
                <w:lang w:val="en-US"/>
              </w:rPr>
              <w:t>Oxman</w:t>
            </w:r>
            <w:proofErr w:type="spellEnd"/>
            <w:r w:rsidRPr="00D96847">
              <w:rPr>
                <w:rFonts w:ascii="Times New Roman" w:eastAsia="Times New Roman" w:hAnsi="Times New Roman" w:cs="Times New Roman"/>
                <w:lang w:val="en-US"/>
              </w:rPr>
              <w:t xml:space="preserve"> AD. Pharmaceutical policies: effects of reference pricing, other pricing, and purchasing policies. Cochrane Database Syst Rev. 2014 Oct 16;2014(10):CD005979.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10.1002/14651858.CD005979.pub2. PMID: 25318966; PMCID: PMC6703418.</w:t>
            </w:r>
          </w:p>
        </w:tc>
        <w:tc>
          <w:tcPr>
            <w:tcW w:w="1842" w:type="dxa"/>
            <w:tcBorders>
              <w:top w:val="single" w:sz="6" w:space="0" w:color="000000"/>
              <w:left w:val="nil"/>
              <w:bottom w:val="nil"/>
              <w:right w:val="nil"/>
            </w:tcBorders>
          </w:tcPr>
          <w:p w14:paraId="3BB7E14C"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single" w:sz="6" w:space="0" w:color="000000"/>
              <w:left w:val="nil"/>
              <w:bottom w:val="nil"/>
              <w:right w:val="nil"/>
            </w:tcBorders>
          </w:tcPr>
          <w:p w14:paraId="184AFEA6"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2E3AE84E" w14:textId="77777777" w:rsidTr="003A3B7D">
        <w:tc>
          <w:tcPr>
            <w:tcW w:w="5529" w:type="dxa"/>
            <w:tcBorders>
              <w:top w:val="nil"/>
              <w:left w:val="nil"/>
              <w:bottom w:val="nil"/>
              <w:right w:val="nil"/>
            </w:tcBorders>
          </w:tcPr>
          <w:p w14:paraId="7DCE420A"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Baccini</w:t>
            </w:r>
            <w:proofErr w:type="spellEnd"/>
            <w:r w:rsidRPr="00D96847">
              <w:rPr>
                <w:rFonts w:ascii="Times New Roman" w:eastAsia="Times New Roman" w:hAnsi="Times New Roman" w:cs="Times New Roman"/>
                <w:lang w:val="en-US"/>
              </w:rPr>
              <w:t xml:space="preserve"> M, Carreras G. Analyzing and comparing the association between control policy measures and alcohol consumption in Europe. </w:t>
            </w:r>
            <w:proofErr w:type="spellStart"/>
            <w:r w:rsidRPr="00D96847">
              <w:rPr>
                <w:rFonts w:ascii="Times New Roman" w:eastAsia="Times New Roman" w:hAnsi="Times New Roman" w:cs="Times New Roman"/>
                <w:lang w:val="en-US"/>
              </w:rPr>
              <w:t>Subst</w:t>
            </w:r>
            <w:proofErr w:type="spellEnd"/>
            <w:r w:rsidRPr="00D96847">
              <w:rPr>
                <w:rFonts w:ascii="Times New Roman" w:eastAsia="Times New Roman" w:hAnsi="Times New Roman" w:cs="Times New Roman"/>
                <w:lang w:val="en-US"/>
              </w:rPr>
              <w:t xml:space="preserve"> Use Misuse. 2014 Oct;49(12):1684-91.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10.3109/10826084.2014.914373.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2014 May 15. PMID: 24832722.</w:t>
            </w:r>
          </w:p>
        </w:tc>
        <w:tc>
          <w:tcPr>
            <w:tcW w:w="1842" w:type="dxa"/>
            <w:tcBorders>
              <w:top w:val="nil"/>
              <w:left w:val="nil"/>
              <w:bottom w:val="nil"/>
              <w:right w:val="nil"/>
            </w:tcBorders>
          </w:tcPr>
          <w:p w14:paraId="6CC8833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635E283F"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225578D3" w14:textId="77777777" w:rsidTr="003A3B7D">
        <w:tc>
          <w:tcPr>
            <w:tcW w:w="5529" w:type="dxa"/>
            <w:tcBorders>
              <w:top w:val="nil"/>
              <w:left w:val="nil"/>
              <w:bottom w:val="nil"/>
              <w:right w:val="nil"/>
            </w:tcBorders>
          </w:tcPr>
          <w:p w14:paraId="24EED60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Blot K, Bergs J, </w:t>
            </w:r>
            <w:proofErr w:type="spellStart"/>
            <w:r w:rsidRPr="00D96847">
              <w:rPr>
                <w:rFonts w:ascii="Times New Roman" w:eastAsia="Times New Roman" w:hAnsi="Times New Roman" w:cs="Times New Roman"/>
                <w:lang w:val="en-US"/>
              </w:rPr>
              <w:t>Vogelaers</w:t>
            </w:r>
            <w:proofErr w:type="spellEnd"/>
            <w:r w:rsidRPr="00D96847">
              <w:rPr>
                <w:rFonts w:ascii="Times New Roman" w:eastAsia="Times New Roman" w:hAnsi="Times New Roman" w:cs="Times New Roman"/>
                <w:lang w:val="en-US"/>
              </w:rPr>
              <w:t xml:space="preserve"> D, Blot S, </w:t>
            </w:r>
            <w:proofErr w:type="spellStart"/>
            <w:r w:rsidRPr="00D96847">
              <w:rPr>
                <w:rFonts w:ascii="Times New Roman" w:eastAsia="Times New Roman" w:hAnsi="Times New Roman" w:cs="Times New Roman"/>
                <w:lang w:val="en-US"/>
              </w:rPr>
              <w:t>Vandijck</w:t>
            </w:r>
            <w:proofErr w:type="spellEnd"/>
            <w:r w:rsidRPr="00D96847">
              <w:rPr>
                <w:rFonts w:ascii="Times New Roman" w:eastAsia="Times New Roman" w:hAnsi="Times New Roman" w:cs="Times New Roman"/>
                <w:lang w:val="en-US"/>
              </w:rPr>
              <w:t xml:space="preserve"> D. Prevention of central line-associated bloodstream infections through quality improvement interventions: a systematic review and meta-analysis. Clin Infect Dis. 2014 Jul 1;59(1):96-105.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10.1093/</w:t>
            </w:r>
            <w:proofErr w:type="spellStart"/>
            <w:r w:rsidRPr="00D96847">
              <w:rPr>
                <w:rFonts w:ascii="Times New Roman" w:eastAsia="Times New Roman" w:hAnsi="Times New Roman" w:cs="Times New Roman"/>
                <w:lang w:val="en-US"/>
              </w:rPr>
              <w:t>cid</w:t>
            </w:r>
            <w:proofErr w:type="spellEnd"/>
            <w:r w:rsidRPr="00D96847">
              <w:rPr>
                <w:rFonts w:ascii="Times New Roman" w:eastAsia="Times New Roman" w:hAnsi="Times New Roman" w:cs="Times New Roman"/>
                <w:lang w:val="en-US"/>
              </w:rPr>
              <w:t xml:space="preserve">/ciu239.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2014 Apr 9. PMID: 24723276; PMCID: PMC4305144.</w:t>
            </w:r>
          </w:p>
        </w:tc>
        <w:tc>
          <w:tcPr>
            <w:tcW w:w="1842" w:type="dxa"/>
            <w:tcBorders>
              <w:top w:val="nil"/>
              <w:left w:val="nil"/>
              <w:bottom w:val="nil"/>
              <w:right w:val="nil"/>
            </w:tcBorders>
          </w:tcPr>
          <w:p w14:paraId="7994736C"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4F1CE3A1"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5402C12D" w14:textId="77777777" w:rsidTr="003A3B7D">
        <w:tc>
          <w:tcPr>
            <w:tcW w:w="5529" w:type="dxa"/>
            <w:tcBorders>
              <w:top w:val="nil"/>
              <w:left w:val="nil"/>
              <w:bottom w:val="nil"/>
              <w:right w:val="nil"/>
            </w:tcBorders>
          </w:tcPr>
          <w:p w14:paraId="4408E841"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Chaillet</w:t>
            </w:r>
            <w:proofErr w:type="spellEnd"/>
            <w:r w:rsidRPr="00D96847">
              <w:rPr>
                <w:rFonts w:ascii="Times New Roman" w:eastAsia="Times New Roman" w:hAnsi="Times New Roman" w:cs="Times New Roman"/>
                <w:lang w:val="en-US"/>
              </w:rPr>
              <w:t xml:space="preserve"> N, Dumont A. Evidence-based strategies for reducing cesarean section rates: a meta-analysis. Birth. 2007 Mar;34(1):53-64.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10.1111/j.1523-536X.2006.</w:t>
            </w:r>
            <w:proofErr w:type="gramStart"/>
            <w:r w:rsidRPr="00D96847">
              <w:rPr>
                <w:rFonts w:ascii="Times New Roman" w:eastAsia="Times New Roman" w:hAnsi="Times New Roman" w:cs="Times New Roman"/>
                <w:lang w:val="en-US"/>
              </w:rPr>
              <w:t>00146.x.</w:t>
            </w:r>
            <w:proofErr w:type="gramEnd"/>
            <w:r w:rsidRPr="00D96847">
              <w:rPr>
                <w:rFonts w:ascii="Times New Roman" w:eastAsia="Times New Roman" w:hAnsi="Times New Roman" w:cs="Times New Roman"/>
                <w:lang w:val="en-US"/>
              </w:rPr>
              <w:t xml:space="preserve"> PMID: 17324180.</w:t>
            </w:r>
          </w:p>
        </w:tc>
        <w:tc>
          <w:tcPr>
            <w:tcW w:w="1842" w:type="dxa"/>
            <w:tcBorders>
              <w:top w:val="nil"/>
              <w:left w:val="nil"/>
              <w:bottom w:val="nil"/>
              <w:right w:val="nil"/>
            </w:tcBorders>
          </w:tcPr>
          <w:p w14:paraId="24C2E8E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646D668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33E3AE09" w14:textId="77777777" w:rsidTr="003A3B7D">
        <w:tc>
          <w:tcPr>
            <w:tcW w:w="5529" w:type="dxa"/>
            <w:tcBorders>
              <w:top w:val="nil"/>
              <w:left w:val="nil"/>
              <w:bottom w:val="nil"/>
              <w:right w:val="nil"/>
            </w:tcBorders>
          </w:tcPr>
          <w:p w14:paraId="08B9B26B"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Crifasi</w:t>
            </w:r>
            <w:proofErr w:type="spellEnd"/>
            <w:r w:rsidRPr="00D96847">
              <w:rPr>
                <w:rFonts w:ascii="Times New Roman" w:eastAsia="Times New Roman" w:hAnsi="Times New Roman" w:cs="Times New Roman"/>
                <w:lang w:val="en-US"/>
              </w:rPr>
              <w:t xml:space="preserve"> CK, Pollack KM, Webster DW. Effects of state-level policy changes on homicide and nonfatal shootings of law enforcement officers. </w:t>
            </w:r>
            <w:proofErr w:type="spellStart"/>
            <w:r w:rsidRPr="00D96847">
              <w:rPr>
                <w:rFonts w:ascii="Times New Roman" w:eastAsia="Times New Roman" w:hAnsi="Times New Roman" w:cs="Times New Roman"/>
                <w:lang w:val="en-US"/>
              </w:rPr>
              <w:t>Inj</w:t>
            </w:r>
            <w:proofErr w:type="spellEnd"/>
            <w:r w:rsidRPr="00D96847">
              <w:rPr>
                <w:rFonts w:ascii="Times New Roman" w:eastAsia="Times New Roman" w:hAnsi="Times New Roman" w:cs="Times New Roman"/>
                <w:lang w:val="en-US"/>
              </w:rPr>
              <w:t xml:space="preserve"> Prev. 2016 Aug;22(4):274-8.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10.1136/injuryprev-2015-041825.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2015 Dec 30. PMID: 26718550.</w:t>
            </w:r>
          </w:p>
        </w:tc>
        <w:tc>
          <w:tcPr>
            <w:tcW w:w="1842" w:type="dxa"/>
            <w:tcBorders>
              <w:top w:val="nil"/>
              <w:left w:val="nil"/>
              <w:bottom w:val="nil"/>
              <w:right w:val="nil"/>
            </w:tcBorders>
          </w:tcPr>
          <w:p w14:paraId="56FE68E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790AF19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521E2C64" w14:textId="77777777" w:rsidTr="003A3B7D">
        <w:tc>
          <w:tcPr>
            <w:tcW w:w="5529" w:type="dxa"/>
            <w:tcBorders>
              <w:top w:val="nil"/>
              <w:left w:val="nil"/>
              <w:bottom w:val="nil"/>
              <w:right w:val="nil"/>
            </w:tcBorders>
          </w:tcPr>
          <w:p w14:paraId="40986A4F"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Davey P, Marwick CA, Scott CL, </w:t>
            </w:r>
            <w:proofErr w:type="spellStart"/>
            <w:r w:rsidRPr="00D96847">
              <w:rPr>
                <w:rFonts w:ascii="Times New Roman" w:eastAsia="Times New Roman" w:hAnsi="Times New Roman" w:cs="Times New Roman"/>
                <w:lang w:val="en-US"/>
              </w:rPr>
              <w:t>Charani</w:t>
            </w:r>
            <w:proofErr w:type="spellEnd"/>
            <w:r w:rsidRPr="00D96847">
              <w:rPr>
                <w:rFonts w:ascii="Times New Roman" w:eastAsia="Times New Roman" w:hAnsi="Times New Roman" w:cs="Times New Roman"/>
                <w:lang w:val="en-US"/>
              </w:rPr>
              <w:t xml:space="preserve"> E, McNeil K, Brown E, Gould IM, Ramsay CR, Michie S. Interventions to improve antibiotic prescribing practices for hospital inpatients. Cochrane Database Syst Rev. 2017 Feb 9;2(2):CD003543.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10.1002/14651858.CD003543.pub4. PMID: 28178770; PMCID: PMC6464541.</w:t>
            </w:r>
          </w:p>
        </w:tc>
        <w:tc>
          <w:tcPr>
            <w:tcW w:w="1842" w:type="dxa"/>
            <w:tcBorders>
              <w:top w:val="nil"/>
              <w:left w:val="nil"/>
              <w:bottom w:val="nil"/>
              <w:right w:val="nil"/>
            </w:tcBorders>
          </w:tcPr>
          <w:p w14:paraId="323326C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6F635E1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69DB3F78" w14:textId="77777777" w:rsidTr="003A3B7D">
        <w:tc>
          <w:tcPr>
            <w:tcW w:w="5529" w:type="dxa"/>
            <w:tcBorders>
              <w:top w:val="nil"/>
              <w:left w:val="nil"/>
              <w:bottom w:val="nil"/>
              <w:right w:val="nil"/>
            </w:tcBorders>
          </w:tcPr>
          <w:p w14:paraId="6A99D875"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Ejlerskov</w:t>
            </w:r>
            <w:proofErr w:type="spellEnd"/>
            <w:r w:rsidRPr="00D96847">
              <w:rPr>
                <w:rFonts w:ascii="Times New Roman" w:eastAsia="Times New Roman" w:hAnsi="Times New Roman" w:cs="Times New Roman"/>
                <w:lang w:val="en-US"/>
              </w:rPr>
              <w:t xml:space="preserve"> KT, Sharp SJ, Stead M, Adamson AJ, White M, Adams J. Supermarket policies on less-healthy food at checkouts: Natural experimental evaluation using interrupted time series analyses of purchases. </w:t>
            </w:r>
            <w:proofErr w:type="spellStart"/>
            <w:r w:rsidRPr="00D96847">
              <w:rPr>
                <w:rFonts w:ascii="Times New Roman" w:eastAsia="Times New Roman" w:hAnsi="Times New Roman" w:cs="Times New Roman"/>
                <w:lang w:val="en-US"/>
              </w:rPr>
              <w:t>PLoS</w:t>
            </w:r>
            <w:proofErr w:type="spellEnd"/>
            <w:r w:rsidRPr="00D96847">
              <w:rPr>
                <w:rFonts w:ascii="Times New Roman" w:eastAsia="Times New Roman" w:hAnsi="Times New Roman" w:cs="Times New Roman"/>
                <w:lang w:val="en-US"/>
              </w:rPr>
              <w:t xml:space="preserve"> Med. 2018 Dec 18;15(12</w:t>
            </w:r>
            <w:proofErr w:type="gramStart"/>
            <w:r w:rsidRPr="00D96847">
              <w:rPr>
                <w:rFonts w:ascii="Times New Roman" w:eastAsia="Times New Roman" w:hAnsi="Times New Roman" w:cs="Times New Roman"/>
                <w:lang w:val="en-US"/>
              </w:rPr>
              <w:t>):e</w:t>
            </w:r>
            <w:proofErr w:type="gramEnd"/>
            <w:r w:rsidRPr="00D96847">
              <w:rPr>
                <w:rFonts w:ascii="Times New Roman" w:eastAsia="Times New Roman" w:hAnsi="Times New Roman" w:cs="Times New Roman"/>
                <w:lang w:val="en-US"/>
              </w:rPr>
              <w:t xml:space="preserve">1002712.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10.1371/journal.pmed.1002712. PMID: 30562349; PMCID: PMC6298641.</w:t>
            </w:r>
          </w:p>
        </w:tc>
        <w:tc>
          <w:tcPr>
            <w:tcW w:w="1842" w:type="dxa"/>
            <w:tcBorders>
              <w:top w:val="nil"/>
              <w:left w:val="nil"/>
              <w:bottom w:val="nil"/>
              <w:right w:val="nil"/>
            </w:tcBorders>
          </w:tcPr>
          <w:p w14:paraId="2B12026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digitally extracted</w:t>
            </w:r>
          </w:p>
        </w:tc>
        <w:tc>
          <w:tcPr>
            <w:tcW w:w="2552" w:type="dxa"/>
            <w:tcBorders>
              <w:top w:val="nil"/>
              <w:left w:val="nil"/>
              <w:bottom w:val="nil"/>
              <w:right w:val="nil"/>
            </w:tcBorders>
          </w:tcPr>
          <w:p w14:paraId="6CF40E7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2A0E6D7A" w14:textId="77777777" w:rsidTr="003A3B7D">
        <w:tc>
          <w:tcPr>
            <w:tcW w:w="5529" w:type="dxa"/>
            <w:tcBorders>
              <w:top w:val="nil"/>
              <w:left w:val="nil"/>
              <w:bottom w:val="nil"/>
              <w:right w:val="nil"/>
            </w:tcBorders>
          </w:tcPr>
          <w:p w14:paraId="1B1EDBCD"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Ferri</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Allara</w:t>
            </w:r>
            <w:proofErr w:type="spellEnd"/>
            <w:r w:rsidRPr="00D96847">
              <w:rPr>
                <w:rFonts w:ascii="Times New Roman" w:eastAsia="Times New Roman" w:hAnsi="Times New Roman" w:cs="Times New Roman"/>
                <w:lang w:val="en-US"/>
              </w:rPr>
              <w:t xml:space="preserve"> E, Bo A, </w:t>
            </w:r>
            <w:proofErr w:type="spellStart"/>
            <w:r w:rsidRPr="00D96847">
              <w:rPr>
                <w:rFonts w:ascii="Times New Roman" w:eastAsia="Times New Roman" w:hAnsi="Times New Roman" w:cs="Times New Roman"/>
                <w:lang w:val="en-US"/>
              </w:rPr>
              <w:t>Gasparrini</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Faggiano</w:t>
            </w:r>
            <w:proofErr w:type="spellEnd"/>
            <w:r w:rsidRPr="00D96847">
              <w:rPr>
                <w:rFonts w:ascii="Times New Roman" w:eastAsia="Times New Roman" w:hAnsi="Times New Roman" w:cs="Times New Roman"/>
                <w:lang w:val="en-US"/>
              </w:rPr>
              <w:t xml:space="preserve"> F. Media campaigns for the prevention of illicit drug use in young people. Cochrane Database Syst Rev. 2013 Jun 5;(6):CD009287.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10.1002/14651858.CD009287.pub2. PMID: 23740538.</w:t>
            </w:r>
          </w:p>
        </w:tc>
        <w:tc>
          <w:tcPr>
            <w:tcW w:w="1842" w:type="dxa"/>
            <w:tcBorders>
              <w:top w:val="nil"/>
              <w:left w:val="nil"/>
              <w:bottom w:val="nil"/>
              <w:right w:val="nil"/>
            </w:tcBorders>
          </w:tcPr>
          <w:p w14:paraId="09E30EF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66C18B6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71C66337" w14:textId="77777777" w:rsidTr="003A3B7D">
        <w:trPr>
          <w:cantSplit/>
        </w:trPr>
        <w:tc>
          <w:tcPr>
            <w:tcW w:w="5529" w:type="dxa"/>
            <w:tcBorders>
              <w:top w:val="nil"/>
              <w:left w:val="nil"/>
              <w:bottom w:val="nil"/>
              <w:right w:val="nil"/>
            </w:tcBorders>
          </w:tcPr>
          <w:p w14:paraId="068AA07D"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lastRenderedPageBreak/>
              <w:t xml:space="preserve">Fu KW, Yip PS. Estimating the risk for suicide following the suicide deaths of 3 Asian entertainment celebrities: a meta-analytic approach. J Clin Psychiatry. 2009 Jun;70(6):869-78.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10.4088/jcp.08m04240. PMID: 19573483.</w:t>
            </w:r>
          </w:p>
        </w:tc>
        <w:tc>
          <w:tcPr>
            <w:tcW w:w="1842" w:type="dxa"/>
            <w:tcBorders>
              <w:top w:val="nil"/>
              <w:left w:val="nil"/>
              <w:bottom w:val="nil"/>
              <w:right w:val="nil"/>
            </w:tcBorders>
          </w:tcPr>
          <w:p w14:paraId="0F3B939C"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7B9A83FC"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650D2008" w14:textId="77777777" w:rsidTr="003A3B7D">
        <w:tc>
          <w:tcPr>
            <w:tcW w:w="5529" w:type="dxa"/>
            <w:tcBorders>
              <w:top w:val="nil"/>
              <w:left w:val="nil"/>
              <w:bottom w:val="nil"/>
              <w:right w:val="nil"/>
            </w:tcBorders>
          </w:tcPr>
          <w:p w14:paraId="62D91AC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Garcia-</w:t>
            </w:r>
            <w:proofErr w:type="spellStart"/>
            <w:r w:rsidRPr="00D96847">
              <w:rPr>
                <w:rFonts w:ascii="Times New Roman" w:eastAsia="Times New Roman" w:hAnsi="Times New Roman" w:cs="Times New Roman"/>
                <w:lang w:val="en-US"/>
              </w:rPr>
              <w:t>Elorrio</w:t>
            </w:r>
            <w:proofErr w:type="spellEnd"/>
            <w:r w:rsidRPr="00D96847">
              <w:rPr>
                <w:rFonts w:ascii="Times New Roman" w:eastAsia="Times New Roman" w:hAnsi="Times New Roman" w:cs="Times New Roman"/>
                <w:lang w:val="en-US"/>
              </w:rPr>
              <w:t xml:space="preserve"> E, Rowe SY, </w:t>
            </w:r>
            <w:proofErr w:type="spellStart"/>
            <w:r w:rsidRPr="00D96847">
              <w:rPr>
                <w:rFonts w:ascii="Times New Roman" w:eastAsia="Times New Roman" w:hAnsi="Times New Roman" w:cs="Times New Roman"/>
                <w:lang w:val="en-US"/>
              </w:rPr>
              <w:t>Teijeiro</w:t>
            </w:r>
            <w:proofErr w:type="spellEnd"/>
            <w:r w:rsidRPr="00D96847">
              <w:rPr>
                <w:rFonts w:ascii="Times New Roman" w:eastAsia="Times New Roman" w:hAnsi="Times New Roman" w:cs="Times New Roman"/>
                <w:lang w:val="en-US"/>
              </w:rPr>
              <w:t xml:space="preserve"> ME, </w:t>
            </w:r>
            <w:proofErr w:type="spellStart"/>
            <w:r w:rsidRPr="00D96847">
              <w:rPr>
                <w:rFonts w:ascii="Times New Roman" w:eastAsia="Times New Roman" w:hAnsi="Times New Roman" w:cs="Times New Roman"/>
                <w:lang w:val="en-US"/>
              </w:rPr>
              <w:t>Ciapponi</w:t>
            </w:r>
            <w:proofErr w:type="spellEnd"/>
            <w:r w:rsidRPr="00D96847">
              <w:rPr>
                <w:rFonts w:ascii="Times New Roman" w:eastAsia="Times New Roman" w:hAnsi="Times New Roman" w:cs="Times New Roman"/>
                <w:lang w:val="en-US"/>
              </w:rPr>
              <w:t xml:space="preserve"> A, Rowe AK. The effectiveness of the quality improvement collaborative strategy in low- and middle-income countries: A systematic review and meta-analysis. </w:t>
            </w:r>
            <w:proofErr w:type="spellStart"/>
            <w:r w:rsidRPr="00D96847">
              <w:rPr>
                <w:rFonts w:ascii="Times New Roman" w:eastAsia="Times New Roman" w:hAnsi="Times New Roman" w:cs="Times New Roman"/>
                <w:lang w:val="en-US"/>
              </w:rPr>
              <w:t>PLoS</w:t>
            </w:r>
            <w:proofErr w:type="spellEnd"/>
            <w:r w:rsidRPr="00D96847">
              <w:rPr>
                <w:rFonts w:ascii="Times New Roman" w:eastAsia="Times New Roman" w:hAnsi="Times New Roman" w:cs="Times New Roman"/>
                <w:lang w:val="en-US"/>
              </w:rPr>
              <w:t xml:space="preserve"> One. 2019 Oct 3;14(10</w:t>
            </w:r>
            <w:proofErr w:type="gramStart"/>
            <w:r w:rsidRPr="00D96847">
              <w:rPr>
                <w:rFonts w:ascii="Times New Roman" w:eastAsia="Times New Roman" w:hAnsi="Times New Roman" w:cs="Times New Roman"/>
                <w:lang w:val="en-US"/>
              </w:rPr>
              <w:t>):e</w:t>
            </w:r>
            <w:proofErr w:type="gramEnd"/>
            <w:r w:rsidRPr="00D96847">
              <w:rPr>
                <w:rFonts w:ascii="Times New Roman" w:eastAsia="Times New Roman" w:hAnsi="Times New Roman" w:cs="Times New Roman"/>
                <w:lang w:val="en-US"/>
              </w:rPr>
              <w:t xml:space="preserve">0221919.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10.1371/journal.pone.0221919. PMID: 31581197; PMCID: PMC6776335.</w:t>
            </w:r>
          </w:p>
        </w:tc>
        <w:tc>
          <w:tcPr>
            <w:tcW w:w="1842" w:type="dxa"/>
            <w:tcBorders>
              <w:top w:val="nil"/>
              <w:left w:val="nil"/>
              <w:bottom w:val="nil"/>
              <w:right w:val="nil"/>
            </w:tcBorders>
          </w:tcPr>
          <w:p w14:paraId="3DE64B58"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46E5482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613206A2" w14:textId="77777777" w:rsidTr="003A3B7D">
        <w:tc>
          <w:tcPr>
            <w:tcW w:w="5529" w:type="dxa"/>
            <w:tcBorders>
              <w:top w:val="nil"/>
              <w:left w:val="nil"/>
              <w:bottom w:val="nil"/>
              <w:right w:val="nil"/>
            </w:tcBorders>
          </w:tcPr>
          <w:p w14:paraId="4392D163"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Giguère</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Légaré</w:t>
            </w:r>
            <w:proofErr w:type="spellEnd"/>
            <w:r w:rsidRPr="00D96847">
              <w:rPr>
                <w:rFonts w:ascii="Times New Roman" w:eastAsia="Times New Roman" w:hAnsi="Times New Roman" w:cs="Times New Roman"/>
                <w:lang w:val="en-US"/>
              </w:rPr>
              <w:t xml:space="preserve"> F, Grimshaw J, Turcotte S, </w:t>
            </w:r>
            <w:proofErr w:type="spellStart"/>
            <w:r w:rsidRPr="00D96847">
              <w:rPr>
                <w:rFonts w:ascii="Times New Roman" w:eastAsia="Times New Roman" w:hAnsi="Times New Roman" w:cs="Times New Roman"/>
                <w:lang w:val="en-US"/>
              </w:rPr>
              <w:t>Fiander</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Grudniewicz</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Makosso-Kallyth</w:t>
            </w:r>
            <w:proofErr w:type="spellEnd"/>
            <w:r w:rsidRPr="00D96847">
              <w:rPr>
                <w:rFonts w:ascii="Times New Roman" w:eastAsia="Times New Roman" w:hAnsi="Times New Roman" w:cs="Times New Roman"/>
                <w:lang w:val="en-US"/>
              </w:rPr>
              <w:t xml:space="preserve"> S, Wolf FM, Farmer AP, Gagnon MP. Printed educational materials: effects on professional practice and healthcare outcomes. Cochrane Database Syst Rev. 2012 Oct 17;10(10):CD004398.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10.1002/14651858.CD004398.pub3. Update in: Cochrane Database Syst Rev. 2020 Jul 31;8:CD004398. PMID: 23076904; PMCID: PMC7197046.</w:t>
            </w:r>
          </w:p>
        </w:tc>
        <w:tc>
          <w:tcPr>
            <w:tcW w:w="1842" w:type="dxa"/>
            <w:tcBorders>
              <w:top w:val="nil"/>
              <w:left w:val="nil"/>
              <w:bottom w:val="nil"/>
              <w:right w:val="nil"/>
            </w:tcBorders>
          </w:tcPr>
          <w:p w14:paraId="72778DD1"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6F88765F"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1046986A" w14:textId="77777777" w:rsidTr="003A3B7D">
        <w:tc>
          <w:tcPr>
            <w:tcW w:w="5529" w:type="dxa"/>
            <w:tcBorders>
              <w:top w:val="nil"/>
              <w:left w:val="nil"/>
              <w:bottom w:val="nil"/>
              <w:right w:val="nil"/>
            </w:tcBorders>
          </w:tcPr>
          <w:p w14:paraId="573552E3"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Goldzweig</w:t>
            </w:r>
            <w:proofErr w:type="spellEnd"/>
            <w:r w:rsidRPr="00D96847">
              <w:rPr>
                <w:rFonts w:ascii="Times New Roman" w:eastAsia="Times New Roman" w:hAnsi="Times New Roman" w:cs="Times New Roman"/>
                <w:lang w:val="en-US"/>
              </w:rPr>
              <w:t xml:space="preserve"> CL, </w:t>
            </w:r>
            <w:proofErr w:type="spellStart"/>
            <w:r w:rsidRPr="00D96847">
              <w:rPr>
                <w:rFonts w:ascii="Times New Roman" w:eastAsia="Times New Roman" w:hAnsi="Times New Roman" w:cs="Times New Roman"/>
                <w:lang w:val="en-US"/>
              </w:rPr>
              <w:t>Orshansky</w:t>
            </w:r>
            <w:proofErr w:type="spellEnd"/>
            <w:r w:rsidRPr="00D96847">
              <w:rPr>
                <w:rFonts w:ascii="Times New Roman" w:eastAsia="Times New Roman" w:hAnsi="Times New Roman" w:cs="Times New Roman"/>
                <w:lang w:val="en-US"/>
              </w:rPr>
              <w:t xml:space="preserve"> G, Paige NM, </w:t>
            </w:r>
            <w:proofErr w:type="spellStart"/>
            <w:r w:rsidRPr="00D96847">
              <w:rPr>
                <w:rFonts w:ascii="Times New Roman" w:eastAsia="Times New Roman" w:hAnsi="Times New Roman" w:cs="Times New Roman"/>
                <w:lang w:val="en-US"/>
              </w:rPr>
              <w:t>Miake</w:t>
            </w:r>
            <w:proofErr w:type="spellEnd"/>
            <w:r w:rsidRPr="00D96847">
              <w:rPr>
                <w:rFonts w:ascii="Times New Roman" w:eastAsia="Times New Roman" w:hAnsi="Times New Roman" w:cs="Times New Roman"/>
                <w:lang w:val="en-US"/>
              </w:rPr>
              <w:t xml:space="preserve">-Lye IM, </w:t>
            </w:r>
            <w:proofErr w:type="spellStart"/>
            <w:r w:rsidRPr="00D96847">
              <w:rPr>
                <w:rFonts w:ascii="Times New Roman" w:eastAsia="Times New Roman" w:hAnsi="Times New Roman" w:cs="Times New Roman"/>
                <w:lang w:val="en-US"/>
              </w:rPr>
              <w:t>Beroes</w:t>
            </w:r>
            <w:proofErr w:type="spellEnd"/>
            <w:r w:rsidRPr="00D96847">
              <w:rPr>
                <w:rFonts w:ascii="Times New Roman" w:eastAsia="Times New Roman" w:hAnsi="Times New Roman" w:cs="Times New Roman"/>
                <w:lang w:val="en-US"/>
              </w:rPr>
              <w:t xml:space="preserve"> JM, Ewing BA, </w:t>
            </w:r>
            <w:proofErr w:type="spellStart"/>
            <w:r w:rsidRPr="00D96847">
              <w:rPr>
                <w:rFonts w:ascii="Times New Roman" w:eastAsia="Times New Roman" w:hAnsi="Times New Roman" w:cs="Times New Roman"/>
                <w:lang w:val="en-US"/>
              </w:rPr>
              <w:t>Shekelle</w:t>
            </w:r>
            <w:proofErr w:type="spellEnd"/>
            <w:r w:rsidRPr="00D96847">
              <w:rPr>
                <w:rFonts w:ascii="Times New Roman" w:eastAsia="Times New Roman" w:hAnsi="Times New Roman" w:cs="Times New Roman"/>
                <w:lang w:val="en-US"/>
              </w:rPr>
              <w:t xml:space="preserve"> PG. Electronic health record-based interventions for improving appropriate diagnostic imaging: a systematic review and meta-analysis. Ann Intern Med. 2015 Apr 21;162(8):557-65.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10.7326/M14-2600. PMID: 25894025.</w:t>
            </w:r>
          </w:p>
        </w:tc>
        <w:tc>
          <w:tcPr>
            <w:tcW w:w="1842" w:type="dxa"/>
            <w:tcBorders>
              <w:top w:val="nil"/>
              <w:left w:val="nil"/>
              <w:bottom w:val="nil"/>
              <w:right w:val="nil"/>
            </w:tcBorders>
          </w:tcPr>
          <w:p w14:paraId="33B9A6B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743E2CB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118BD45E" w14:textId="77777777" w:rsidTr="003A3B7D">
        <w:tc>
          <w:tcPr>
            <w:tcW w:w="5529" w:type="dxa"/>
            <w:tcBorders>
              <w:top w:val="nil"/>
              <w:left w:val="nil"/>
              <w:bottom w:val="nil"/>
              <w:right w:val="nil"/>
            </w:tcBorders>
          </w:tcPr>
          <w:p w14:paraId="7F51E0DD"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Guignet</w:t>
            </w:r>
            <w:proofErr w:type="spellEnd"/>
            <w:r w:rsidRPr="00D96847">
              <w:rPr>
                <w:rFonts w:ascii="Times New Roman" w:eastAsia="Times New Roman" w:hAnsi="Times New Roman" w:cs="Times New Roman"/>
                <w:lang w:val="en-US"/>
              </w:rPr>
              <w:t xml:space="preserve"> D, Jenkins R, </w:t>
            </w:r>
            <w:proofErr w:type="spellStart"/>
            <w:r w:rsidRPr="00D96847">
              <w:rPr>
                <w:rFonts w:ascii="Times New Roman" w:eastAsia="Times New Roman" w:hAnsi="Times New Roman" w:cs="Times New Roman"/>
                <w:lang w:val="en-US"/>
              </w:rPr>
              <w:t>Ranson</w:t>
            </w:r>
            <w:proofErr w:type="spellEnd"/>
            <w:r w:rsidRPr="00D96847">
              <w:rPr>
                <w:rFonts w:ascii="Times New Roman" w:eastAsia="Times New Roman" w:hAnsi="Times New Roman" w:cs="Times New Roman"/>
                <w:lang w:val="en-US"/>
              </w:rPr>
              <w:t xml:space="preserve"> M, Walsh P. Contamination and Incomplete </w:t>
            </w:r>
            <w:proofErr w:type="gramStart"/>
            <w:r w:rsidRPr="00D96847">
              <w:rPr>
                <w:rFonts w:ascii="Times New Roman" w:eastAsia="Times New Roman" w:hAnsi="Times New Roman" w:cs="Times New Roman"/>
                <w:lang w:val="en-US"/>
              </w:rPr>
              <w:t>Information::</w:t>
            </w:r>
            <w:proofErr w:type="gramEnd"/>
            <w:r w:rsidRPr="00D96847">
              <w:rPr>
                <w:rFonts w:ascii="Times New Roman" w:eastAsia="Times New Roman" w:hAnsi="Times New Roman" w:cs="Times New Roman"/>
                <w:lang w:val="en-US"/>
              </w:rPr>
              <w:t xml:space="preserve"> Bounding Implicit Prices using High-Profile Leaks. J Environ Econ Manage. </w:t>
            </w:r>
            <w:proofErr w:type="gramStart"/>
            <w:r w:rsidRPr="00D96847">
              <w:rPr>
                <w:rFonts w:ascii="Times New Roman" w:eastAsia="Times New Roman" w:hAnsi="Times New Roman" w:cs="Times New Roman"/>
                <w:lang w:val="en-US"/>
              </w:rPr>
              <w:t>2018;88:259</w:t>
            </w:r>
            <w:proofErr w:type="gramEnd"/>
            <w:r w:rsidRPr="00D96847">
              <w:rPr>
                <w:rFonts w:ascii="Times New Roman" w:eastAsia="Times New Roman" w:hAnsi="Times New Roman" w:cs="Times New Roman"/>
                <w:lang w:val="en-US"/>
              </w:rPr>
              <w:t xml:space="preserve">-282.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10.1016/j.jeem.2017.12.003. PMID: 30996495; PMCID: PMC6463534.</w:t>
            </w:r>
          </w:p>
        </w:tc>
        <w:tc>
          <w:tcPr>
            <w:tcW w:w="1842" w:type="dxa"/>
            <w:tcBorders>
              <w:top w:val="nil"/>
              <w:left w:val="nil"/>
              <w:bottom w:val="nil"/>
              <w:right w:val="nil"/>
            </w:tcBorders>
          </w:tcPr>
          <w:p w14:paraId="032C6DA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5A76905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4CF5C3C3" w14:textId="77777777" w:rsidTr="003A3B7D">
        <w:tc>
          <w:tcPr>
            <w:tcW w:w="5529" w:type="dxa"/>
            <w:tcBorders>
              <w:top w:val="nil"/>
              <w:left w:val="nil"/>
              <w:bottom w:val="nil"/>
              <w:right w:val="nil"/>
            </w:tcBorders>
          </w:tcPr>
          <w:p w14:paraId="3C5EC93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Harder T, </w:t>
            </w:r>
            <w:proofErr w:type="spellStart"/>
            <w:r w:rsidRPr="00D96847">
              <w:rPr>
                <w:rFonts w:ascii="Times New Roman" w:eastAsia="Times New Roman" w:hAnsi="Times New Roman" w:cs="Times New Roman"/>
                <w:lang w:val="en-US"/>
              </w:rPr>
              <w:t>Siedler</w:t>
            </w:r>
            <w:proofErr w:type="spellEnd"/>
            <w:r w:rsidRPr="00D96847">
              <w:rPr>
                <w:rFonts w:ascii="Times New Roman" w:eastAsia="Times New Roman" w:hAnsi="Times New Roman" w:cs="Times New Roman"/>
                <w:lang w:val="en-US"/>
              </w:rPr>
              <w:t xml:space="preserve"> A. Systematic Review and Meta-analysis of Chickenpox Vaccination and Risk of Herpes Zoster: A Quantitative View on the "Exogenous Boosting Hypothesis". Clin Infect Dis. 2019 Sep 27;69(8):1329-1338.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10.1093/</w:t>
            </w:r>
            <w:proofErr w:type="spellStart"/>
            <w:r w:rsidRPr="00D96847">
              <w:rPr>
                <w:rFonts w:ascii="Times New Roman" w:eastAsia="Times New Roman" w:hAnsi="Times New Roman" w:cs="Times New Roman"/>
                <w:lang w:val="en-US"/>
              </w:rPr>
              <w:t>cid</w:t>
            </w:r>
            <w:proofErr w:type="spellEnd"/>
            <w:r w:rsidRPr="00D96847">
              <w:rPr>
                <w:rFonts w:ascii="Times New Roman" w:eastAsia="Times New Roman" w:hAnsi="Times New Roman" w:cs="Times New Roman"/>
                <w:lang w:val="en-US"/>
              </w:rPr>
              <w:t>/ciy1099. PMID: 30590491.</w:t>
            </w:r>
          </w:p>
        </w:tc>
        <w:tc>
          <w:tcPr>
            <w:tcW w:w="1842" w:type="dxa"/>
            <w:tcBorders>
              <w:top w:val="nil"/>
              <w:left w:val="nil"/>
              <w:bottom w:val="nil"/>
              <w:right w:val="nil"/>
            </w:tcBorders>
          </w:tcPr>
          <w:p w14:paraId="1B59AC6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5A38B7F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328E9112" w14:textId="77777777" w:rsidTr="003A3B7D">
        <w:tc>
          <w:tcPr>
            <w:tcW w:w="5529" w:type="dxa"/>
            <w:tcBorders>
              <w:top w:val="nil"/>
              <w:left w:val="nil"/>
              <w:bottom w:val="nil"/>
              <w:right w:val="nil"/>
            </w:tcBorders>
          </w:tcPr>
          <w:p w14:paraId="0B63EB8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Kim Y, </w:t>
            </w:r>
            <w:proofErr w:type="spellStart"/>
            <w:r w:rsidRPr="00D96847">
              <w:rPr>
                <w:rFonts w:ascii="Times New Roman" w:eastAsia="Times New Roman" w:hAnsi="Times New Roman" w:cs="Times New Roman"/>
                <w:lang w:val="en-US"/>
              </w:rPr>
              <w:t>Gasparrini</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Hashizume</w:t>
            </w:r>
            <w:proofErr w:type="spellEnd"/>
            <w:r w:rsidRPr="00D96847">
              <w:rPr>
                <w:rFonts w:ascii="Times New Roman" w:eastAsia="Times New Roman" w:hAnsi="Times New Roman" w:cs="Times New Roman"/>
                <w:lang w:val="en-US"/>
              </w:rPr>
              <w:t xml:space="preserve"> M, Honda Y, Ng CFS, Armstrong B. Heat-Related Mortality in Japan after the 2011 Fukushima Disaster: An Analysis of Potential Influence of Reduced Electricity Consumption. Environ Health </w:t>
            </w:r>
            <w:proofErr w:type="spellStart"/>
            <w:r w:rsidRPr="00D96847">
              <w:rPr>
                <w:rFonts w:ascii="Times New Roman" w:eastAsia="Times New Roman" w:hAnsi="Times New Roman" w:cs="Times New Roman"/>
                <w:lang w:val="en-US"/>
              </w:rPr>
              <w:t>Perspect</w:t>
            </w:r>
            <w:proofErr w:type="spellEnd"/>
            <w:r w:rsidRPr="00D96847">
              <w:rPr>
                <w:rFonts w:ascii="Times New Roman" w:eastAsia="Times New Roman" w:hAnsi="Times New Roman" w:cs="Times New Roman"/>
                <w:lang w:val="en-US"/>
              </w:rPr>
              <w:t xml:space="preserve">. 2017 Jul 6;125(7):077005.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10.1289/EHP493. PMID: 28686555; PMCID: PMC5744700.</w:t>
            </w:r>
          </w:p>
        </w:tc>
        <w:tc>
          <w:tcPr>
            <w:tcW w:w="1842" w:type="dxa"/>
            <w:tcBorders>
              <w:top w:val="nil"/>
              <w:left w:val="nil"/>
              <w:bottom w:val="nil"/>
              <w:right w:val="nil"/>
            </w:tcBorders>
          </w:tcPr>
          <w:p w14:paraId="135066A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0E7ED3C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27C6EDC2" w14:textId="77777777" w:rsidTr="003A3B7D">
        <w:tc>
          <w:tcPr>
            <w:tcW w:w="5529" w:type="dxa"/>
            <w:tcBorders>
              <w:top w:val="nil"/>
              <w:left w:val="nil"/>
              <w:bottom w:val="nil"/>
              <w:right w:val="nil"/>
            </w:tcBorders>
          </w:tcPr>
          <w:p w14:paraId="22601FF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Lane TJ, Hall W. Traffic fatalities within US states that have legalized recreational cannabis sales and their </w:t>
            </w:r>
            <w:proofErr w:type="spellStart"/>
            <w:r w:rsidRPr="00D96847">
              <w:rPr>
                <w:rFonts w:ascii="Times New Roman" w:eastAsia="Times New Roman" w:hAnsi="Times New Roman" w:cs="Times New Roman"/>
                <w:lang w:val="en-US"/>
              </w:rPr>
              <w:t>neighbours</w:t>
            </w:r>
            <w:proofErr w:type="spellEnd"/>
            <w:r w:rsidRPr="00D96847">
              <w:rPr>
                <w:rFonts w:ascii="Times New Roman" w:eastAsia="Times New Roman" w:hAnsi="Times New Roman" w:cs="Times New Roman"/>
                <w:lang w:val="en-US"/>
              </w:rPr>
              <w:t xml:space="preserve">. Addiction. 2019 May;114(5):847-856.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10.1111/add.14536.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2019 Feb 4. PMID: 30719794.</w:t>
            </w:r>
          </w:p>
        </w:tc>
        <w:tc>
          <w:tcPr>
            <w:tcW w:w="1842" w:type="dxa"/>
            <w:tcBorders>
              <w:top w:val="nil"/>
              <w:left w:val="nil"/>
              <w:bottom w:val="nil"/>
              <w:right w:val="nil"/>
            </w:tcBorders>
          </w:tcPr>
          <w:p w14:paraId="5CB79BC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in publication</w:t>
            </w:r>
          </w:p>
        </w:tc>
        <w:tc>
          <w:tcPr>
            <w:tcW w:w="2552" w:type="dxa"/>
            <w:tcBorders>
              <w:top w:val="nil"/>
              <w:left w:val="nil"/>
              <w:bottom w:val="nil"/>
              <w:right w:val="nil"/>
            </w:tcBorders>
          </w:tcPr>
          <w:p w14:paraId="0ADEFE1A"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3147D46F" w14:textId="77777777" w:rsidTr="003A3B7D">
        <w:tc>
          <w:tcPr>
            <w:tcW w:w="5529" w:type="dxa"/>
            <w:tcBorders>
              <w:top w:val="nil"/>
              <w:left w:val="nil"/>
              <w:bottom w:val="nil"/>
              <w:right w:val="nil"/>
            </w:tcBorders>
          </w:tcPr>
          <w:p w14:paraId="159BFBCD"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Larance</w:t>
            </w:r>
            <w:proofErr w:type="spellEnd"/>
            <w:r w:rsidRPr="00D96847">
              <w:rPr>
                <w:rFonts w:ascii="Times New Roman" w:eastAsia="Times New Roman" w:hAnsi="Times New Roman" w:cs="Times New Roman"/>
                <w:lang w:val="en-US"/>
              </w:rPr>
              <w:t xml:space="preserve"> B, Dobbins T, Peacock A, Ali R, Bruno R, </w:t>
            </w:r>
            <w:proofErr w:type="spellStart"/>
            <w:r w:rsidRPr="00D96847">
              <w:rPr>
                <w:rFonts w:ascii="Times New Roman" w:eastAsia="Times New Roman" w:hAnsi="Times New Roman" w:cs="Times New Roman"/>
                <w:lang w:val="en-US"/>
              </w:rPr>
              <w:t>Lintzeris</w:t>
            </w:r>
            <w:proofErr w:type="spellEnd"/>
            <w:r w:rsidRPr="00D96847">
              <w:rPr>
                <w:rFonts w:ascii="Times New Roman" w:eastAsia="Times New Roman" w:hAnsi="Times New Roman" w:cs="Times New Roman"/>
                <w:lang w:val="en-US"/>
              </w:rPr>
              <w:t xml:space="preserve"> N, Farrell M, Degenhardt L. The effect of a potentially tamper-resistant oxycodone formulation on opioid use and harm: main findings of the National Opioid Medications Abuse Deterrence (NOMAD) study. Lancet </w:t>
            </w:r>
            <w:r w:rsidRPr="00D96847">
              <w:rPr>
                <w:rFonts w:ascii="Times New Roman" w:eastAsia="Times New Roman" w:hAnsi="Times New Roman" w:cs="Times New Roman"/>
                <w:lang w:val="en-US"/>
              </w:rPr>
              <w:lastRenderedPageBreak/>
              <w:t xml:space="preserve">Psychiatry. 2018 Feb;5(2):155-166.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10.1016/S2215-0366(18)30003-8.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2018 Jan 11. PMID: 29336948.</w:t>
            </w:r>
          </w:p>
        </w:tc>
        <w:tc>
          <w:tcPr>
            <w:tcW w:w="1842" w:type="dxa"/>
            <w:tcBorders>
              <w:top w:val="nil"/>
              <w:left w:val="nil"/>
              <w:bottom w:val="nil"/>
              <w:right w:val="nil"/>
            </w:tcBorders>
          </w:tcPr>
          <w:p w14:paraId="1C17B686"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lastRenderedPageBreak/>
              <w:t>Not provided</w:t>
            </w:r>
          </w:p>
        </w:tc>
        <w:tc>
          <w:tcPr>
            <w:tcW w:w="2552" w:type="dxa"/>
            <w:tcBorders>
              <w:top w:val="nil"/>
              <w:left w:val="nil"/>
              <w:bottom w:val="nil"/>
              <w:right w:val="nil"/>
            </w:tcBorders>
          </w:tcPr>
          <w:p w14:paraId="54C1FE5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2A19D2D1" w14:textId="77777777" w:rsidTr="003A3B7D">
        <w:tc>
          <w:tcPr>
            <w:tcW w:w="5529" w:type="dxa"/>
            <w:tcBorders>
              <w:top w:val="nil"/>
              <w:left w:val="nil"/>
              <w:bottom w:val="nil"/>
              <w:right w:val="nil"/>
            </w:tcBorders>
          </w:tcPr>
          <w:p w14:paraId="2BAD64F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Li Q, Wen M. The Immediate and Lingering Effects of Armed Conflict on Adult Mortality: A Time-Series Cross-National Analysis. Journal of Peace Research. 2005;42(4):471-492. doi:10.1177/0022343305054092</w:t>
            </w:r>
            <w:r>
              <w:rPr>
                <w:rFonts w:ascii="Times New Roman" w:eastAsia="Times New Roman" w:hAnsi="Times New Roman" w:cs="Times New Roman"/>
                <w:lang w:val="en-US"/>
              </w:rPr>
              <w:t>.</w:t>
            </w:r>
            <w:r w:rsidRPr="00D96847">
              <w:rPr>
                <w:rFonts w:ascii="Times New Roman" w:eastAsia="Times New Roman" w:hAnsi="Times New Roman" w:cs="Times New Roman"/>
                <w:lang w:val="en-US"/>
              </w:rPr>
              <w:t xml:space="preserve"> </w:t>
            </w:r>
          </w:p>
        </w:tc>
        <w:tc>
          <w:tcPr>
            <w:tcW w:w="1842" w:type="dxa"/>
            <w:tcBorders>
              <w:top w:val="nil"/>
              <w:left w:val="nil"/>
              <w:bottom w:val="nil"/>
              <w:right w:val="nil"/>
            </w:tcBorders>
          </w:tcPr>
          <w:p w14:paraId="36072BE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4C2B098A"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597E73C3" w14:textId="77777777" w:rsidTr="003A3B7D">
        <w:tc>
          <w:tcPr>
            <w:tcW w:w="5529" w:type="dxa"/>
            <w:tcBorders>
              <w:top w:val="nil"/>
              <w:left w:val="nil"/>
              <w:bottom w:val="nil"/>
              <w:right w:val="nil"/>
            </w:tcBorders>
          </w:tcPr>
          <w:p w14:paraId="3BB9740B"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Luangasanatip</w:t>
            </w:r>
            <w:proofErr w:type="spellEnd"/>
            <w:r w:rsidRPr="00D96847">
              <w:rPr>
                <w:rFonts w:ascii="Times New Roman" w:eastAsia="Times New Roman" w:hAnsi="Times New Roman" w:cs="Times New Roman"/>
                <w:lang w:val="en-US"/>
              </w:rPr>
              <w:t xml:space="preserve"> N, </w:t>
            </w:r>
            <w:proofErr w:type="spellStart"/>
            <w:r w:rsidRPr="00D96847">
              <w:rPr>
                <w:rFonts w:ascii="Times New Roman" w:eastAsia="Times New Roman" w:hAnsi="Times New Roman" w:cs="Times New Roman"/>
                <w:lang w:val="en-US"/>
              </w:rPr>
              <w:t>Hongsuwan</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Limmathurotsakul</w:t>
            </w:r>
            <w:proofErr w:type="spellEnd"/>
            <w:r w:rsidRPr="00D96847">
              <w:rPr>
                <w:rFonts w:ascii="Times New Roman" w:eastAsia="Times New Roman" w:hAnsi="Times New Roman" w:cs="Times New Roman"/>
                <w:lang w:val="en-US"/>
              </w:rPr>
              <w:t xml:space="preserve"> D, </w:t>
            </w:r>
            <w:proofErr w:type="spellStart"/>
            <w:r w:rsidRPr="00D96847">
              <w:rPr>
                <w:rFonts w:ascii="Times New Roman" w:eastAsia="Times New Roman" w:hAnsi="Times New Roman" w:cs="Times New Roman"/>
                <w:lang w:val="en-US"/>
              </w:rPr>
              <w:t>Lubell</w:t>
            </w:r>
            <w:proofErr w:type="spellEnd"/>
            <w:r w:rsidRPr="00D96847">
              <w:rPr>
                <w:rFonts w:ascii="Times New Roman" w:eastAsia="Times New Roman" w:hAnsi="Times New Roman" w:cs="Times New Roman"/>
                <w:lang w:val="en-US"/>
              </w:rPr>
              <w:t xml:space="preserve"> Y, Lee AS, </w:t>
            </w:r>
            <w:proofErr w:type="spellStart"/>
            <w:r w:rsidRPr="00D96847">
              <w:rPr>
                <w:rFonts w:ascii="Times New Roman" w:eastAsia="Times New Roman" w:hAnsi="Times New Roman" w:cs="Times New Roman"/>
                <w:lang w:val="en-US"/>
              </w:rPr>
              <w:t>Harbarth</w:t>
            </w:r>
            <w:proofErr w:type="spellEnd"/>
            <w:r w:rsidRPr="00D96847">
              <w:rPr>
                <w:rFonts w:ascii="Times New Roman" w:eastAsia="Times New Roman" w:hAnsi="Times New Roman" w:cs="Times New Roman"/>
                <w:lang w:val="en-US"/>
              </w:rPr>
              <w:t xml:space="preserve"> S, Day NP, Graves N, Cooper BS. Comparative efficacy of interventions to promote hand hygiene in hospital: systematic review and network meta-analysis. BMJ. 2015 Jul 28;351:h3728.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10.1136/bmj.h3728. PMID: 26220070; PMCID: PMC4517539.</w:t>
            </w:r>
          </w:p>
        </w:tc>
        <w:tc>
          <w:tcPr>
            <w:tcW w:w="1842" w:type="dxa"/>
            <w:tcBorders>
              <w:top w:val="nil"/>
              <w:left w:val="nil"/>
              <w:bottom w:val="nil"/>
              <w:right w:val="nil"/>
            </w:tcBorders>
          </w:tcPr>
          <w:p w14:paraId="54A594D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digitally extracted</w:t>
            </w:r>
          </w:p>
        </w:tc>
        <w:tc>
          <w:tcPr>
            <w:tcW w:w="2552" w:type="dxa"/>
            <w:tcBorders>
              <w:top w:val="nil"/>
              <w:left w:val="nil"/>
              <w:bottom w:val="nil"/>
              <w:right w:val="nil"/>
            </w:tcBorders>
          </w:tcPr>
          <w:p w14:paraId="6F4C344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06621976" w14:textId="77777777" w:rsidTr="003A3B7D">
        <w:tc>
          <w:tcPr>
            <w:tcW w:w="5529" w:type="dxa"/>
            <w:tcBorders>
              <w:top w:val="nil"/>
              <w:left w:val="nil"/>
              <w:bottom w:val="nil"/>
              <w:right w:val="nil"/>
            </w:tcBorders>
          </w:tcPr>
          <w:p w14:paraId="632BF64D"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Perkins C, Steinbach R, </w:t>
            </w:r>
            <w:proofErr w:type="spellStart"/>
            <w:r w:rsidRPr="00D96847">
              <w:rPr>
                <w:rFonts w:ascii="Times New Roman" w:eastAsia="Times New Roman" w:hAnsi="Times New Roman" w:cs="Times New Roman"/>
                <w:lang w:val="en-US"/>
              </w:rPr>
              <w:t>Tompson</w:t>
            </w:r>
            <w:proofErr w:type="spellEnd"/>
            <w:r w:rsidRPr="00D96847">
              <w:rPr>
                <w:rFonts w:ascii="Times New Roman" w:eastAsia="Times New Roman" w:hAnsi="Times New Roman" w:cs="Times New Roman"/>
                <w:lang w:val="en-US"/>
              </w:rPr>
              <w:t xml:space="preserve"> L, Green J, Johnson S, Grundy C, Wilkinson P, Edwards P. What is the effect of reduced street lighting on crime and road traffic injuries at night? A mixed-methods study. Southampton (UK): NIHR Journals Library; 2015 Sep. PMID: 26401542.</w:t>
            </w:r>
          </w:p>
        </w:tc>
        <w:tc>
          <w:tcPr>
            <w:tcW w:w="1842" w:type="dxa"/>
            <w:tcBorders>
              <w:top w:val="nil"/>
              <w:left w:val="nil"/>
              <w:bottom w:val="nil"/>
              <w:right w:val="nil"/>
            </w:tcBorders>
          </w:tcPr>
          <w:p w14:paraId="2894C87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6EDBEEB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41B82374" w14:textId="77777777" w:rsidTr="003A3B7D">
        <w:tc>
          <w:tcPr>
            <w:tcW w:w="5529" w:type="dxa"/>
            <w:tcBorders>
              <w:top w:val="nil"/>
              <w:left w:val="nil"/>
              <w:bottom w:val="nil"/>
              <w:right w:val="nil"/>
            </w:tcBorders>
          </w:tcPr>
          <w:p w14:paraId="7C7766D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Phung D, Chu C, Rutherford S, Nguyen HLT, Luong MA, Do CM, Huang C. Heavy rainfall and risk of infectious intestinal diseases in the most populous city in Vietnam. Sci Total Environ. 2017 Feb </w:t>
            </w:r>
            <w:proofErr w:type="gramStart"/>
            <w:r w:rsidRPr="00D96847">
              <w:rPr>
                <w:rFonts w:ascii="Times New Roman" w:eastAsia="Times New Roman" w:hAnsi="Times New Roman" w:cs="Times New Roman"/>
                <w:lang w:val="en-US"/>
              </w:rPr>
              <w:t>15;580:805</w:t>
            </w:r>
            <w:proofErr w:type="gramEnd"/>
            <w:r w:rsidRPr="00D96847">
              <w:rPr>
                <w:rFonts w:ascii="Times New Roman" w:eastAsia="Times New Roman" w:hAnsi="Times New Roman" w:cs="Times New Roman"/>
                <w:lang w:val="en-US"/>
              </w:rPr>
              <w:t xml:space="preserve">-812.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10.1016/j.scitotenv.2016.12.027.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2016 Dec 21. PMID: 28012659.</w:t>
            </w:r>
          </w:p>
        </w:tc>
        <w:tc>
          <w:tcPr>
            <w:tcW w:w="1842" w:type="dxa"/>
            <w:tcBorders>
              <w:top w:val="nil"/>
              <w:left w:val="nil"/>
              <w:bottom w:val="nil"/>
              <w:right w:val="nil"/>
            </w:tcBorders>
          </w:tcPr>
          <w:p w14:paraId="0BB1D91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40E2392C"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40E50A5B" w14:textId="77777777" w:rsidTr="003A3B7D">
        <w:tc>
          <w:tcPr>
            <w:tcW w:w="5529" w:type="dxa"/>
            <w:tcBorders>
              <w:top w:val="nil"/>
              <w:left w:val="nil"/>
              <w:bottom w:val="nil"/>
              <w:right w:val="nil"/>
            </w:tcBorders>
          </w:tcPr>
          <w:p w14:paraId="5034E42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Phung D, Nguyen HT, Chu C, Sadler R, Luong AM, Nguyen HT, Pham TC, Huang C. Impacts of helmet law on the changes in potential years of life lost due to traffic injury: a multiple-province evaluation in Vietnam. </w:t>
            </w:r>
            <w:proofErr w:type="spellStart"/>
            <w:r w:rsidRPr="00D96847">
              <w:rPr>
                <w:rFonts w:ascii="Times New Roman" w:eastAsia="Times New Roman" w:hAnsi="Times New Roman" w:cs="Times New Roman"/>
                <w:lang w:val="en-US"/>
              </w:rPr>
              <w:t>Inj</w:t>
            </w:r>
            <w:proofErr w:type="spellEnd"/>
            <w:r w:rsidRPr="00D96847">
              <w:rPr>
                <w:rFonts w:ascii="Times New Roman" w:eastAsia="Times New Roman" w:hAnsi="Times New Roman" w:cs="Times New Roman"/>
                <w:lang w:val="en-US"/>
              </w:rPr>
              <w:t xml:space="preserve"> Prev. 2020 Apr;26(2):109-115.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10.1136/injuryprev-2018-043088.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2019 Mar 5. PMID: 30837327.</w:t>
            </w:r>
          </w:p>
        </w:tc>
        <w:tc>
          <w:tcPr>
            <w:tcW w:w="1842" w:type="dxa"/>
            <w:tcBorders>
              <w:top w:val="nil"/>
              <w:left w:val="nil"/>
              <w:bottom w:val="nil"/>
              <w:right w:val="nil"/>
            </w:tcBorders>
          </w:tcPr>
          <w:p w14:paraId="1821327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4C99BC9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67A3D238" w14:textId="77777777" w:rsidTr="003A3B7D">
        <w:tc>
          <w:tcPr>
            <w:tcW w:w="5529" w:type="dxa"/>
            <w:tcBorders>
              <w:top w:val="nil"/>
              <w:left w:val="nil"/>
              <w:bottom w:val="nil"/>
              <w:right w:val="nil"/>
            </w:tcBorders>
          </w:tcPr>
          <w:p w14:paraId="2DCB178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Phung D, Tran PD, Nguyen LH, Do CM, Rutherford S, Chu C. The impact of prevention and control of infectious disease law on </w:t>
            </w:r>
            <w:proofErr w:type="spellStart"/>
            <w:r w:rsidRPr="00D96847">
              <w:rPr>
                <w:rFonts w:ascii="Times New Roman" w:eastAsia="Times New Roman" w:hAnsi="Times New Roman" w:cs="Times New Roman"/>
                <w:lang w:val="en-US"/>
              </w:rPr>
              <w:t>diarrhoea</w:t>
            </w:r>
            <w:proofErr w:type="spellEnd"/>
            <w:r w:rsidRPr="00D96847">
              <w:rPr>
                <w:rFonts w:ascii="Times New Roman" w:eastAsia="Times New Roman" w:hAnsi="Times New Roman" w:cs="Times New Roman"/>
                <w:lang w:val="en-US"/>
              </w:rPr>
              <w:t xml:space="preserve"> control: a 5-year evaluation in multiple provinces in Vietnam. Health Policy Plan. 2017 Dec 1;32(10):1347-1353.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10.1093/</w:t>
            </w:r>
            <w:proofErr w:type="spellStart"/>
            <w:r w:rsidRPr="00D96847">
              <w:rPr>
                <w:rFonts w:ascii="Times New Roman" w:eastAsia="Times New Roman" w:hAnsi="Times New Roman" w:cs="Times New Roman"/>
                <w:lang w:val="en-US"/>
              </w:rPr>
              <w:t>heapol</w:t>
            </w:r>
            <w:proofErr w:type="spellEnd"/>
            <w:r w:rsidRPr="00D96847">
              <w:rPr>
                <w:rFonts w:ascii="Times New Roman" w:eastAsia="Times New Roman" w:hAnsi="Times New Roman" w:cs="Times New Roman"/>
                <w:lang w:val="en-US"/>
              </w:rPr>
              <w:t>/czx099. PMID: 28973652.</w:t>
            </w:r>
          </w:p>
        </w:tc>
        <w:tc>
          <w:tcPr>
            <w:tcW w:w="1842" w:type="dxa"/>
            <w:tcBorders>
              <w:top w:val="nil"/>
              <w:left w:val="nil"/>
              <w:bottom w:val="nil"/>
              <w:right w:val="nil"/>
            </w:tcBorders>
          </w:tcPr>
          <w:p w14:paraId="63537BE6"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14C5142E"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57227DCF" w14:textId="77777777" w:rsidTr="003A3B7D">
        <w:tc>
          <w:tcPr>
            <w:tcW w:w="5529" w:type="dxa"/>
            <w:tcBorders>
              <w:top w:val="nil"/>
              <w:left w:val="nil"/>
              <w:bottom w:val="nil"/>
              <w:right w:val="nil"/>
            </w:tcBorders>
          </w:tcPr>
          <w:p w14:paraId="12C4A05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Pryce J, Choi L, Richardson M, Malone D. Insecticide space spraying for preventing malaria transmission. Cochrane Database Syst Rev. 2018 Nov 2;11(11):CD012689.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10.1002/14651858.CD012689.pub2. PMID: 30388303; PMCID: PMC6516806.</w:t>
            </w:r>
          </w:p>
        </w:tc>
        <w:tc>
          <w:tcPr>
            <w:tcW w:w="1842" w:type="dxa"/>
            <w:tcBorders>
              <w:top w:val="nil"/>
              <w:left w:val="nil"/>
              <w:bottom w:val="nil"/>
              <w:right w:val="nil"/>
            </w:tcBorders>
          </w:tcPr>
          <w:p w14:paraId="1C46DB1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65505D91"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124D5B81" w14:textId="77777777" w:rsidTr="003A3B7D">
        <w:tc>
          <w:tcPr>
            <w:tcW w:w="5529" w:type="dxa"/>
            <w:tcBorders>
              <w:top w:val="nil"/>
              <w:left w:val="nil"/>
              <w:bottom w:val="nil"/>
              <w:right w:val="nil"/>
            </w:tcBorders>
          </w:tcPr>
          <w:p w14:paraId="61414AE2"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Rashidian</w:t>
            </w:r>
            <w:proofErr w:type="spellEnd"/>
            <w:r w:rsidRPr="00D96847">
              <w:rPr>
                <w:rFonts w:ascii="Times New Roman" w:eastAsia="Times New Roman" w:hAnsi="Times New Roman" w:cs="Times New Roman"/>
                <w:lang w:val="en-US"/>
              </w:rPr>
              <w:t xml:space="preserve"> A, </w:t>
            </w:r>
            <w:proofErr w:type="spellStart"/>
            <w:r w:rsidRPr="00D96847">
              <w:rPr>
                <w:rFonts w:ascii="Times New Roman" w:eastAsia="Times New Roman" w:hAnsi="Times New Roman" w:cs="Times New Roman"/>
                <w:lang w:val="en-US"/>
              </w:rPr>
              <w:t>Omidvari</w:t>
            </w:r>
            <w:proofErr w:type="spellEnd"/>
            <w:r w:rsidRPr="00D96847">
              <w:rPr>
                <w:rFonts w:ascii="Times New Roman" w:eastAsia="Times New Roman" w:hAnsi="Times New Roman" w:cs="Times New Roman"/>
                <w:lang w:val="en-US"/>
              </w:rPr>
              <w:t xml:space="preserve"> AH, Vali Y, Sturm H, </w:t>
            </w:r>
            <w:proofErr w:type="spellStart"/>
            <w:r w:rsidRPr="00D96847">
              <w:rPr>
                <w:rFonts w:ascii="Times New Roman" w:eastAsia="Times New Roman" w:hAnsi="Times New Roman" w:cs="Times New Roman"/>
                <w:lang w:val="en-US"/>
              </w:rPr>
              <w:t>Oxman</w:t>
            </w:r>
            <w:proofErr w:type="spellEnd"/>
            <w:r w:rsidRPr="00D96847">
              <w:rPr>
                <w:rFonts w:ascii="Times New Roman" w:eastAsia="Times New Roman" w:hAnsi="Times New Roman" w:cs="Times New Roman"/>
                <w:lang w:val="en-US"/>
              </w:rPr>
              <w:t xml:space="preserve"> AD. Pharmaceutical policies: effects of financial incentives for prescribers. Cochrane Database Syst Rev. 2015 Aug 4;2015(8):CD006731.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10.1002/14651858.CD006731.pub2. PMID: 26239041; PMCID: PMC7390265.</w:t>
            </w:r>
          </w:p>
        </w:tc>
        <w:tc>
          <w:tcPr>
            <w:tcW w:w="1842" w:type="dxa"/>
            <w:tcBorders>
              <w:top w:val="nil"/>
              <w:left w:val="nil"/>
              <w:bottom w:val="nil"/>
              <w:right w:val="nil"/>
            </w:tcBorders>
          </w:tcPr>
          <w:p w14:paraId="20E2B46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342F369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3CD9D74E" w14:textId="77777777" w:rsidTr="003A3B7D">
        <w:tc>
          <w:tcPr>
            <w:tcW w:w="5529" w:type="dxa"/>
            <w:tcBorders>
              <w:top w:val="nil"/>
              <w:left w:val="nil"/>
              <w:bottom w:val="nil"/>
              <w:right w:val="nil"/>
            </w:tcBorders>
          </w:tcPr>
          <w:p w14:paraId="3CBC1CE2"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Rautiainen</w:t>
            </w:r>
            <w:proofErr w:type="spellEnd"/>
            <w:r w:rsidRPr="00D96847">
              <w:rPr>
                <w:rFonts w:ascii="Times New Roman" w:eastAsia="Times New Roman" w:hAnsi="Times New Roman" w:cs="Times New Roman"/>
                <w:lang w:val="en-US"/>
              </w:rPr>
              <w:t xml:space="preserve"> RH, </w:t>
            </w:r>
            <w:proofErr w:type="spellStart"/>
            <w:r w:rsidRPr="00D96847">
              <w:rPr>
                <w:rFonts w:ascii="Times New Roman" w:eastAsia="Times New Roman" w:hAnsi="Times New Roman" w:cs="Times New Roman"/>
                <w:lang w:val="en-US"/>
              </w:rPr>
              <w:t>Lehtola</w:t>
            </w:r>
            <w:proofErr w:type="spellEnd"/>
            <w:r w:rsidRPr="00D96847">
              <w:rPr>
                <w:rFonts w:ascii="Times New Roman" w:eastAsia="Times New Roman" w:hAnsi="Times New Roman" w:cs="Times New Roman"/>
                <w:lang w:val="en-US"/>
              </w:rPr>
              <w:t xml:space="preserve"> MM, Day LM, </w:t>
            </w:r>
            <w:proofErr w:type="spellStart"/>
            <w:r w:rsidRPr="00D96847">
              <w:rPr>
                <w:rFonts w:ascii="Times New Roman" w:eastAsia="Times New Roman" w:hAnsi="Times New Roman" w:cs="Times New Roman"/>
                <w:lang w:val="en-US"/>
              </w:rPr>
              <w:t>Schonstein</w:t>
            </w:r>
            <w:proofErr w:type="spellEnd"/>
            <w:r w:rsidRPr="00D96847">
              <w:rPr>
                <w:rFonts w:ascii="Times New Roman" w:eastAsia="Times New Roman" w:hAnsi="Times New Roman" w:cs="Times New Roman"/>
                <w:lang w:val="en-US"/>
              </w:rPr>
              <w:t xml:space="preserve"> E, </w:t>
            </w:r>
            <w:proofErr w:type="spellStart"/>
            <w:r w:rsidRPr="00D96847">
              <w:rPr>
                <w:rFonts w:ascii="Times New Roman" w:eastAsia="Times New Roman" w:hAnsi="Times New Roman" w:cs="Times New Roman"/>
                <w:lang w:val="en-US"/>
              </w:rPr>
              <w:t>Suutarinen</w:t>
            </w:r>
            <w:proofErr w:type="spellEnd"/>
            <w:r w:rsidRPr="00D96847">
              <w:rPr>
                <w:rFonts w:ascii="Times New Roman" w:eastAsia="Times New Roman" w:hAnsi="Times New Roman" w:cs="Times New Roman"/>
                <w:lang w:val="en-US"/>
              </w:rPr>
              <w:t xml:space="preserve"> J, </w:t>
            </w:r>
            <w:proofErr w:type="spellStart"/>
            <w:r w:rsidRPr="00D96847">
              <w:rPr>
                <w:rFonts w:ascii="Times New Roman" w:eastAsia="Times New Roman" w:hAnsi="Times New Roman" w:cs="Times New Roman"/>
                <w:lang w:val="en-US"/>
              </w:rPr>
              <w:t>Salminen</w:t>
            </w:r>
            <w:proofErr w:type="spellEnd"/>
            <w:r w:rsidRPr="00D96847">
              <w:rPr>
                <w:rFonts w:ascii="Times New Roman" w:eastAsia="Times New Roman" w:hAnsi="Times New Roman" w:cs="Times New Roman"/>
                <w:lang w:val="en-US"/>
              </w:rPr>
              <w:t xml:space="preserve"> S, Verbeek J. Interventions for preventing injuries in the agricultural industry. Cochrane Database Syst Rev. 2008 Jan 23;(1):CD006398.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10.1002/14651858.CD006398.pub2. PMID: 18254102.</w:t>
            </w:r>
          </w:p>
        </w:tc>
        <w:tc>
          <w:tcPr>
            <w:tcW w:w="1842" w:type="dxa"/>
            <w:tcBorders>
              <w:top w:val="nil"/>
              <w:left w:val="nil"/>
              <w:bottom w:val="nil"/>
              <w:right w:val="nil"/>
            </w:tcBorders>
          </w:tcPr>
          <w:p w14:paraId="17ACECB6"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6001B71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2D99ECDB" w14:textId="77777777" w:rsidTr="003A3B7D">
        <w:tc>
          <w:tcPr>
            <w:tcW w:w="5529" w:type="dxa"/>
            <w:tcBorders>
              <w:top w:val="nil"/>
              <w:left w:val="nil"/>
              <w:bottom w:val="nil"/>
              <w:right w:val="nil"/>
            </w:tcBorders>
          </w:tcPr>
          <w:p w14:paraId="0C259F0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lastRenderedPageBreak/>
              <w:t xml:space="preserve">Reddy VK, Lavoie MC, Verbeek JH, </w:t>
            </w:r>
            <w:proofErr w:type="spellStart"/>
            <w:r w:rsidRPr="00D96847">
              <w:rPr>
                <w:rFonts w:ascii="Times New Roman" w:eastAsia="Times New Roman" w:hAnsi="Times New Roman" w:cs="Times New Roman"/>
                <w:lang w:val="en-US"/>
              </w:rPr>
              <w:t>Pahwa</w:t>
            </w:r>
            <w:proofErr w:type="spellEnd"/>
            <w:r w:rsidRPr="00D96847">
              <w:rPr>
                <w:rFonts w:ascii="Times New Roman" w:eastAsia="Times New Roman" w:hAnsi="Times New Roman" w:cs="Times New Roman"/>
                <w:lang w:val="en-US"/>
              </w:rPr>
              <w:t xml:space="preserve"> M. Devices for preventing percutaneous exposure injuries caused by needles in healthcare personnel. Cochrane Database Syst Rev. 2017 Nov 14;11(11):CD009740.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10.1002/14651858.CD009740.pub3. PMID: 29190036; PMCID: PMC6491125.</w:t>
            </w:r>
          </w:p>
        </w:tc>
        <w:tc>
          <w:tcPr>
            <w:tcW w:w="1842" w:type="dxa"/>
            <w:tcBorders>
              <w:top w:val="nil"/>
              <w:left w:val="nil"/>
              <w:bottom w:val="nil"/>
              <w:right w:val="nil"/>
            </w:tcBorders>
          </w:tcPr>
          <w:p w14:paraId="1A52CBA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755A8B2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3E12D9CF" w14:textId="77777777" w:rsidTr="003A3B7D">
        <w:tc>
          <w:tcPr>
            <w:tcW w:w="5529" w:type="dxa"/>
            <w:tcBorders>
              <w:top w:val="nil"/>
              <w:left w:val="nil"/>
              <w:bottom w:val="nil"/>
              <w:right w:val="nil"/>
            </w:tcBorders>
          </w:tcPr>
          <w:p w14:paraId="0520475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Ripoll Gallardo A, Pacelli B, </w:t>
            </w:r>
            <w:proofErr w:type="spellStart"/>
            <w:r w:rsidRPr="00D96847">
              <w:rPr>
                <w:rFonts w:ascii="Times New Roman" w:eastAsia="Times New Roman" w:hAnsi="Times New Roman" w:cs="Times New Roman"/>
                <w:lang w:val="en-US"/>
              </w:rPr>
              <w:t>Alesina</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Serrone</w:t>
            </w:r>
            <w:proofErr w:type="spellEnd"/>
            <w:r w:rsidRPr="00D96847">
              <w:rPr>
                <w:rFonts w:ascii="Times New Roman" w:eastAsia="Times New Roman" w:hAnsi="Times New Roman" w:cs="Times New Roman"/>
                <w:lang w:val="en-US"/>
              </w:rPr>
              <w:t xml:space="preserve"> D, </w:t>
            </w:r>
            <w:proofErr w:type="spellStart"/>
            <w:r w:rsidRPr="00D96847">
              <w:rPr>
                <w:rFonts w:ascii="Times New Roman" w:eastAsia="Times New Roman" w:hAnsi="Times New Roman" w:cs="Times New Roman"/>
                <w:lang w:val="en-US"/>
              </w:rPr>
              <w:t>Iacutone</w:t>
            </w:r>
            <w:proofErr w:type="spellEnd"/>
            <w:r w:rsidRPr="00D96847">
              <w:rPr>
                <w:rFonts w:ascii="Times New Roman" w:eastAsia="Times New Roman" w:hAnsi="Times New Roman" w:cs="Times New Roman"/>
                <w:lang w:val="en-US"/>
              </w:rPr>
              <w:t xml:space="preserve"> G, </w:t>
            </w:r>
            <w:proofErr w:type="spellStart"/>
            <w:r w:rsidRPr="00D96847">
              <w:rPr>
                <w:rFonts w:ascii="Times New Roman" w:eastAsia="Times New Roman" w:hAnsi="Times New Roman" w:cs="Times New Roman"/>
                <w:lang w:val="en-US"/>
              </w:rPr>
              <w:t>Faggiano</w:t>
            </w:r>
            <w:proofErr w:type="spellEnd"/>
            <w:r w:rsidRPr="00D96847">
              <w:rPr>
                <w:rFonts w:ascii="Times New Roman" w:eastAsia="Times New Roman" w:hAnsi="Times New Roman" w:cs="Times New Roman"/>
                <w:lang w:val="en-US"/>
              </w:rPr>
              <w:t xml:space="preserve"> F, Della Corte F, </w:t>
            </w:r>
            <w:proofErr w:type="spellStart"/>
            <w:r w:rsidRPr="00D96847">
              <w:rPr>
                <w:rFonts w:ascii="Times New Roman" w:eastAsia="Times New Roman" w:hAnsi="Times New Roman" w:cs="Times New Roman"/>
                <w:lang w:val="en-US"/>
              </w:rPr>
              <w:t>Allara</w:t>
            </w:r>
            <w:proofErr w:type="spellEnd"/>
            <w:r w:rsidRPr="00D96847">
              <w:rPr>
                <w:rFonts w:ascii="Times New Roman" w:eastAsia="Times New Roman" w:hAnsi="Times New Roman" w:cs="Times New Roman"/>
                <w:lang w:val="en-US"/>
              </w:rPr>
              <w:t xml:space="preserve"> E. Medium- and long-term health effects of earthquakes in high-income countries: a systematic review and meta-analysis. Int J Epidemiol. 2018 Aug 1;47(4):1317-1332.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10.1093/</w:t>
            </w:r>
            <w:proofErr w:type="spellStart"/>
            <w:r w:rsidRPr="00D96847">
              <w:rPr>
                <w:rFonts w:ascii="Times New Roman" w:eastAsia="Times New Roman" w:hAnsi="Times New Roman" w:cs="Times New Roman"/>
                <w:lang w:val="en-US"/>
              </w:rPr>
              <w:t>ije</w:t>
            </w:r>
            <w:proofErr w:type="spellEnd"/>
            <w:r w:rsidRPr="00D96847">
              <w:rPr>
                <w:rFonts w:ascii="Times New Roman" w:eastAsia="Times New Roman" w:hAnsi="Times New Roman" w:cs="Times New Roman"/>
                <w:lang w:val="en-US"/>
              </w:rPr>
              <w:t>/dyy130. PMID: 30053061.</w:t>
            </w:r>
          </w:p>
        </w:tc>
        <w:tc>
          <w:tcPr>
            <w:tcW w:w="1842" w:type="dxa"/>
            <w:tcBorders>
              <w:top w:val="nil"/>
              <w:left w:val="nil"/>
              <w:bottom w:val="nil"/>
              <w:right w:val="nil"/>
            </w:tcBorders>
          </w:tcPr>
          <w:p w14:paraId="425D3D1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0DFD00C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5051C76D" w14:textId="77777777" w:rsidTr="003A3B7D">
        <w:tc>
          <w:tcPr>
            <w:tcW w:w="5529" w:type="dxa"/>
            <w:tcBorders>
              <w:top w:val="nil"/>
              <w:left w:val="nil"/>
              <w:bottom w:val="nil"/>
              <w:right w:val="nil"/>
            </w:tcBorders>
          </w:tcPr>
          <w:p w14:paraId="743AB10A"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Rowe AK, Rowe SY, Peters DH, Holloway KA, Chalker J, Ross-Degnan D. Effectiveness of strategies to improve health-care provider practices in low-income and middle-income countries: a systematic review. Lancet Glob Health. 2018 Nov;6(11</w:t>
            </w:r>
            <w:proofErr w:type="gramStart"/>
            <w:r w:rsidRPr="00D96847">
              <w:rPr>
                <w:rFonts w:ascii="Times New Roman" w:eastAsia="Times New Roman" w:hAnsi="Times New Roman" w:cs="Times New Roman"/>
                <w:lang w:val="en-US"/>
              </w:rPr>
              <w:t>):e</w:t>
            </w:r>
            <w:proofErr w:type="gramEnd"/>
            <w:r w:rsidRPr="00D96847">
              <w:rPr>
                <w:rFonts w:ascii="Times New Roman" w:eastAsia="Times New Roman" w:hAnsi="Times New Roman" w:cs="Times New Roman"/>
                <w:lang w:val="en-US"/>
              </w:rPr>
              <w:t xml:space="preserve">1163-e1175.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10.1016/S2214-109</w:t>
            </w:r>
            <w:proofErr w:type="gramStart"/>
            <w:r w:rsidRPr="00D96847">
              <w:rPr>
                <w:rFonts w:ascii="Times New Roman" w:eastAsia="Times New Roman" w:hAnsi="Times New Roman" w:cs="Times New Roman"/>
                <w:lang w:val="en-US"/>
              </w:rPr>
              <w:t>X(</w:t>
            </w:r>
            <w:proofErr w:type="gramEnd"/>
            <w:r w:rsidRPr="00D96847">
              <w:rPr>
                <w:rFonts w:ascii="Times New Roman" w:eastAsia="Times New Roman" w:hAnsi="Times New Roman" w:cs="Times New Roman"/>
                <w:lang w:val="en-US"/>
              </w:rPr>
              <w:t xml:space="preserve">18)30398-X.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2018 Oct 8. PMID: 30309799; PMCID: PMC6185992.</w:t>
            </w:r>
          </w:p>
        </w:tc>
        <w:tc>
          <w:tcPr>
            <w:tcW w:w="1842" w:type="dxa"/>
            <w:tcBorders>
              <w:top w:val="nil"/>
              <w:left w:val="nil"/>
              <w:bottom w:val="nil"/>
              <w:right w:val="nil"/>
            </w:tcBorders>
          </w:tcPr>
          <w:p w14:paraId="0AA6BA7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394CBF4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75A9891D" w14:textId="77777777" w:rsidTr="003A3B7D">
        <w:tc>
          <w:tcPr>
            <w:tcW w:w="5529" w:type="dxa"/>
            <w:tcBorders>
              <w:top w:val="nil"/>
              <w:left w:val="nil"/>
              <w:bottom w:val="nil"/>
              <w:right w:val="nil"/>
            </w:tcBorders>
          </w:tcPr>
          <w:p w14:paraId="6C5C7DE2"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Tippetts</w:t>
            </w:r>
            <w:proofErr w:type="spellEnd"/>
            <w:r w:rsidRPr="00D96847">
              <w:rPr>
                <w:rFonts w:ascii="Times New Roman" w:eastAsia="Times New Roman" w:hAnsi="Times New Roman" w:cs="Times New Roman"/>
                <w:lang w:val="en-US"/>
              </w:rPr>
              <w:t xml:space="preserve"> AS, </w:t>
            </w:r>
            <w:proofErr w:type="spellStart"/>
            <w:r w:rsidRPr="00D96847">
              <w:rPr>
                <w:rFonts w:ascii="Times New Roman" w:eastAsia="Times New Roman" w:hAnsi="Times New Roman" w:cs="Times New Roman"/>
                <w:lang w:val="en-US"/>
              </w:rPr>
              <w:t>Voas</w:t>
            </w:r>
            <w:proofErr w:type="spellEnd"/>
            <w:r w:rsidRPr="00D96847">
              <w:rPr>
                <w:rFonts w:ascii="Times New Roman" w:eastAsia="Times New Roman" w:hAnsi="Times New Roman" w:cs="Times New Roman"/>
                <w:lang w:val="en-US"/>
              </w:rPr>
              <w:t xml:space="preserve"> RB, Fell JC, Nichols JL. A meta-analysis of .08 BAC laws in 19 jurisdictions in the United States. </w:t>
            </w:r>
            <w:proofErr w:type="spellStart"/>
            <w:r w:rsidRPr="00D96847">
              <w:rPr>
                <w:rFonts w:ascii="Times New Roman" w:eastAsia="Times New Roman" w:hAnsi="Times New Roman" w:cs="Times New Roman"/>
                <w:lang w:val="en-US"/>
              </w:rPr>
              <w:t>Accid</w:t>
            </w:r>
            <w:proofErr w:type="spellEnd"/>
            <w:r w:rsidRPr="00D96847">
              <w:rPr>
                <w:rFonts w:ascii="Times New Roman" w:eastAsia="Times New Roman" w:hAnsi="Times New Roman" w:cs="Times New Roman"/>
                <w:lang w:val="en-US"/>
              </w:rPr>
              <w:t xml:space="preserve"> Anal Prev. 2005 Jan;37(1):149-61.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10.1016/j.aap.2004.02.006. PMID: 15607286.</w:t>
            </w:r>
          </w:p>
        </w:tc>
        <w:tc>
          <w:tcPr>
            <w:tcW w:w="1842" w:type="dxa"/>
            <w:tcBorders>
              <w:top w:val="nil"/>
              <w:left w:val="nil"/>
              <w:bottom w:val="nil"/>
              <w:right w:val="nil"/>
            </w:tcBorders>
          </w:tcPr>
          <w:p w14:paraId="3356266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0B0C65C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5A6644F2" w14:textId="77777777" w:rsidTr="00FB4CE1">
        <w:tc>
          <w:tcPr>
            <w:tcW w:w="5529" w:type="dxa"/>
            <w:tcBorders>
              <w:top w:val="nil"/>
              <w:left w:val="nil"/>
              <w:bottom w:val="nil"/>
              <w:right w:val="nil"/>
            </w:tcBorders>
          </w:tcPr>
          <w:p w14:paraId="03FE071D" w14:textId="77777777" w:rsidR="00C54BBB" w:rsidRPr="00D96847" w:rsidRDefault="00C54BBB" w:rsidP="00FB4CE1">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van der </w:t>
            </w:r>
            <w:proofErr w:type="spellStart"/>
            <w:r w:rsidRPr="00D96847">
              <w:rPr>
                <w:rFonts w:ascii="Times New Roman" w:eastAsia="Times New Roman" w:hAnsi="Times New Roman" w:cs="Times New Roman"/>
                <w:lang w:val="en-US"/>
              </w:rPr>
              <w:t>Molen</w:t>
            </w:r>
            <w:proofErr w:type="spellEnd"/>
            <w:r w:rsidRPr="00D96847">
              <w:rPr>
                <w:rFonts w:ascii="Times New Roman" w:eastAsia="Times New Roman" w:hAnsi="Times New Roman" w:cs="Times New Roman"/>
                <w:lang w:val="en-US"/>
              </w:rPr>
              <w:t xml:space="preserve"> HF, Basnet P, </w:t>
            </w:r>
            <w:proofErr w:type="spellStart"/>
            <w:r w:rsidRPr="00D96847">
              <w:rPr>
                <w:rFonts w:ascii="Times New Roman" w:eastAsia="Times New Roman" w:hAnsi="Times New Roman" w:cs="Times New Roman"/>
                <w:lang w:val="en-US"/>
              </w:rPr>
              <w:t>Hoonakker</w:t>
            </w:r>
            <w:proofErr w:type="spellEnd"/>
            <w:r w:rsidRPr="00D96847">
              <w:rPr>
                <w:rFonts w:ascii="Times New Roman" w:eastAsia="Times New Roman" w:hAnsi="Times New Roman" w:cs="Times New Roman"/>
                <w:lang w:val="en-US"/>
              </w:rPr>
              <w:t xml:space="preserve"> PL, </w:t>
            </w:r>
            <w:proofErr w:type="spellStart"/>
            <w:r w:rsidRPr="00D96847">
              <w:rPr>
                <w:rFonts w:ascii="Times New Roman" w:eastAsia="Times New Roman" w:hAnsi="Times New Roman" w:cs="Times New Roman"/>
                <w:lang w:val="en-US"/>
              </w:rPr>
              <w:t>Lehtola</w:t>
            </w:r>
            <w:proofErr w:type="spellEnd"/>
            <w:r w:rsidRPr="00D96847">
              <w:rPr>
                <w:rFonts w:ascii="Times New Roman" w:eastAsia="Times New Roman" w:hAnsi="Times New Roman" w:cs="Times New Roman"/>
                <w:lang w:val="en-US"/>
              </w:rPr>
              <w:t xml:space="preserve"> MM, </w:t>
            </w:r>
            <w:proofErr w:type="spellStart"/>
            <w:r w:rsidRPr="00D96847">
              <w:rPr>
                <w:rFonts w:ascii="Times New Roman" w:eastAsia="Times New Roman" w:hAnsi="Times New Roman" w:cs="Times New Roman"/>
                <w:lang w:val="en-US"/>
              </w:rPr>
              <w:t>Lappalainen</w:t>
            </w:r>
            <w:proofErr w:type="spellEnd"/>
            <w:r w:rsidRPr="00D96847">
              <w:rPr>
                <w:rFonts w:ascii="Times New Roman" w:eastAsia="Times New Roman" w:hAnsi="Times New Roman" w:cs="Times New Roman"/>
                <w:lang w:val="en-US"/>
              </w:rPr>
              <w:t xml:space="preserve"> J, Frings-</w:t>
            </w:r>
            <w:proofErr w:type="spellStart"/>
            <w:r w:rsidRPr="00D96847">
              <w:rPr>
                <w:rFonts w:ascii="Times New Roman" w:eastAsia="Times New Roman" w:hAnsi="Times New Roman" w:cs="Times New Roman"/>
                <w:lang w:val="en-US"/>
              </w:rPr>
              <w:t>Dresen</w:t>
            </w:r>
            <w:proofErr w:type="spellEnd"/>
            <w:r w:rsidRPr="00D96847">
              <w:rPr>
                <w:rFonts w:ascii="Times New Roman" w:eastAsia="Times New Roman" w:hAnsi="Times New Roman" w:cs="Times New Roman"/>
                <w:lang w:val="en-US"/>
              </w:rPr>
              <w:t xml:space="preserve"> MH, Haslam R, Verbeek JH. Interventions to prevent injuries in construction workers. Cochrane Database Syst Rev. 2018 Feb 5;2(2):CD006251.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10.1002/14651858.CD006251.pub4. PMID: 29400395; PMCID: PMC6491133.</w:t>
            </w:r>
          </w:p>
        </w:tc>
        <w:tc>
          <w:tcPr>
            <w:tcW w:w="1842" w:type="dxa"/>
            <w:tcBorders>
              <w:top w:val="nil"/>
              <w:left w:val="nil"/>
              <w:bottom w:val="nil"/>
              <w:right w:val="nil"/>
            </w:tcBorders>
          </w:tcPr>
          <w:p w14:paraId="43639477" w14:textId="77777777" w:rsidR="00C54BBB" w:rsidRPr="00D96847" w:rsidRDefault="00C54BBB" w:rsidP="00FB4CE1">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5E436428" w14:textId="77777777" w:rsidR="00C54BBB" w:rsidRPr="00D96847" w:rsidRDefault="00C54BBB" w:rsidP="00FB4CE1">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2B0CB24A" w14:textId="77777777" w:rsidTr="003A3B7D">
        <w:tc>
          <w:tcPr>
            <w:tcW w:w="5529" w:type="dxa"/>
            <w:tcBorders>
              <w:top w:val="nil"/>
              <w:left w:val="nil"/>
              <w:bottom w:val="nil"/>
              <w:right w:val="nil"/>
            </w:tcBorders>
          </w:tcPr>
          <w:p w14:paraId="206FDFC4"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Vicedo</w:t>
            </w:r>
            <w:proofErr w:type="spellEnd"/>
            <w:r w:rsidRPr="00D96847">
              <w:rPr>
                <w:rFonts w:ascii="Times New Roman" w:eastAsia="Times New Roman" w:hAnsi="Times New Roman" w:cs="Times New Roman"/>
                <w:lang w:val="en-US"/>
              </w:rPr>
              <w:t xml:space="preserve">-Cabrera AM, </w:t>
            </w:r>
            <w:proofErr w:type="spellStart"/>
            <w:r w:rsidRPr="00D96847">
              <w:rPr>
                <w:rFonts w:ascii="Times New Roman" w:eastAsia="Times New Roman" w:hAnsi="Times New Roman" w:cs="Times New Roman"/>
                <w:lang w:val="en-US"/>
              </w:rPr>
              <w:t>Röösli</w:t>
            </w:r>
            <w:proofErr w:type="spellEnd"/>
            <w:r w:rsidRPr="00D96847">
              <w:rPr>
                <w:rFonts w:ascii="Times New Roman" w:eastAsia="Times New Roman" w:hAnsi="Times New Roman" w:cs="Times New Roman"/>
                <w:lang w:val="en-US"/>
              </w:rPr>
              <w:t xml:space="preserve"> M, </w:t>
            </w:r>
            <w:proofErr w:type="spellStart"/>
            <w:r w:rsidRPr="00D96847">
              <w:rPr>
                <w:rFonts w:ascii="Times New Roman" w:eastAsia="Times New Roman" w:hAnsi="Times New Roman" w:cs="Times New Roman"/>
                <w:lang w:val="en-US"/>
              </w:rPr>
              <w:t>Radovanovic</w:t>
            </w:r>
            <w:proofErr w:type="spellEnd"/>
            <w:r w:rsidRPr="00D96847">
              <w:rPr>
                <w:rFonts w:ascii="Times New Roman" w:eastAsia="Times New Roman" w:hAnsi="Times New Roman" w:cs="Times New Roman"/>
                <w:lang w:val="en-US"/>
              </w:rPr>
              <w:t xml:space="preserve"> D, </w:t>
            </w:r>
            <w:proofErr w:type="spellStart"/>
            <w:r w:rsidRPr="00D96847">
              <w:rPr>
                <w:rFonts w:ascii="Times New Roman" w:eastAsia="Times New Roman" w:hAnsi="Times New Roman" w:cs="Times New Roman"/>
                <w:lang w:val="en-US"/>
              </w:rPr>
              <w:t>Grize</w:t>
            </w:r>
            <w:proofErr w:type="spellEnd"/>
            <w:r w:rsidRPr="00D96847">
              <w:rPr>
                <w:rFonts w:ascii="Times New Roman" w:eastAsia="Times New Roman" w:hAnsi="Times New Roman" w:cs="Times New Roman"/>
                <w:lang w:val="en-US"/>
              </w:rPr>
              <w:t xml:space="preserve"> L, </w:t>
            </w:r>
            <w:proofErr w:type="spellStart"/>
            <w:r w:rsidRPr="00D96847">
              <w:rPr>
                <w:rFonts w:ascii="Times New Roman" w:eastAsia="Times New Roman" w:hAnsi="Times New Roman" w:cs="Times New Roman"/>
                <w:lang w:val="en-US"/>
              </w:rPr>
              <w:t>Witassek</w:t>
            </w:r>
            <w:proofErr w:type="spellEnd"/>
            <w:r w:rsidRPr="00D96847">
              <w:rPr>
                <w:rFonts w:ascii="Times New Roman" w:eastAsia="Times New Roman" w:hAnsi="Times New Roman" w:cs="Times New Roman"/>
                <w:lang w:val="en-US"/>
              </w:rPr>
              <w:t xml:space="preserve"> F, Schindler C, Perez L. Cardiorespiratory </w:t>
            </w:r>
            <w:proofErr w:type="spellStart"/>
            <w:r w:rsidRPr="00D96847">
              <w:rPr>
                <w:rFonts w:ascii="Times New Roman" w:eastAsia="Times New Roman" w:hAnsi="Times New Roman" w:cs="Times New Roman"/>
                <w:lang w:val="en-US"/>
              </w:rPr>
              <w:t>hospitalisation</w:t>
            </w:r>
            <w:proofErr w:type="spellEnd"/>
            <w:r w:rsidRPr="00D96847">
              <w:rPr>
                <w:rFonts w:ascii="Times New Roman" w:eastAsia="Times New Roman" w:hAnsi="Times New Roman" w:cs="Times New Roman"/>
                <w:lang w:val="en-US"/>
              </w:rPr>
              <w:t xml:space="preserve"> and mortality reductions after smoking bans in Switzerland. Swiss Med Wkly. 2016 Dec 19;</w:t>
            </w:r>
            <w:proofErr w:type="gramStart"/>
            <w:r w:rsidRPr="00D96847">
              <w:rPr>
                <w:rFonts w:ascii="Times New Roman" w:eastAsia="Times New Roman" w:hAnsi="Times New Roman" w:cs="Times New Roman"/>
                <w:lang w:val="en-US"/>
              </w:rPr>
              <w:t>146:w</w:t>
            </w:r>
            <w:proofErr w:type="gramEnd"/>
            <w:r w:rsidRPr="00D96847">
              <w:rPr>
                <w:rFonts w:ascii="Times New Roman" w:eastAsia="Times New Roman" w:hAnsi="Times New Roman" w:cs="Times New Roman"/>
                <w:lang w:val="en-US"/>
              </w:rPr>
              <w:t xml:space="preserve">14381.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10.4414/smw.2016.14381. PMID: 28102874.</w:t>
            </w:r>
          </w:p>
        </w:tc>
        <w:tc>
          <w:tcPr>
            <w:tcW w:w="1842" w:type="dxa"/>
            <w:tcBorders>
              <w:top w:val="nil"/>
              <w:left w:val="nil"/>
              <w:bottom w:val="nil"/>
              <w:right w:val="nil"/>
            </w:tcBorders>
          </w:tcPr>
          <w:p w14:paraId="7EE83299"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2CEA13F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22CA41DC" w14:textId="77777777" w:rsidTr="003A3B7D">
        <w:tc>
          <w:tcPr>
            <w:tcW w:w="5529" w:type="dxa"/>
            <w:tcBorders>
              <w:top w:val="nil"/>
              <w:left w:val="nil"/>
              <w:bottom w:val="nil"/>
              <w:right w:val="nil"/>
            </w:tcBorders>
          </w:tcPr>
          <w:p w14:paraId="21208645"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Vicedo</w:t>
            </w:r>
            <w:proofErr w:type="spellEnd"/>
            <w:r w:rsidRPr="00D96847">
              <w:rPr>
                <w:rFonts w:ascii="Times New Roman" w:eastAsia="Times New Roman" w:hAnsi="Times New Roman" w:cs="Times New Roman"/>
                <w:lang w:val="en-US"/>
              </w:rPr>
              <w:t xml:space="preserve">-Cabrera AM, Schindler C, </w:t>
            </w:r>
            <w:proofErr w:type="spellStart"/>
            <w:r w:rsidRPr="00D96847">
              <w:rPr>
                <w:rFonts w:ascii="Times New Roman" w:eastAsia="Times New Roman" w:hAnsi="Times New Roman" w:cs="Times New Roman"/>
                <w:lang w:val="en-US"/>
              </w:rPr>
              <w:t>Radovanovic</w:t>
            </w:r>
            <w:proofErr w:type="spellEnd"/>
            <w:r w:rsidRPr="00D96847">
              <w:rPr>
                <w:rFonts w:ascii="Times New Roman" w:eastAsia="Times New Roman" w:hAnsi="Times New Roman" w:cs="Times New Roman"/>
                <w:lang w:val="en-US"/>
              </w:rPr>
              <w:t xml:space="preserve"> D, </w:t>
            </w:r>
            <w:proofErr w:type="spellStart"/>
            <w:r w:rsidRPr="00D96847">
              <w:rPr>
                <w:rFonts w:ascii="Times New Roman" w:eastAsia="Times New Roman" w:hAnsi="Times New Roman" w:cs="Times New Roman"/>
                <w:lang w:val="en-US"/>
              </w:rPr>
              <w:t>Grize</w:t>
            </w:r>
            <w:proofErr w:type="spellEnd"/>
            <w:r w:rsidRPr="00D96847">
              <w:rPr>
                <w:rFonts w:ascii="Times New Roman" w:eastAsia="Times New Roman" w:hAnsi="Times New Roman" w:cs="Times New Roman"/>
                <w:lang w:val="en-US"/>
              </w:rPr>
              <w:t xml:space="preserve"> L, </w:t>
            </w:r>
            <w:proofErr w:type="spellStart"/>
            <w:r w:rsidRPr="00D96847">
              <w:rPr>
                <w:rFonts w:ascii="Times New Roman" w:eastAsia="Times New Roman" w:hAnsi="Times New Roman" w:cs="Times New Roman"/>
                <w:lang w:val="en-US"/>
              </w:rPr>
              <w:t>Witassek</w:t>
            </w:r>
            <w:proofErr w:type="spellEnd"/>
            <w:r w:rsidRPr="00D96847">
              <w:rPr>
                <w:rFonts w:ascii="Times New Roman" w:eastAsia="Times New Roman" w:hAnsi="Times New Roman" w:cs="Times New Roman"/>
                <w:lang w:val="en-US"/>
              </w:rPr>
              <w:t xml:space="preserve"> F, </w:t>
            </w:r>
            <w:proofErr w:type="spellStart"/>
            <w:r w:rsidRPr="00D96847">
              <w:rPr>
                <w:rFonts w:ascii="Times New Roman" w:eastAsia="Times New Roman" w:hAnsi="Times New Roman" w:cs="Times New Roman"/>
                <w:lang w:val="en-US"/>
              </w:rPr>
              <w:t>Dratva</w:t>
            </w:r>
            <w:proofErr w:type="spellEnd"/>
            <w:r w:rsidRPr="00D96847">
              <w:rPr>
                <w:rFonts w:ascii="Times New Roman" w:eastAsia="Times New Roman" w:hAnsi="Times New Roman" w:cs="Times New Roman"/>
                <w:lang w:val="en-US"/>
              </w:rPr>
              <w:t xml:space="preserve"> J, </w:t>
            </w:r>
            <w:proofErr w:type="spellStart"/>
            <w:r w:rsidRPr="00D96847">
              <w:rPr>
                <w:rFonts w:ascii="Times New Roman" w:eastAsia="Times New Roman" w:hAnsi="Times New Roman" w:cs="Times New Roman"/>
                <w:lang w:val="en-US"/>
              </w:rPr>
              <w:t>Röösli</w:t>
            </w:r>
            <w:proofErr w:type="spellEnd"/>
            <w:r w:rsidRPr="00D96847">
              <w:rPr>
                <w:rFonts w:ascii="Times New Roman" w:eastAsia="Times New Roman" w:hAnsi="Times New Roman" w:cs="Times New Roman"/>
                <w:lang w:val="en-US"/>
              </w:rPr>
              <w:t xml:space="preserve"> M, Perez L. Benefits of smoking bans on preterm and early-term births: a natural experimental design in Switzerland. </w:t>
            </w:r>
            <w:proofErr w:type="spellStart"/>
            <w:r w:rsidRPr="00D96847">
              <w:rPr>
                <w:rFonts w:ascii="Times New Roman" w:eastAsia="Times New Roman" w:hAnsi="Times New Roman" w:cs="Times New Roman"/>
                <w:lang w:val="en-US"/>
              </w:rPr>
              <w:t>Tob</w:t>
            </w:r>
            <w:proofErr w:type="spellEnd"/>
            <w:r w:rsidRPr="00D96847">
              <w:rPr>
                <w:rFonts w:ascii="Times New Roman" w:eastAsia="Times New Roman" w:hAnsi="Times New Roman" w:cs="Times New Roman"/>
                <w:lang w:val="en-US"/>
              </w:rPr>
              <w:t xml:space="preserve"> Control. 2016 Dec;25(e2</w:t>
            </w:r>
            <w:proofErr w:type="gramStart"/>
            <w:r w:rsidRPr="00D96847">
              <w:rPr>
                <w:rFonts w:ascii="Times New Roman" w:eastAsia="Times New Roman" w:hAnsi="Times New Roman" w:cs="Times New Roman"/>
                <w:lang w:val="en-US"/>
              </w:rPr>
              <w:t>):e</w:t>
            </w:r>
            <w:proofErr w:type="gramEnd"/>
            <w:r w:rsidRPr="00D96847">
              <w:rPr>
                <w:rFonts w:ascii="Times New Roman" w:eastAsia="Times New Roman" w:hAnsi="Times New Roman" w:cs="Times New Roman"/>
                <w:lang w:val="en-US"/>
              </w:rPr>
              <w:t xml:space="preserve">135-e141.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10.1136/tobaccocontrol-2015-052739.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2016 Apr 26. PMID: 27118814.</w:t>
            </w:r>
          </w:p>
        </w:tc>
        <w:tc>
          <w:tcPr>
            <w:tcW w:w="1842" w:type="dxa"/>
            <w:tcBorders>
              <w:top w:val="nil"/>
              <w:left w:val="nil"/>
              <w:bottom w:val="nil"/>
              <w:right w:val="nil"/>
            </w:tcBorders>
          </w:tcPr>
          <w:p w14:paraId="77CBC02F"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5E98B0FA"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13248D94" w14:textId="77777777" w:rsidTr="003A3B7D">
        <w:tc>
          <w:tcPr>
            <w:tcW w:w="5529" w:type="dxa"/>
            <w:tcBorders>
              <w:top w:val="nil"/>
              <w:left w:val="nil"/>
              <w:bottom w:val="nil"/>
              <w:right w:val="nil"/>
            </w:tcBorders>
          </w:tcPr>
          <w:p w14:paraId="444D62FF"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Vidanapathirana</w:t>
            </w:r>
            <w:proofErr w:type="spellEnd"/>
            <w:r w:rsidRPr="00D96847">
              <w:rPr>
                <w:rFonts w:ascii="Times New Roman" w:eastAsia="Times New Roman" w:hAnsi="Times New Roman" w:cs="Times New Roman"/>
                <w:lang w:val="en-US"/>
              </w:rPr>
              <w:t xml:space="preserve"> J, Abramson MJ, Forbes A, Fairley C. Mass media interventions for promoting HIV testing. Cochrane Database Syst Rev. 2005 Jul 20;(3):CD004775.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10.1002/14651858.CD004775.pub2. PMID: 16034948.</w:t>
            </w:r>
          </w:p>
        </w:tc>
        <w:tc>
          <w:tcPr>
            <w:tcW w:w="1842" w:type="dxa"/>
            <w:tcBorders>
              <w:top w:val="nil"/>
              <w:left w:val="nil"/>
              <w:bottom w:val="nil"/>
              <w:right w:val="nil"/>
            </w:tcBorders>
          </w:tcPr>
          <w:p w14:paraId="67DBB4D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by authors</w:t>
            </w:r>
          </w:p>
        </w:tc>
        <w:tc>
          <w:tcPr>
            <w:tcW w:w="2552" w:type="dxa"/>
            <w:tcBorders>
              <w:top w:val="nil"/>
              <w:left w:val="nil"/>
              <w:bottom w:val="nil"/>
              <w:right w:val="nil"/>
            </w:tcBorders>
          </w:tcPr>
          <w:p w14:paraId="72B48A2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70AD736B" w14:textId="77777777" w:rsidTr="003A3B7D">
        <w:tc>
          <w:tcPr>
            <w:tcW w:w="5529" w:type="dxa"/>
            <w:tcBorders>
              <w:top w:val="nil"/>
              <w:left w:val="nil"/>
              <w:bottom w:val="nil"/>
              <w:right w:val="nil"/>
            </w:tcBorders>
          </w:tcPr>
          <w:p w14:paraId="7C581C09"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Wagenaar</w:t>
            </w:r>
            <w:proofErr w:type="spellEnd"/>
            <w:r w:rsidRPr="00D96847">
              <w:rPr>
                <w:rFonts w:ascii="Times New Roman" w:eastAsia="Times New Roman" w:hAnsi="Times New Roman" w:cs="Times New Roman"/>
                <w:lang w:val="en-US"/>
              </w:rPr>
              <w:t xml:space="preserve"> AC, Maldonado-Molina MM, Erickson DJ, Ma L, Tobler AL, </w:t>
            </w:r>
            <w:proofErr w:type="spellStart"/>
            <w:r w:rsidRPr="00D96847">
              <w:rPr>
                <w:rFonts w:ascii="Times New Roman" w:eastAsia="Times New Roman" w:hAnsi="Times New Roman" w:cs="Times New Roman"/>
                <w:lang w:val="en-US"/>
              </w:rPr>
              <w:t>Komro</w:t>
            </w:r>
            <w:proofErr w:type="spellEnd"/>
            <w:r w:rsidRPr="00D96847">
              <w:rPr>
                <w:rFonts w:ascii="Times New Roman" w:eastAsia="Times New Roman" w:hAnsi="Times New Roman" w:cs="Times New Roman"/>
                <w:lang w:val="en-US"/>
              </w:rPr>
              <w:t xml:space="preserve"> KA. General deterrence effects of U.S. statutory DUI fine and jail penalties: long-term follow-up in 32 states. </w:t>
            </w:r>
            <w:proofErr w:type="spellStart"/>
            <w:r w:rsidRPr="00D96847">
              <w:rPr>
                <w:rFonts w:ascii="Times New Roman" w:eastAsia="Times New Roman" w:hAnsi="Times New Roman" w:cs="Times New Roman"/>
                <w:lang w:val="en-US"/>
              </w:rPr>
              <w:t>Accid</w:t>
            </w:r>
            <w:proofErr w:type="spellEnd"/>
            <w:r w:rsidRPr="00D96847">
              <w:rPr>
                <w:rFonts w:ascii="Times New Roman" w:eastAsia="Times New Roman" w:hAnsi="Times New Roman" w:cs="Times New Roman"/>
                <w:lang w:val="en-US"/>
              </w:rPr>
              <w:t xml:space="preserve"> Anal Prev. 2007 Sep;39(5):982-94.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10.1016/j.aap.2007.01.003.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2007 Mar 21. PMID: 17854574.</w:t>
            </w:r>
          </w:p>
        </w:tc>
        <w:tc>
          <w:tcPr>
            <w:tcW w:w="1842" w:type="dxa"/>
            <w:tcBorders>
              <w:top w:val="nil"/>
              <w:left w:val="nil"/>
              <w:bottom w:val="nil"/>
              <w:right w:val="nil"/>
            </w:tcBorders>
          </w:tcPr>
          <w:p w14:paraId="5B388B17"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233CDB15"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52CE9C59" w14:textId="77777777" w:rsidTr="003A3B7D">
        <w:tc>
          <w:tcPr>
            <w:tcW w:w="5529" w:type="dxa"/>
            <w:tcBorders>
              <w:top w:val="nil"/>
              <w:left w:val="nil"/>
              <w:bottom w:val="nil"/>
              <w:right w:val="nil"/>
            </w:tcBorders>
          </w:tcPr>
          <w:p w14:paraId="4931B1F4"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Wagenaar</w:t>
            </w:r>
            <w:proofErr w:type="spellEnd"/>
            <w:r w:rsidRPr="00D96847">
              <w:rPr>
                <w:rFonts w:ascii="Times New Roman" w:eastAsia="Times New Roman" w:hAnsi="Times New Roman" w:cs="Times New Roman"/>
                <w:lang w:val="en-US"/>
              </w:rPr>
              <w:t xml:space="preserve"> AC, Maldonado-Molina MM, Ma L, Tobler AL, </w:t>
            </w:r>
            <w:proofErr w:type="spellStart"/>
            <w:r w:rsidRPr="00D96847">
              <w:rPr>
                <w:rFonts w:ascii="Times New Roman" w:eastAsia="Times New Roman" w:hAnsi="Times New Roman" w:cs="Times New Roman"/>
                <w:lang w:val="en-US"/>
              </w:rPr>
              <w:t>Komro</w:t>
            </w:r>
            <w:proofErr w:type="spellEnd"/>
            <w:r w:rsidRPr="00D96847">
              <w:rPr>
                <w:rFonts w:ascii="Times New Roman" w:eastAsia="Times New Roman" w:hAnsi="Times New Roman" w:cs="Times New Roman"/>
                <w:lang w:val="en-US"/>
              </w:rPr>
              <w:t xml:space="preserve"> KA. Effects of legal BAC limits on fatal crash </w:t>
            </w:r>
            <w:r w:rsidRPr="00D96847">
              <w:rPr>
                <w:rFonts w:ascii="Times New Roman" w:eastAsia="Times New Roman" w:hAnsi="Times New Roman" w:cs="Times New Roman"/>
                <w:lang w:val="en-US"/>
              </w:rPr>
              <w:lastRenderedPageBreak/>
              <w:t xml:space="preserve">involvement: analyses of 28 states from 1976 through 2002. J Safety Res. 2007;38(5):493-9.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10.1016/j.jsr.2007.06.001.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2007 Sep 29. PMID: 18023634.</w:t>
            </w:r>
          </w:p>
        </w:tc>
        <w:tc>
          <w:tcPr>
            <w:tcW w:w="1842" w:type="dxa"/>
            <w:tcBorders>
              <w:top w:val="nil"/>
              <w:left w:val="nil"/>
              <w:bottom w:val="nil"/>
              <w:right w:val="nil"/>
            </w:tcBorders>
          </w:tcPr>
          <w:p w14:paraId="1284AEA4"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lastRenderedPageBreak/>
              <w:t>Not provided</w:t>
            </w:r>
          </w:p>
        </w:tc>
        <w:tc>
          <w:tcPr>
            <w:tcW w:w="2552" w:type="dxa"/>
            <w:tcBorders>
              <w:top w:val="nil"/>
              <w:left w:val="nil"/>
              <w:bottom w:val="nil"/>
              <w:right w:val="nil"/>
            </w:tcBorders>
          </w:tcPr>
          <w:p w14:paraId="072C8A9F"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6B335107" w14:textId="77777777" w:rsidTr="003A3B7D">
        <w:tc>
          <w:tcPr>
            <w:tcW w:w="5529" w:type="dxa"/>
            <w:tcBorders>
              <w:top w:val="nil"/>
              <w:left w:val="nil"/>
              <w:bottom w:val="nil"/>
              <w:right w:val="nil"/>
            </w:tcBorders>
          </w:tcPr>
          <w:p w14:paraId="5B50F113"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Weatherburn</w:t>
            </w:r>
            <w:proofErr w:type="spellEnd"/>
            <w:r w:rsidRPr="00D96847">
              <w:rPr>
                <w:rFonts w:ascii="Times New Roman" w:eastAsia="Times New Roman" w:hAnsi="Times New Roman" w:cs="Times New Roman"/>
                <w:lang w:val="en-US"/>
              </w:rPr>
              <w:t xml:space="preserve"> CJ, Guthrie B, </w:t>
            </w:r>
            <w:proofErr w:type="spellStart"/>
            <w:r w:rsidRPr="00D96847">
              <w:rPr>
                <w:rFonts w:ascii="Times New Roman" w:eastAsia="Times New Roman" w:hAnsi="Times New Roman" w:cs="Times New Roman"/>
                <w:lang w:val="en-US"/>
              </w:rPr>
              <w:t>Dreischulte</w:t>
            </w:r>
            <w:proofErr w:type="spellEnd"/>
            <w:r w:rsidRPr="00D96847">
              <w:rPr>
                <w:rFonts w:ascii="Times New Roman" w:eastAsia="Times New Roman" w:hAnsi="Times New Roman" w:cs="Times New Roman"/>
                <w:lang w:val="en-US"/>
              </w:rPr>
              <w:t xml:space="preserve"> T, Morales DR. Impact of medicines regulatory risk communications in the UK on prescribing and clinical outcomes: Systematic review, time series analysis and meta-analysis. Br J Clin </w:t>
            </w:r>
            <w:proofErr w:type="spellStart"/>
            <w:r w:rsidRPr="00D96847">
              <w:rPr>
                <w:rFonts w:ascii="Times New Roman" w:eastAsia="Times New Roman" w:hAnsi="Times New Roman" w:cs="Times New Roman"/>
                <w:lang w:val="en-US"/>
              </w:rPr>
              <w:t>Pharmacol</w:t>
            </w:r>
            <w:proofErr w:type="spellEnd"/>
            <w:r w:rsidRPr="00D96847">
              <w:rPr>
                <w:rFonts w:ascii="Times New Roman" w:eastAsia="Times New Roman" w:hAnsi="Times New Roman" w:cs="Times New Roman"/>
                <w:lang w:val="en-US"/>
              </w:rPr>
              <w:t xml:space="preserve">. 2020 Apr;86(4):698-710.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10.1111/bcp.14104.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2019 Dec 16. Erratum in: Br J Clin </w:t>
            </w:r>
            <w:proofErr w:type="spellStart"/>
            <w:r w:rsidRPr="00D96847">
              <w:rPr>
                <w:rFonts w:ascii="Times New Roman" w:eastAsia="Times New Roman" w:hAnsi="Times New Roman" w:cs="Times New Roman"/>
                <w:lang w:val="en-US"/>
              </w:rPr>
              <w:t>Pharmacol</w:t>
            </w:r>
            <w:proofErr w:type="spellEnd"/>
            <w:r w:rsidRPr="00D96847">
              <w:rPr>
                <w:rFonts w:ascii="Times New Roman" w:eastAsia="Times New Roman" w:hAnsi="Times New Roman" w:cs="Times New Roman"/>
                <w:lang w:val="en-US"/>
              </w:rPr>
              <w:t>. 2020 Sep;86(9):1894. PMID: 31465123; PMCID: PMC7098864.</w:t>
            </w:r>
          </w:p>
        </w:tc>
        <w:tc>
          <w:tcPr>
            <w:tcW w:w="1842" w:type="dxa"/>
            <w:tcBorders>
              <w:top w:val="nil"/>
              <w:left w:val="nil"/>
              <w:bottom w:val="nil"/>
              <w:right w:val="nil"/>
            </w:tcBorders>
          </w:tcPr>
          <w:p w14:paraId="4B3D519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0A6F4EE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18261A59" w14:textId="77777777" w:rsidTr="003A3B7D">
        <w:tc>
          <w:tcPr>
            <w:tcW w:w="5529" w:type="dxa"/>
            <w:tcBorders>
              <w:top w:val="nil"/>
              <w:left w:val="nil"/>
              <w:bottom w:val="nil"/>
              <w:right w:val="nil"/>
            </w:tcBorders>
          </w:tcPr>
          <w:p w14:paraId="2AB87A9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Wilson DB, </w:t>
            </w:r>
            <w:proofErr w:type="spellStart"/>
            <w:r w:rsidRPr="00D96847">
              <w:rPr>
                <w:rFonts w:ascii="Times New Roman" w:eastAsia="Times New Roman" w:hAnsi="Times New Roman" w:cs="Times New Roman"/>
                <w:lang w:val="en-US"/>
              </w:rPr>
              <w:t>Olaghere</w:t>
            </w:r>
            <w:proofErr w:type="spellEnd"/>
            <w:r w:rsidRPr="00D96847">
              <w:rPr>
                <w:rFonts w:ascii="Times New Roman" w:eastAsia="Times New Roman" w:hAnsi="Times New Roman" w:cs="Times New Roman"/>
                <w:lang w:val="en-US"/>
              </w:rPr>
              <w:t xml:space="preserve"> A and Gill C. Juvenile curfew effects on criminal behavior and victimization: A Campbell Collaboration systematic review. Journal of Experimental Criminology 2016; 12: 167-186. Literature Review; Systematic Review. DOI: </w:t>
            </w:r>
            <w:hyperlink r:id="rId9" w:history="1">
              <w:r w:rsidRPr="007E5D59">
                <w:rPr>
                  <w:rStyle w:val="Hyperlink"/>
                  <w:rFonts w:ascii="Times New Roman" w:eastAsia="Times New Roman" w:hAnsi="Times New Roman" w:cs="Times New Roman"/>
                  <w:lang w:val="en-US"/>
                </w:rPr>
                <w:t>http://dx.doi.org/10.1007/s11292-016-9258-y</w:t>
              </w:r>
            </w:hyperlink>
            <w:r w:rsidRPr="00D96847">
              <w:rPr>
                <w:rFonts w:ascii="Times New Roman" w:eastAsia="Times New Roman" w:hAnsi="Times New Roman" w:cs="Times New Roman"/>
                <w:lang w:val="en-US"/>
              </w:rPr>
              <w:t xml:space="preserve">. </w:t>
            </w:r>
          </w:p>
        </w:tc>
        <w:tc>
          <w:tcPr>
            <w:tcW w:w="1842" w:type="dxa"/>
            <w:tcBorders>
              <w:top w:val="nil"/>
              <w:left w:val="nil"/>
              <w:bottom w:val="nil"/>
              <w:right w:val="nil"/>
            </w:tcBorders>
          </w:tcPr>
          <w:p w14:paraId="024304CA"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Data provided in publication</w:t>
            </w:r>
          </w:p>
        </w:tc>
        <w:tc>
          <w:tcPr>
            <w:tcW w:w="2552" w:type="dxa"/>
            <w:tcBorders>
              <w:top w:val="nil"/>
              <w:left w:val="nil"/>
              <w:bottom w:val="nil"/>
              <w:right w:val="nil"/>
            </w:tcBorders>
          </w:tcPr>
          <w:p w14:paraId="601B7360"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Yes</w:t>
            </w:r>
          </w:p>
        </w:tc>
      </w:tr>
      <w:tr w:rsidR="00C54BBB" w:rsidRPr="00D96847" w14:paraId="637E37C9" w14:textId="77777777" w:rsidTr="003A3B7D">
        <w:tc>
          <w:tcPr>
            <w:tcW w:w="5529" w:type="dxa"/>
            <w:tcBorders>
              <w:top w:val="nil"/>
              <w:left w:val="nil"/>
              <w:bottom w:val="nil"/>
              <w:right w:val="nil"/>
            </w:tcBorders>
          </w:tcPr>
          <w:p w14:paraId="08CD851A" w14:textId="77777777" w:rsidR="00C54BBB" w:rsidRPr="00D96847" w:rsidRDefault="00C54BBB" w:rsidP="003A3B7D">
            <w:pPr>
              <w:rPr>
                <w:rFonts w:ascii="Times New Roman" w:eastAsia="Times New Roman" w:hAnsi="Times New Roman" w:cs="Times New Roman"/>
                <w:lang w:val="en-US"/>
              </w:rPr>
            </w:pPr>
            <w:proofErr w:type="spellStart"/>
            <w:r w:rsidRPr="00D96847">
              <w:rPr>
                <w:rFonts w:ascii="Times New Roman" w:eastAsia="Times New Roman" w:hAnsi="Times New Roman" w:cs="Times New Roman"/>
                <w:lang w:val="en-US"/>
              </w:rPr>
              <w:t>Yinon</w:t>
            </w:r>
            <w:proofErr w:type="spellEnd"/>
            <w:r w:rsidRPr="00D96847">
              <w:rPr>
                <w:rFonts w:ascii="Times New Roman" w:eastAsia="Times New Roman" w:hAnsi="Times New Roman" w:cs="Times New Roman"/>
                <w:lang w:val="en-US"/>
              </w:rPr>
              <w:t xml:space="preserve"> L, Thurston G. An evaluation of the health benefits achieved at the time of an air quality intervention in three Israeli cities. Environ Int. 2017 </w:t>
            </w:r>
            <w:proofErr w:type="gramStart"/>
            <w:r w:rsidRPr="00D96847">
              <w:rPr>
                <w:rFonts w:ascii="Times New Roman" w:eastAsia="Times New Roman" w:hAnsi="Times New Roman" w:cs="Times New Roman"/>
                <w:lang w:val="en-US"/>
              </w:rPr>
              <w:t>May;102:66</w:t>
            </w:r>
            <w:proofErr w:type="gramEnd"/>
            <w:r w:rsidRPr="00D96847">
              <w:rPr>
                <w:rFonts w:ascii="Times New Roman" w:eastAsia="Times New Roman" w:hAnsi="Times New Roman" w:cs="Times New Roman"/>
                <w:lang w:val="en-US"/>
              </w:rPr>
              <w:t xml:space="preserve">-73.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10.1016/j.envint.2016.12.025.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2017 Feb 23. PMID: 28237065; PMCID: PMC5771478.</w:t>
            </w:r>
          </w:p>
        </w:tc>
        <w:tc>
          <w:tcPr>
            <w:tcW w:w="1842" w:type="dxa"/>
            <w:tcBorders>
              <w:top w:val="nil"/>
              <w:left w:val="nil"/>
              <w:bottom w:val="nil"/>
              <w:right w:val="nil"/>
            </w:tcBorders>
          </w:tcPr>
          <w:p w14:paraId="4F77F5D6"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481EDFD8"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r w:rsidR="00C54BBB" w:rsidRPr="00D96847" w14:paraId="661DB897" w14:textId="77777777" w:rsidTr="003A3B7D">
        <w:tc>
          <w:tcPr>
            <w:tcW w:w="5529" w:type="dxa"/>
            <w:tcBorders>
              <w:top w:val="nil"/>
              <w:left w:val="nil"/>
              <w:bottom w:val="nil"/>
              <w:right w:val="nil"/>
            </w:tcBorders>
          </w:tcPr>
          <w:p w14:paraId="7C2EFD72"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 xml:space="preserve">Zhang N, Song D, Zhang J, Liao W, Miao K, Zhong S, Lin S, </w:t>
            </w:r>
            <w:proofErr w:type="spellStart"/>
            <w:r w:rsidRPr="00D96847">
              <w:rPr>
                <w:rFonts w:ascii="Times New Roman" w:eastAsia="Times New Roman" w:hAnsi="Times New Roman" w:cs="Times New Roman"/>
                <w:lang w:val="en-US"/>
              </w:rPr>
              <w:t>Hajat</w:t>
            </w:r>
            <w:proofErr w:type="spellEnd"/>
            <w:r w:rsidRPr="00D96847">
              <w:rPr>
                <w:rFonts w:ascii="Times New Roman" w:eastAsia="Times New Roman" w:hAnsi="Times New Roman" w:cs="Times New Roman"/>
                <w:lang w:val="en-US"/>
              </w:rPr>
              <w:t xml:space="preserve"> S, Yang L, Huang C. The impact of the 2016 flood event in Anhui Province, China on infectious diarrhea disease: An interrupted time-series study. Environ Int. 2019 </w:t>
            </w:r>
            <w:proofErr w:type="gramStart"/>
            <w:r w:rsidRPr="00D96847">
              <w:rPr>
                <w:rFonts w:ascii="Times New Roman" w:eastAsia="Times New Roman" w:hAnsi="Times New Roman" w:cs="Times New Roman"/>
                <w:lang w:val="en-US"/>
              </w:rPr>
              <w:t>Jun;127:801</w:t>
            </w:r>
            <w:proofErr w:type="gramEnd"/>
            <w:r w:rsidRPr="00D96847">
              <w:rPr>
                <w:rFonts w:ascii="Times New Roman" w:eastAsia="Times New Roman" w:hAnsi="Times New Roman" w:cs="Times New Roman"/>
                <w:lang w:val="en-US"/>
              </w:rPr>
              <w:t xml:space="preserve">-809. </w:t>
            </w:r>
            <w:proofErr w:type="spellStart"/>
            <w:r w:rsidRPr="00D96847">
              <w:rPr>
                <w:rFonts w:ascii="Times New Roman" w:eastAsia="Times New Roman" w:hAnsi="Times New Roman" w:cs="Times New Roman"/>
                <w:lang w:val="en-US"/>
              </w:rPr>
              <w:t>doi</w:t>
            </w:r>
            <w:proofErr w:type="spellEnd"/>
            <w:r w:rsidRPr="00D96847">
              <w:rPr>
                <w:rFonts w:ascii="Times New Roman" w:eastAsia="Times New Roman" w:hAnsi="Times New Roman" w:cs="Times New Roman"/>
                <w:lang w:val="en-US"/>
              </w:rPr>
              <w:t xml:space="preserve">: 10.1016/j.envint.2019.03.063. </w:t>
            </w:r>
            <w:proofErr w:type="spellStart"/>
            <w:r w:rsidRPr="00D96847">
              <w:rPr>
                <w:rFonts w:ascii="Times New Roman" w:eastAsia="Times New Roman" w:hAnsi="Times New Roman" w:cs="Times New Roman"/>
                <w:lang w:val="en-US"/>
              </w:rPr>
              <w:t>Epub</w:t>
            </w:r>
            <w:proofErr w:type="spellEnd"/>
            <w:r w:rsidRPr="00D96847">
              <w:rPr>
                <w:rFonts w:ascii="Times New Roman" w:eastAsia="Times New Roman" w:hAnsi="Times New Roman" w:cs="Times New Roman"/>
                <w:lang w:val="en-US"/>
              </w:rPr>
              <w:t xml:space="preserve"> 2019 Apr 30. PMID: 31051323.</w:t>
            </w:r>
          </w:p>
        </w:tc>
        <w:tc>
          <w:tcPr>
            <w:tcW w:w="1842" w:type="dxa"/>
            <w:tcBorders>
              <w:top w:val="nil"/>
              <w:left w:val="nil"/>
              <w:bottom w:val="nil"/>
              <w:right w:val="nil"/>
            </w:tcBorders>
          </w:tcPr>
          <w:p w14:paraId="31BE000B"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Not provided</w:t>
            </w:r>
          </w:p>
        </w:tc>
        <w:tc>
          <w:tcPr>
            <w:tcW w:w="2552" w:type="dxa"/>
            <w:tcBorders>
              <w:top w:val="nil"/>
              <w:left w:val="nil"/>
              <w:bottom w:val="nil"/>
              <w:right w:val="nil"/>
            </w:tcBorders>
          </w:tcPr>
          <w:p w14:paraId="611462C3" w14:textId="77777777" w:rsidR="00C54BBB" w:rsidRPr="00D96847" w:rsidRDefault="00C54BBB" w:rsidP="003A3B7D">
            <w:pPr>
              <w:rPr>
                <w:rFonts w:ascii="Times New Roman" w:eastAsia="Times New Roman" w:hAnsi="Times New Roman" w:cs="Times New Roman"/>
                <w:lang w:val="en-US"/>
              </w:rPr>
            </w:pPr>
            <w:r w:rsidRPr="00D96847">
              <w:rPr>
                <w:rFonts w:ascii="Times New Roman" w:eastAsia="Times New Roman" w:hAnsi="Times New Roman" w:cs="Times New Roman"/>
                <w:lang w:val="en-US"/>
              </w:rPr>
              <w:t>No</w:t>
            </w:r>
          </w:p>
        </w:tc>
      </w:tr>
    </w:tbl>
    <w:p w14:paraId="1D3F6C53" w14:textId="77777777" w:rsidR="00C54BBB" w:rsidRDefault="00C54BBB" w:rsidP="003A3B7D">
      <w:pPr>
        <w:rPr>
          <w:rFonts w:ascii="Times New Roman" w:hAnsi="Times New Roman" w:cs="Times New Roman"/>
        </w:rPr>
      </w:pPr>
    </w:p>
    <w:p w14:paraId="252B5C1C" w14:textId="77777777" w:rsidR="00C54BBB" w:rsidRDefault="00C54BBB" w:rsidP="00EC3CDC">
      <w:pPr>
        <w:pStyle w:val="Heading2"/>
        <w:rPr>
          <w:rFonts w:ascii="Times New Roman" w:hAnsi="Times New Roman" w:cs="Times New Roman"/>
        </w:rPr>
      </w:pPr>
      <w:bookmarkStart w:id="23" w:name="_Toc121731925"/>
      <w:r w:rsidRPr="00EC3CDC">
        <w:rPr>
          <w:rFonts w:ascii="Times New Roman" w:hAnsi="Times New Roman" w:cs="Times New Roman"/>
        </w:rPr>
        <w:t>References</w:t>
      </w:r>
      <w:bookmarkEnd w:id="23"/>
    </w:p>
    <w:p w14:paraId="0B795B3E" w14:textId="77777777" w:rsidR="00C54BBB" w:rsidRDefault="00C54BBB" w:rsidP="00EC3CDC"/>
    <w:p w14:paraId="49AE0E6C" w14:textId="77777777" w:rsidR="00C54BBB" w:rsidRDefault="00C54BBB" w:rsidP="00EC3CDC"/>
    <w:p w14:paraId="356C2837" w14:textId="77777777" w:rsidR="00C54BBB" w:rsidRPr="00F25132" w:rsidRDefault="00C54BBB" w:rsidP="00F25132">
      <w:pPr>
        <w:pStyle w:val="EndNoteBibliography"/>
        <w:spacing w:after="0"/>
      </w:pPr>
      <w:r w:rsidRPr="00F25132">
        <w:t>1.</w:t>
      </w:r>
      <w:r w:rsidRPr="00F25132">
        <w:tab/>
        <w:t xml:space="preserve">Ejlerskov KT, Sharp SJ, Stead M, et al. Supermarket policies on less-healthy food at checkouts: Natural experimental evaluation using interrupted time series analyses of purchases. </w:t>
      </w:r>
      <w:r w:rsidRPr="00F25132">
        <w:rPr>
          <w:i/>
        </w:rPr>
        <w:t>PLoS Medicine / Public Library of Science</w:t>
      </w:r>
      <w:r w:rsidRPr="00F25132">
        <w:t xml:space="preserve"> 2018; 15: e1002712. Research Support, Non-U.S. Gov't. DOI: </w:t>
      </w:r>
      <w:r w:rsidRPr="00C54BBB">
        <w:t>https://dx.doi.org/10.1371/journal.pmed.1002712</w:t>
      </w:r>
      <w:r w:rsidRPr="00F25132">
        <w:t>.</w:t>
      </w:r>
    </w:p>
    <w:p w14:paraId="114F9DCD" w14:textId="77777777" w:rsidR="00C54BBB" w:rsidRPr="00F25132" w:rsidRDefault="00C54BBB" w:rsidP="00F25132">
      <w:pPr>
        <w:pStyle w:val="EndNoteBibliography"/>
      </w:pPr>
      <w:r w:rsidRPr="00F25132">
        <w:t>2.</w:t>
      </w:r>
      <w:r w:rsidRPr="00F25132">
        <w:tab/>
        <w:t xml:space="preserve">Phung D, Chu C, Rutherford S, et al. Heavy rainfall and risk of infectious intestinal diseases in the most populous city in Vietnam. </w:t>
      </w:r>
      <w:r w:rsidRPr="00F25132">
        <w:rPr>
          <w:i/>
        </w:rPr>
        <w:t>Sci Total Environ</w:t>
      </w:r>
      <w:r w:rsidRPr="00F25132">
        <w:t xml:space="preserve"> 2017; 580: 805-812. DOI: </w:t>
      </w:r>
      <w:r w:rsidRPr="00C54BBB">
        <w:t>https://dx.doi.org/10.1016/j.scitotenv.2016.12.027</w:t>
      </w:r>
      <w:r w:rsidRPr="00F25132">
        <w:t>.</w:t>
      </w:r>
    </w:p>
    <w:p w14:paraId="36657074" w14:textId="77777777" w:rsidR="00C54BBB" w:rsidRPr="00EC3CDC" w:rsidRDefault="00C54BBB" w:rsidP="00EC3CDC"/>
    <w:p w14:paraId="6C97E7B5" w14:textId="77777777" w:rsidR="00492830" w:rsidRDefault="00492830"/>
    <w:sectPr w:rsidR="00492830" w:rsidSect="003A3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323B"/>
    <w:multiLevelType w:val="hybridMultilevel"/>
    <w:tmpl w:val="88E2E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CF5D8B"/>
    <w:multiLevelType w:val="hybridMultilevel"/>
    <w:tmpl w:val="DF2E9C3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54BBB"/>
    <w:rsid w:val="00430885"/>
    <w:rsid w:val="004311FF"/>
    <w:rsid w:val="00485771"/>
    <w:rsid w:val="00492830"/>
    <w:rsid w:val="009A61A2"/>
    <w:rsid w:val="00A670D6"/>
    <w:rsid w:val="00C54B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F4B3E"/>
  <w15:chartTrackingRefBased/>
  <w15:docId w15:val="{AF089D6E-087B-4CB6-A94B-E5B83EBE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BB"/>
  </w:style>
  <w:style w:type="paragraph" w:styleId="Heading1">
    <w:name w:val="heading 1"/>
    <w:basedOn w:val="Normal"/>
    <w:next w:val="Normal"/>
    <w:link w:val="Heading1Char"/>
    <w:uiPriority w:val="9"/>
    <w:qFormat/>
    <w:rsid w:val="00C54B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4B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54B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4B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54B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54BB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54B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54BB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54B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54BB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54BB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C54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4BBB"/>
    <w:rPr>
      <w:sz w:val="16"/>
      <w:szCs w:val="16"/>
    </w:rPr>
  </w:style>
  <w:style w:type="paragraph" w:styleId="CommentText">
    <w:name w:val="annotation text"/>
    <w:basedOn w:val="Normal"/>
    <w:link w:val="CommentTextChar"/>
    <w:uiPriority w:val="99"/>
    <w:unhideWhenUsed/>
    <w:rsid w:val="00C54BBB"/>
    <w:pPr>
      <w:spacing w:line="240" w:lineRule="auto"/>
    </w:pPr>
    <w:rPr>
      <w:sz w:val="20"/>
      <w:szCs w:val="20"/>
    </w:rPr>
  </w:style>
  <w:style w:type="character" w:customStyle="1" w:styleId="CommentTextChar">
    <w:name w:val="Comment Text Char"/>
    <w:basedOn w:val="DefaultParagraphFont"/>
    <w:link w:val="CommentText"/>
    <w:uiPriority w:val="99"/>
    <w:rsid w:val="00C54BBB"/>
    <w:rPr>
      <w:sz w:val="20"/>
      <w:szCs w:val="20"/>
    </w:rPr>
  </w:style>
  <w:style w:type="paragraph" w:styleId="CommentSubject">
    <w:name w:val="annotation subject"/>
    <w:basedOn w:val="CommentText"/>
    <w:next w:val="CommentText"/>
    <w:link w:val="CommentSubjectChar"/>
    <w:uiPriority w:val="99"/>
    <w:semiHidden/>
    <w:unhideWhenUsed/>
    <w:rsid w:val="00C54BBB"/>
    <w:rPr>
      <w:b/>
      <w:bCs/>
    </w:rPr>
  </w:style>
  <w:style w:type="character" w:customStyle="1" w:styleId="CommentSubjectChar">
    <w:name w:val="Comment Subject Char"/>
    <w:basedOn w:val="CommentTextChar"/>
    <w:link w:val="CommentSubject"/>
    <w:uiPriority w:val="99"/>
    <w:semiHidden/>
    <w:rsid w:val="00C54BBB"/>
    <w:rPr>
      <w:b/>
      <w:bCs/>
      <w:sz w:val="20"/>
      <w:szCs w:val="20"/>
    </w:rPr>
  </w:style>
  <w:style w:type="paragraph" w:styleId="BalloonText">
    <w:name w:val="Balloon Text"/>
    <w:basedOn w:val="Normal"/>
    <w:link w:val="BalloonTextChar"/>
    <w:uiPriority w:val="99"/>
    <w:semiHidden/>
    <w:unhideWhenUsed/>
    <w:rsid w:val="00C54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BBB"/>
    <w:rPr>
      <w:rFonts w:ascii="Segoe UI" w:hAnsi="Segoe UI" w:cs="Segoe UI"/>
      <w:sz w:val="18"/>
      <w:szCs w:val="18"/>
    </w:rPr>
  </w:style>
  <w:style w:type="character" w:styleId="PlaceholderText">
    <w:name w:val="Placeholder Text"/>
    <w:basedOn w:val="DefaultParagraphFont"/>
    <w:uiPriority w:val="99"/>
    <w:semiHidden/>
    <w:rsid w:val="00C54BBB"/>
    <w:rPr>
      <w:color w:val="808080"/>
    </w:rPr>
  </w:style>
  <w:style w:type="paragraph" w:customStyle="1" w:styleId="EndNoteBibliographyTitle">
    <w:name w:val="EndNote Bibliography Title"/>
    <w:basedOn w:val="Normal"/>
    <w:link w:val="EndNoteBibliographyTitleChar"/>
    <w:rsid w:val="00C54B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54BBB"/>
    <w:rPr>
      <w:rFonts w:ascii="Calibri" w:hAnsi="Calibri" w:cs="Calibri"/>
      <w:noProof/>
      <w:lang w:val="en-US"/>
    </w:rPr>
  </w:style>
  <w:style w:type="paragraph" w:customStyle="1" w:styleId="EndNoteBibliography">
    <w:name w:val="EndNote Bibliography"/>
    <w:basedOn w:val="Normal"/>
    <w:link w:val="EndNoteBibliographyChar"/>
    <w:rsid w:val="00C54B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54BBB"/>
    <w:rPr>
      <w:rFonts w:ascii="Calibri" w:hAnsi="Calibri" w:cs="Calibri"/>
      <w:noProof/>
      <w:lang w:val="en-US"/>
    </w:rPr>
  </w:style>
  <w:style w:type="character" w:styleId="Emphasis">
    <w:name w:val="Emphasis"/>
    <w:basedOn w:val="DefaultParagraphFont"/>
    <w:uiPriority w:val="20"/>
    <w:qFormat/>
    <w:rsid w:val="00C54BBB"/>
    <w:rPr>
      <w:i/>
      <w:iCs/>
    </w:rPr>
  </w:style>
  <w:style w:type="paragraph" w:styleId="Revision">
    <w:name w:val="Revision"/>
    <w:hidden/>
    <w:uiPriority w:val="99"/>
    <w:semiHidden/>
    <w:rsid w:val="00C54BBB"/>
    <w:pPr>
      <w:spacing w:after="0" w:line="240" w:lineRule="auto"/>
    </w:pPr>
  </w:style>
  <w:style w:type="paragraph" w:styleId="ListParagraph">
    <w:name w:val="List Paragraph"/>
    <w:basedOn w:val="Normal"/>
    <w:uiPriority w:val="34"/>
    <w:qFormat/>
    <w:rsid w:val="00C54BBB"/>
    <w:pPr>
      <w:ind w:left="720"/>
      <w:contextualSpacing/>
    </w:pPr>
  </w:style>
  <w:style w:type="character" w:styleId="Hyperlink">
    <w:name w:val="Hyperlink"/>
    <w:basedOn w:val="DefaultParagraphFont"/>
    <w:uiPriority w:val="99"/>
    <w:unhideWhenUsed/>
    <w:rsid w:val="00C54BBB"/>
    <w:rPr>
      <w:color w:val="0563C1" w:themeColor="hyperlink"/>
      <w:u w:val="single"/>
    </w:rPr>
  </w:style>
  <w:style w:type="character" w:styleId="UnresolvedMention">
    <w:name w:val="Unresolved Mention"/>
    <w:basedOn w:val="DefaultParagraphFont"/>
    <w:uiPriority w:val="99"/>
    <w:semiHidden/>
    <w:unhideWhenUsed/>
    <w:rsid w:val="00C54BBB"/>
    <w:rPr>
      <w:color w:val="605E5C"/>
      <w:shd w:val="clear" w:color="auto" w:fill="E1DFDD"/>
    </w:rPr>
  </w:style>
  <w:style w:type="paragraph" w:styleId="TOCHeading">
    <w:name w:val="TOC Heading"/>
    <w:basedOn w:val="Heading1"/>
    <w:next w:val="Normal"/>
    <w:uiPriority w:val="39"/>
    <w:unhideWhenUsed/>
    <w:qFormat/>
    <w:rsid w:val="00C54BBB"/>
    <w:pPr>
      <w:outlineLvl w:val="9"/>
    </w:pPr>
    <w:rPr>
      <w:lang w:val="en-US"/>
    </w:rPr>
  </w:style>
  <w:style w:type="paragraph" w:styleId="TOC1">
    <w:name w:val="toc 1"/>
    <w:basedOn w:val="Normal"/>
    <w:next w:val="Normal"/>
    <w:autoRedefine/>
    <w:uiPriority w:val="39"/>
    <w:unhideWhenUsed/>
    <w:rsid w:val="00C54BBB"/>
    <w:pPr>
      <w:spacing w:after="100"/>
    </w:pPr>
  </w:style>
  <w:style w:type="paragraph" w:styleId="TOC2">
    <w:name w:val="toc 2"/>
    <w:basedOn w:val="Normal"/>
    <w:next w:val="Normal"/>
    <w:autoRedefine/>
    <w:uiPriority w:val="39"/>
    <w:unhideWhenUsed/>
    <w:rsid w:val="00C54BBB"/>
    <w:pPr>
      <w:spacing w:after="100"/>
      <w:ind w:left="220"/>
    </w:pPr>
  </w:style>
  <w:style w:type="paragraph" w:styleId="TOC3">
    <w:name w:val="toc 3"/>
    <w:basedOn w:val="Normal"/>
    <w:next w:val="Normal"/>
    <w:autoRedefine/>
    <w:uiPriority w:val="39"/>
    <w:unhideWhenUsed/>
    <w:rsid w:val="00C54BBB"/>
    <w:pPr>
      <w:spacing w:after="100"/>
      <w:ind w:left="440"/>
    </w:pPr>
  </w:style>
  <w:style w:type="character" w:customStyle="1" w:styleId="highwire-citation-authors">
    <w:name w:val="highwire-citation-authors"/>
    <w:basedOn w:val="DefaultParagraphFont"/>
    <w:rsid w:val="00C54BBB"/>
  </w:style>
  <w:style w:type="character" w:customStyle="1" w:styleId="highwire-citation-author">
    <w:name w:val="highwire-citation-author"/>
    <w:basedOn w:val="DefaultParagraphFont"/>
    <w:rsid w:val="00C54BBB"/>
  </w:style>
  <w:style w:type="character" w:customStyle="1" w:styleId="nlm-surname">
    <w:name w:val="nlm-surname"/>
    <w:basedOn w:val="DefaultParagraphFont"/>
    <w:rsid w:val="00C54BBB"/>
  </w:style>
  <w:style w:type="character" w:customStyle="1" w:styleId="highwire-cite-metadata-journal">
    <w:name w:val="highwire-cite-metadata-journal"/>
    <w:basedOn w:val="DefaultParagraphFont"/>
    <w:rsid w:val="00C54BBB"/>
  </w:style>
  <w:style w:type="character" w:customStyle="1" w:styleId="highwire-cite-metadata-year">
    <w:name w:val="highwire-cite-metadata-year"/>
    <w:basedOn w:val="DefaultParagraphFont"/>
    <w:rsid w:val="00C54BBB"/>
  </w:style>
  <w:style w:type="character" w:customStyle="1" w:styleId="highwire-cite-metadata-volume">
    <w:name w:val="highwire-cite-metadata-volume"/>
    <w:basedOn w:val="DefaultParagraphFont"/>
    <w:rsid w:val="00C54BBB"/>
  </w:style>
  <w:style w:type="character" w:customStyle="1" w:styleId="highwire-cite-metadata-pages">
    <w:name w:val="highwire-cite-metadata-pages"/>
    <w:basedOn w:val="DefaultParagraphFont"/>
    <w:rsid w:val="00C54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007/s11292-016-9258-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7317</Words>
  <Characters>41709</Characters>
  <Application>Microsoft Office Word</Application>
  <DocSecurity>0</DocSecurity>
  <Lines>347</Lines>
  <Paragraphs>97</Paragraphs>
  <ScaleCrop>false</ScaleCrop>
  <Company>Monash University</Company>
  <LinksUpToDate>false</LinksUpToDate>
  <CharactersWithSpaces>48929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Korevaar</dc:creator>
  <cp:keywords/>
  <dc:description/>
  <cp:lastModifiedBy>Elizabeth Korevaar</cp:lastModifiedBy>
  <cp:revision>2</cp:revision>
  <dcterms:created xsi:type="dcterms:W3CDTF">2023-01-04T23:56:00Z</dcterms:created>
  <dcterms:modified xsi:type="dcterms:W3CDTF">2023-01-04T23:56:00Z</dcterms:modified>
</cp:coreProperties>
</file>