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0438A" w14:textId="77777777" w:rsidR="00C51753" w:rsidRPr="00A468BF" w:rsidRDefault="00C51753" w:rsidP="00C51753">
      <w:pPr>
        <w:adjustRightInd w:val="0"/>
        <w:snapToGrid w:val="0"/>
        <w:spacing w:beforeLines="50" w:before="120"/>
        <w:rPr>
          <w:rFonts w:ascii="Times New Roman" w:hAnsi="Times New Roman" w:cs="Times New Roman"/>
          <w:b/>
          <w:sz w:val="24"/>
          <w:szCs w:val="24"/>
        </w:rPr>
      </w:pPr>
      <w:bookmarkStart w:id="0" w:name="_Hlk116724788"/>
      <w:r w:rsidRPr="00A468BF">
        <w:rPr>
          <w:rFonts w:ascii="Times New Roman" w:hAnsi="Times New Roman" w:cs="Times New Roman"/>
          <w:b/>
          <w:sz w:val="24"/>
          <w:szCs w:val="24"/>
        </w:rPr>
        <w:t>Supplementary Figure 1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A468BF">
        <w:rPr>
          <w:rFonts w:ascii="Times New Roman" w:hAnsi="Times New Roman" w:cs="Times New Roman"/>
          <w:b/>
          <w:sz w:val="24"/>
          <w:szCs w:val="24"/>
        </w:rPr>
        <w:t xml:space="preserve"> Basic clinical data of breast cancer patients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0"/>
    <w:p w14:paraId="1B6BEE1C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468BF">
        <w:rPr>
          <w:rFonts w:ascii="Times New Roman" w:hAnsi="Times New Roman" w:cs="Times New Roman"/>
          <w:sz w:val="24"/>
          <w:szCs w:val="24"/>
        </w:rPr>
        <w:t>(A).</w:t>
      </w:r>
      <w:r w:rsidRPr="00A468BF"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>The survival</w:t>
      </w:r>
      <w:r w:rsidRPr="00A468BF">
        <w:rPr>
          <w:rFonts w:ascii="Times New Roman" w:hAnsi="Times New Roman" w:cs="Times New Roman"/>
          <w:sz w:val="24"/>
          <w:szCs w:val="24"/>
        </w:rPr>
        <w:t xml:space="preserve"> curves of patients grouped by age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9A6E15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bookmarkStart w:id="1" w:name="_Hlk116725104"/>
      <w:r w:rsidRPr="00A468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A468BF">
        <w:rPr>
          <w:rFonts w:ascii="Times New Roman" w:hAnsi="Times New Roman" w:cs="Times New Roman"/>
          <w:sz w:val="24"/>
          <w:szCs w:val="24"/>
        </w:rPr>
        <w:t>).</w:t>
      </w:r>
      <w:r w:rsidRPr="00A468BF"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>The survival</w:t>
      </w:r>
      <w:r w:rsidRPr="00A468BF">
        <w:rPr>
          <w:rFonts w:ascii="Times New Roman" w:hAnsi="Times New Roman" w:cs="Times New Roman"/>
          <w:sz w:val="24"/>
          <w:szCs w:val="24"/>
        </w:rPr>
        <w:t xml:space="preserve"> curves of patients </w:t>
      </w:r>
      <w:bookmarkStart w:id="2" w:name="_Hlk116740061"/>
      <w:bookmarkStart w:id="3" w:name="_Hlk116739959"/>
      <w:r w:rsidRPr="00A468BF">
        <w:rPr>
          <w:rFonts w:ascii="Times New Roman" w:hAnsi="Times New Roman" w:cs="Times New Roman"/>
          <w:sz w:val="24"/>
          <w:szCs w:val="24"/>
        </w:rPr>
        <w:t>with different</w:t>
      </w:r>
      <w:bookmarkEnd w:id="2"/>
      <w:r w:rsidRPr="00A468BF">
        <w:rPr>
          <w:rFonts w:ascii="Times New Roman" w:hAnsi="Times New Roman" w:cs="Times New Roman"/>
          <w:sz w:val="24"/>
          <w:szCs w:val="24"/>
        </w:rPr>
        <w:t xml:space="preserve"> tumor </w:t>
      </w:r>
      <w:bookmarkStart w:id="4" w:name="_Hlk116748370"/>
      <w:r w:rsidRPr="00A468BF">
        <w:rPr>
          <w:rFonts w:ascii="Times New Roman" w:hAnsi="Times New Roman" w:cs="Times New Roman"/>
          <w:sz w:val="24"/>
          <w:szCs w:val="24"/>
        </w:rPr>
        <w:t>stages</w:t>
      </w:r>
      <w:bookmarkEnd w:id="4"/>
      <w:r>
        <w:rPr>
          <w:rFonts w:ascii="Times New Roman" w:hAnsi="Times New Roman" w:cs="Times New Roman"/>
          <w:sz w:val="24"/>
          <w:szCs w:val="24"/>
        </w:rPr>
        <w:t>.</w:t>
      </w:r>
      <w:bookmarkEnd w:id="3"/>
    </w:p>
    <w:bookmarkEnd w:id="1"/>
    <w:p w14:paraId="3D7DE12A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76171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76171D">
        <w:rPr>
          <w:rFonts w:ascii="Times New Roman" w:hAnsi="Times New Roman" w:cs="Times New Roman"/>
          <w:sz w:val="24"/>
          <w:szCs w:val="24"/>
        </w:rPr>
        <w:t xml:space="preserve">). </w:t>
      </w:r>
      <w:r w:rsidRPr="00F86EE0">
        <w:rPr>
          <w:rFonts w:ascii="Times New Roman" w:hAnsi="Times New Roman" w:cs="Times New Roman"/>
          <w:sz w:val="24"/>
          <w:szCs w:val="24"/>
        </w:rPr>
        <w:t>The survival curves for patients</w:t>
      </w:r>
      <w:r w:rsidRPr="00BC3036"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with different</w:t>
      </w:r>
      <w:r w:rsidRPr="00F86EE0">
        <w:rPr>
          <w:rFonts w:ascii="Times New Roman" w:hAnsi="Times New Roman" w:cs="Times New Roman"/>
          <w:sz w:val="24"/>
          <w:szCs w:val="24"/>
        </w:rPr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tumor depth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1629">
        <w:rPr>
          <w:rFonts w:ascii="Times New Roman" w:hAnsi="Times New Roman" w:cs="Times New Roman"/>
          <w:sz w:val="24"/>
          <w:szCs w:val="24"/>
        </w:rPr>
        <w:t>stages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30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33D151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468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468BF">
        <w:rPr>
          <w:rFonts w:ascii="Times New Roman" w:hAnsi="Times New Roman" w:cs="Times New Roman"/>
          <w:sz w:val="24"/>
          <w:szCs w:val="24"/>
        </w:rPr>
        <w:t>).</w:t>
      </w:r>
      <w:r w:rsidRPr="00A468BF"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 xml:space="preserve">The survival curves of patients with </w:t>
      </w:r>
      <w:r w:rsidRPr="00BC3036">
        <w:rPr>
          <w:rFonts w:ascii="Times New Roman" w:hAnsi="Times New Roman" w:cs="Times New Roman"/>
          <w:sz w:val="24"/>
          <w:szCs w:val="24"/>
        </w:rPr>
        <w:t xml:space="preserve">different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C3036">
        <w:rPr>
          <w:rFonts w:ascii="Times New Roman" w:hAnsi="Times New Roman" w:cs="Times New Roman"/>
          <w:sz w:val="24"/>
          <w:szCs w:val="24"/>
        </w:rPr>
        <w:t>ymph node invasion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1629">
        <w:rPr>
          <w:rFonts w:ascii="Times New Roman" w:hAnsi="Times New Roman" w:cs="Times New Roman"/>
          <w:sz w:val="24"/>
          <w:szCs w:val="24"/>
        </w:rPr>
        <w:t>stages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30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F1C7B9" w14:textId="77777777" w:rsidR="00C51753" w:rsidRPr="0076171D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76171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6171D">
        <w:rPr>
          <w:rFonts w:ascii="Times New Roman" w:hAnsi="Times New Roman" w:cs="Times New Roman"/>
          <w:sz w:val="24"/>
          <w:szCs w:val="24"/>
        </w:rPr>
        <w:t xml:space="preserve">). </w:t>
      </w:r>
      <w:r w:rsidRPr="00F86EE0">
        <w:rPr>
          <w:rFonts w:ascii="Times New Roman" w:hAnsi="Times New Roman" w:cs="Times New Roman"/>
          <w:sz w:val="24"/>
          <w:szCs w:val="24"/>
        </w:rPr>
        <w:t>The survival curve of patients with</w:t>
      </w:r>
      <w:r w:rsidRPr="00BC3036"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different</w:t>
      </w:r>
      <w:r w:rsidRPr="00F86EE0">
        <w:rPr>
          <w:rFonts w:ascii="Times New Roman" w:hAnsi="Times New Roman" w:cs="Times New Roman"/>
          <w:sz w:val="24"/>
          <w:szCs w:val="24"/>
        </w:rPr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distant metastasis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1629">
        <w:rPr>
          <w:rFonts w:ascii="Times New Roman" w:hAnsi="Times New Roman" w:cs="Times New Roman"/>
          <w:sz w:val="24"/>
          <w:szCs w:val="24"/>
        </w:rPr>
        <w:t>stages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587DFFE" w14:textId="77777777" w:rsidR="00C51753" w:rsidRDefault="00C51753" w:rsidP="00C51753">
      <w:pPr>
        <w:adjustRightInd w:val="0"/>
        <w:snapToGrid w:val="0"/>
        <w:spacing w:beforeLines="50" w:before="12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5" w:name="_Hlk116748989"/>
      <w:r w:rsidRPr="00C423E3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C423E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76171D">
        <w:rPr>
          <w:rFonts w:ascii="Times New Roman" w:hAnsi="Times New Roman" w:cs="Times New Roman"/>
          <w:b/>
          <w:sz w:val="24"/>
          <w:szCs w:val="24"/>
        </w:rPr>
        <w:t>Risk scores</w:t>
      </w:r>
      <w:r>
        <w:rPr>
          <w:rFonts w:ascii="Times New Roman" w:hAnsi="Times New Roman" w:cs="Times New Roman"/>
          <w:b/>
          <w:sz w:val="24"/>
          <w:szCs w:val="24"/>
        </w:rPr>
        <w:t xml:space="preserve"> increase in</w:t>
      </w:r>
      <w:r w:rsidRPr="0076171D">
        <w:rPr>
          <w:rFonts w:ascii="Times New Roman" w:hAnsi="Times New Roman" w:cs="Times New Roman"/>
          <w:b/>
          <w:sz w:val="24"/>
          <w:szCs w:val="24"/>
        </w:rPr>
        <w:t xml:space="preserve"> patients with tumor stages</w:t>
      </w:r>
      <w:r>
        <w:rPr>
          <w:rFonts w:ascii="Times New Roman" w:hAnsi="Times New Roman" w:cs="Times New Roman"/>
          <w:b/>
          <w:sz w:val="24"/>
          <w:szCs w:val="24"/>
        </w:rPr>
        <w:t xml:space="preserve"> increase.</w:t>
      </w:r>
    </w:p>
    <w:bookmarkEnd w:id="5"/>
    <w:p w14:paraId="28A900AC" w14:textId="77777777" w:rsidR="00C51753" w:rsidRDefault="00C51753" w:rsidP="00C51753">
      <w:pPr>
        <w:rPr>
          <w:rFonts w:ascii="Times New Roman" w:hAnsi="Times New Roman" w:cs="Times New Roman"/>
          <w:bCs/>
          <w:sz w:val="24"/>
          <w:szCs w:val="24"/>
        </w:rPr>
      </w:pPr>
      <w:r w:rsidRPr="00A468BF">
        <w:rPr>
          <w:rFonts w:ascii="Times New Roman" w:hAnsi="Times New Roman" w:cs="Times New Roman"/>
          <w:sz w:val="24"/>
          <w:szCs w:val="24"/>
        </w:rPr>
        <w:t>(A).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1769">
        <w:rPr>
          <w:rFonts w:ascii="Times New Roman" w:hAnsi="Times New Roman" w:cs="Times New Roman"/>
          <w:bCs/>
          <w:sz w:val="24"/>
          <w:szCs w:val="24"/>
        </w:rPr>
        <w:t>The risk scores 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>patients with</w:t>
      </w:r>
      <w:r w:rsidRPr="009E1769">
        <w:rPr>
          <w:rFonts w:ascii="Times New Roman" w:hAnsi="Times New Roman" w:cs="Times New Roman"/>
          <w:bCs/>
          <w:sz w:val="24"/>
          <w:szCs w:val="24"/>
        </w:rPr>
        <w:t xml:space="preserve"> different tumor stages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68B8173" w14:textId="77777777" w:rsidR="00C51753" w:rsidRDefault="00C51753" w:rsidP="00C51753">
      <w:pPr>
        <w:rPr>
          <w:rFonts w:ascii="Times New Roman" w:hAnsi="Times New Roman" w:cs="Times New Roman"/>
          <w:bCs/>
          <w:sz w:val="24"/>
          <w:szCs w:val="24"/>
        </w:rPr>
      </w:pPr>
      <w:r w:rsidRPr="00BC3036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BC3036">
        <w:rPr>
          <w:rFonts w:ascii="Times New Roman" w:hAnsi="Times New Roman" w:cs="Times New Roman"/>
          <w:bCs/>
          <w:sz w:val="24"/>
          <w:szCs w:val="24"/>
        </w:rPr>
        <w:t>).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C3036">
        <w:rPr>
          <w:rFonts w:ascii="Times New Roman" w:hAnsi="Times New Roman" w:cs="Times New Roman"/>
          <w:bCs/>
          <w:sz w:val="24"/>
          <w:szCs w:val="24"/>
        </w:rPr>
        <w:t>The risk scores of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>patients with</w:t>
      </w:r>
      <w:r w:rsidRPr="00BC3036">
        <w:rPr>
          <w:rFonts w:ascii="Times New Roman" w:hAnsi="Times New Roman" w:cs="Times New Roman"/>
          <w:bCs/>
          <w:sz w:val="24"/>
          <w:szCs w:val="24"/>
        </w:rPr>
        <w:t xml:space="preserve"> different </w:t>
      </w:r>
      <w:r w:rsidRPr="00331629">
        <w:rPr>
          <w:rFonts w:ascii="Times New Roman" w:hAnsi="Times New Roman" w:cs="Times New Roman"/>
          <w:bCs/>
          <w:sz w:val="24"/>
          <w:szCs w:val="24"/>
        </w:rPr>
        <w:t>tumor depth</w:t>
      </w:r>
      <w:r w:rsidRPr="00BC3036">
        <w:rPr>
          <w:rFonts w:ascii="Times New Roman" w:hAnsi="Times New Roman" w:cs="Times New Roman"/>
          <w:bCs/>
          <w:sz w:val="24"/>
          <w:szCs w:val="24"/>
        </w:rPr>
        <w:t xml:space="preserve"> stages.</w:t>
      </w:r>
    </w:p>
    <w:p w14:paraId="60F2171B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468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468BF">
        <w:rPr>
          <w:rFonts w:ascii="Times New Roman" w:hAnsi="Times New Roman" w:cs="Times New Roman"/>
          <w:sz w:val="24"/>
          <w:szCs w:val="24"/>
        </w:rPr>
        <w:t>).</w:t>
      </w:r>
      <w:r w:rsidRPr="00A468BF">
        <w:t xml:space="preserve"> </w:t>
      </w:r>
      <w:r w:rsidRPr="00F86EE0">
        <w:rPr>
          <w:rFonts w:ascii="Times New Roman" w:hAnsi="Times New Roman" w:cs="Times New Roman"/>
          <w:sz w:val="24"/>
          <w:szCs w:val="24"/>
        </w:rPr>
        <w:t xml:space="preserve">The </w:t>
      </w:r>
      <w:r w:rsidRPr="00BC3036">
        <w:rPr>
          <w:rFonts w:ascii="Times New Roman" w:hAnsi="Times New Roman" w:cs="Times New Roman"/>
          <w:bCs/>
          <w:sz w:val="24"/>
          <w:szCs w:val="24"/>
        </w:rPr>
        <w:t xml:space="preserve">risk scores </w:t>
      </w:r>
      <w:r w:rsidRPr="00F86EE0">
        <w:rPr>
          <w:rFonts w:ascii="Times New Roman" w:hAnsi="Times New Roman" w:cs="Times New Roman"/>
          <w:sz w:val="24"/>
          <w:szCs w:val="24"/>
        </w:rPr>
        <w:t xml:space="preserve">of patients with </w:t>
      </w:r>
      <w:r w:rsidRPr="00BC3036">
        <w:rPr>
          <w:rFonts w:ascii="Times New Roman" w:hAnsi="Times New Roman" w:cs="Times New Roman"/>
          <w:sz w:val="24"/>
          <w:szCs w:val="24"/>
        </w:rPr>
        <w:t xml:space="preserve">different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BC3036">
        <w:rPr>
          <w:rFonts w:ascii="Times New Roman" w:hAnsi="Times New Roman" w:cs="Times New Roman"/>
          <w:sz w:val="24"/>
          <w:szCs w:val="24"/>
        </w:rPr>
        <w:t>ymph node invasion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1629">
        <w:rPr>
          <w:rFonts w:ascii="Times New Roman" w:hAnsi="Times New Roman" w:cs="Times New Roman"/>
          <w:sz w:val="24"/>
          <w:szCs w:val="24"/>
        </w:rPr>
        <w:t>stages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C30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6D4A3D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76171D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76171D">
        <w:rPr>
          <w:rFonts w:ascii="Times New Roman" w:hAnsi="Times New Roman" w:cs="Times New Roman"/>
          <w:sz w:val="24"/>
          <w:szCs w:val="24"/>
        </w:rPr>
        <w:t xml:space="preserve">). </w:t>
      </w:r>
      <w:r w:rsidRPr="00F86EE0">
        <w:rPr>
          <w:rFonts w:ascii="Times New Roman" w:hAnsi="Times New Roman" w:cs="Times New Roman"/>
          <w:sz w:val="24"/>
          <w:szCs w:val="24"/>
        </w:rPr>
        <w:t xml:space="preserve">The </w:t>
      </w:r>
      <w:r w:rsidRPr="00BC3036">
        <w:rPr>
          <w:rFonts w:ascii="Times New Roman" w:hAnsi="Times New Roman" w:cs="Times New Roman"/>
          <w:bCs/>
          <w:sz w:val="24"/>
          <w:szCs w:val="24"/>
        </w:rPr>
        <w:t xml:space="preserve">risk scores </w:t>
      </w:r>
      <w:r w:rsidRPr="00F86EE0">
        <w:rPr>
          <w:rFonts w:ascii="Times New Roman" w:hAnsi="Times New Roman" w:cs="Times New Roman"/>
          <w:sz w:val="24"/>
          <w:szCs w:val="24"/>
        </w:rPr>
        <w:t>of patients with</w:t>
      </w:r>
      <w:r w:rsidRPr="00BC3036"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different</w:t>
      </w:r>
      <w:r w:rsidRPr="00F86EE0">
        <w:rPr>
          <w:rFonts w:ascii="Times New Roman" w:hAnsi="Times New Roman" w:cs="Times New Roman"/>
          <w:sz w:val="24"/>
          <w:szCs w:val="24"/>
        </w:rPr>
        <w:t xml:space="preserve"> </w:t>
      </w:r>
      <w:r w:rsidRPr="00BC3036">
        <w:rPr>
          <w:rFonts w:ascii="Times New Roman" w:hAnsi="Times New Roman" w:cs="Times New Roman"/>
          <w:sz w:val="24"/>
          <w:szCs w:val="24"/>
        </w:rPr>
        <w:t>distant metastasis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1629">
        <w:rPr>
          <w:rFonts w:ascii="Times New Roman" w:hAnsi="Times New Roman" w:cs="Times New Roman"/>
          <w:sz w:val="24"/>
          <w:szCs w:val="24"/>
        </w:rPr>
        <w:t>stages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5C5E16B" w14:textId="77777777" w:rsidR="00C51753" w:rsidRDefault="00C51753" w:rsidP="00C5175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423E3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C423E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high-risk group </w:t>
      </w:r>
      <w:r w:rsidRPr="009301B3">
        <w:rPr>
          <w:rFonts w:ascii="Times New Roman" w:hAnsi="Times New Roman" w:cs="Times New Roman"/>
          <w:b/>
          <w:sz w:val="24"/>
          <w:szCs w:val="24"/>
        </w:rPr>
        <w:t>present</w:t>
      </w:r>
      <w:r>
        <w:rPr>
          <w:rFonts w:ascii="Times New Roman" w:hAnsi="Times New Roman" w:cs="Times New Roman"/>
          <w:b/>
          <w:sz w:val="24"/>
          <w:szCs w:val="24"/>
        </w:rPr>
        <w:t xml:space="preserve"> higher tumor mutation burden.</w:t>
      </w:r>
    </w:p>
    <w:p w14:paraId="4365CF37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4A7A7E">
        <w:rPr>
          <w:rFonts w:ascii="Times New Roman" w:hAnsi="Times New Roman" w:cs="Times New Roman"/>
          <w:sz w:val="24"/>
          <w:szCs w:val="24"/>
        </w:rPr>
        <w:t>(A).</w:t>
      </w:r>
      <w:r w:rsidRPr="004A7A7E">
        <w:t xml:space="preserve"> </w:t>
      </w:r>
      <w:r w:rsidRPr="004A7A7E">
        <w:rPr>
          <w:rFonts w:ascii="Times New Roman" w:hAnsi="Times New Roman" w:cs="Times New Roman"/>
          <w:sz w:val="24"/>
          <w:szCs w:val="24"/>
        </w:rPr>
        <w:t>Waterfall plot of somatic mutation summary in the high-risk group.</w:t>
      </w:r>
    </w:p>
    <w:p w14:paraId="33CB48DF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654F0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654F03">
        <w:rPr>
          <w:rFonts w:ascii="Times New Roman" w:hAnsi="Times New Roman" w:cs="Times New Roman"/>
          <w:sz w:val="24"/>
          <w:szCs w:val="24"/>
        </w:rPr>
        <w:t xml:space="preserve">). Waterfall plot of somatic mutation summary in the </w:t>
      </w:r>
      <w:r>
        <w:rPr>
          <w:rFonts w:ascii="Times New Roman" w:hAnsi="Times New Roman" w:cs="Times New Roman"/>
          <w:sz w:val="24"/>
          <w:szCs w:val="24"/>
        </w:rPr>
        <w:t>low</w:t>
      </w:r>
      <w:r w:rsidRPr="00654F03">
        <w:rPr>
          <w:rFonts w:ascii="Times New Roman" w:hAnsi="Times New Roman" w:cs="Times New Roman"/>
          <w:sz w:val="24"/>
          <w:szCs w:val="24"/>
        </w:rPr>
        <w:t>-risk group.</w:t>
      </w:r>
    </w:p>
    <w:p w14:paraId="18B76F53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bookmarkStart w:id="6" w:name="_Hlk116751398"/>
      <w:r w:rsidRPr="00A468B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A468BF">
        <w:rPr>
          <w:rFonts w:ascii="Times New Roman" w:hAnsi="Times New Roman" w:cs="Times New Roman"/>
          <w:sz w:val="24"/>
          <w:szCs w:val="24"/>
        </w:rPr>
        <w:t>).</w:t>
      </w:r>
      <w:r w:rsidRPr="00A468BF">
        <w:t xml:space="preserve"> </w:t>
      </w:r>
      <w:r w:rsidRPr="00454BF3">
        <w:rPr>
          <w:rFonts w:ascii="Times New Roman" w:hAnsi="Times New Roman" w:cs="Times New Roman"/>
          <w:sz w:val="24"/>
          <w:szCs w:val="24"/>
        </w:rPr>
        <w:t>Protein domains and sites and types of amino acid mutations in PI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454BF3">
        <w:rPr>
          <w:rFonts w:ascii="Times New Roman" w:hAnsi="Times New Roman" w:cs="Times New Roman"/>
          <w:sz w:val="24"/>
          <w:szCs w:val="24"/>
        </w:rPr>
        <w:t>3CA in high-risk and low-risk groups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6"/>
    <w:p w14:paraId="50369499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2131C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2131C9">
        <w:rPr>
          <w:rFonts w:ascii="Times New Roman" w:hAnsi="Times New Roman" w:cs="Times New Roman"/>
          <w:sz w:val="24"/>
          <w:szCs w:val="24"/>
        </w:rPr>
        <w:t xml:space="preserve">). Protein domains and sites and types of amino acid mutations in </w:t>
      </w:r>
      <w:r>
        <w:rPr>
          <w:rFonts w:ascii="Times New Roman" w:hAnsi="Times New Roman" w:cs="Times New Roman"/>
          <w:sz w:val="24"/>
          <w:szCs w:val="24"/>
        </w:rPr>
        <w:t>TP53</w:t>
      </w:r>
      <w:r w:rsidRPr="002131C9">
        <w:rPr>
          <w:rFonts w:ascii="Times New Roman" w:hAnsi="Times New Roman" w:cs="Times New Roman"/>
          <w:sz w:val="24"/>
          <w:szCs w:val="24"/>
        </w:rPr>
        <w:t xml:space="preserve"> in high-risk and low-risk groups.</w:t>
      </w:r>
    </w:p>
    <w:p w14:paraId="58EF9C6E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2131C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131C9">
        <w:rPr>
          <w:rFonts w:ascii="Times New Roman" w:hAnsi="Times New Roman" w:cs="Times New Roman"/>
          <w:sz w:val="24"/>
          <w:szCs w:val="24"/>
        </w:rPr>
        <w:t xml:space="preserve">). Protein domains and sites and types of amino acid mutations in </w:t>
      </w:r>
      <w:r>
        <w:rPr>
          <w:rFonts w:ascii="Times New Roman" w:hAnsi="Times New Roman" w:cs="Times New Roman"/>
          <w:sz w:val="24"/>
          <w:szCs w:val="24"/>
        </w:rPr>
        <w:t>TTN</w:t>
      </w:r>
      <w:r w:rsidRPr="002131C9">
        <w:rPr>
          <w:rFonts w:ascii="Times New Roman" w:hAnsi="Times New Roman" w:cs="Times New Roman"/>
          <w:sz w:val="24"/>
          <w:szCs w:val="24"/>
        </w:rPr>
        <w:t xml:space="preserve"> in high-risk and low-risk groups.</w:t>
      </w:r>
    </w:p>
    <w:p w14:paraId="7B51028C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EB0A7A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EB0A7A">
        <w:rPr>
          <w:rFonts w:ascii="Times New Roman" w:hAnsi="Times New Roman" w:cs="Times New Roman"/>
          <w:sz w:val="24"/>
          <w:szCs w:val="24"/>
        </w:rPr>
        <w:t xml:space="preserve">). Protein domains and sites and types of amino acid mutations in </w:t>
      </w:r>
      <w:r>
        <w:rPr>
          <w:rFonts w:ascii="Times New Roman" w:hAnsi="Times New Roman" w:cs="Times New Roman"/>
          <w:sz w:val="24"/>
          <w:szCs w:val="24"/>
        </w:rPr>
        <w:t>MAP3K1</w:t>
      </w:r>
      <w:r w:rsidRPr="00EB0A7A">
        <w:rPr>
          <w:rFonts w:ascii="Times New Roman" w:hAnsi="Times New Roman" w:cs="Times New Roman"/>
          <w:sz w:val="24"/>
          <w:szCs w:val="24"/>
        </w:rPr>
        <w:t xml:space="preserve"> in high-risk and low-risk groups.</w:t>
      </w:r>
    </w:p>
    <w:p w14:paraId="6DDBA5D9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A54792">
        <w:rPr>
          <w:rFonts w:ascii="Times New Roman" w:hAnsi="Times New Roman" w:cs="Times New Roman"/>
          <w:sz w:val="24"/>
          <w:szCs w:val="24"/>
        </w:rPr>
        <w:t xml:space="preserve">). Protein domains and sites and types of amino acid mutations in </w:t>
      </w:r>
      <w:r>
        <w:rPr>
          <w:rFonts w:ascii="Times New Roman" w:hAnsi="Times New Roman" w:cs="Times New Roman"/>
          <w:sz w:val="24"/>
          <w:szCs w:val="24"/>
        </w:rPr>
        <w:t>GATA3</w:t>
      </w:r>
      <w:r w:rsidRPr="00A54792">
        <w:rPr>
          <w:rFonts w:ascii="Times New Roman" w:hAnsi="Times New Roman" w:cs="Times New Roman"/>
          <w:sz w:val="24"/>
          <w:szCs w:val="24"/>
        </w:rPr>
        <w:t xml:space="preserve"> in high-risk and low-risk groups.</w:t>
      </w:r>
    </w:p>
    <w:p w14:paraId="1E7672BD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A54792">
        <w:rPr>
          <w:rFonts w:ascii="Times New Roman" w:hAnsi="Times New Roman" w:cs="Times New Roman"/>
          <w:sz w:val="24"/>
          <w:szCs w:val="24"/>
        </w:rPr>
        <w:t xml:space="preserve">). Protein domains and sites and types of amino acid mutations in </w:t>
      </w:r>
      <w:r>
        <w:rPr>
          <w:rFonts w:ascii="Times New Roman" w:hAnsi="Times New Roman" w:cs="Times New Roman"/>
          <w:sz w:val="24"/>
          <w:szCs w:val="24"/>
        </w:rPr>
        <w:t>CDH1</w:t>
      </w:r>
      <w:r w:rsidRPr="00A54792">
        <w:rPr>
          <w:rFonts w:ascii="Times New Roman" w:hAnsi="Times New Roman" w:cs="Times New Roman"/>
          <w:sz w:val="24"/>
          <w:szCs w:val="24"/>
        </w:rPr>
        <w:t xml:space="preserve"> in high-risk and low-risk groups.</w:t>
      </w:r>
    </w:p>
    <w:p w14:paraId="411C8EB5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A54792">
        <w:rPr>
          <w:rFonts w:ascii="Times New Roman" w:hAnsi="Times New Roman" w:cs="Times New Roman"/>
          <w:sz w:val="24"/>
          <w:szCs w:val="24"/>
        </w:rPr>
        <w:t xml:space="preserve">). </w:t>
      </w:r>
      <w:r w:rsidRPr="005C3E61">
        <w:rPr>
          <w:rFonts w:ascii="Times New Roman" w:hAnsi="Times New Roman" w:cs="Times New Roman"/>
          <w:sz w:val="24"/>
          <w:szCs w:val="24"/>
        </w:rPr>
        <w:t>Mutation frequencies of 22 inflammatory response-related hub genes in high-risk and low-risk groups.</w:t>
      </w:r>
    </w:p>
    <w:p w14:paraId="7F9B8B9E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bookmarkStart w:id="7" w:name="OLE_LINK1"/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A54792">
        <w:rPr>
          <w:rFonts w:ascii="Times New Roman" w:hAnsi="Times New Roman" w:cs="Times New Roman"/>
          <w:sz w:val="24"/>
          <w:szCs w:val="24"/>
        </w:rPr>
        <w:t>).</w:t>
      </w:r>
      <w:r w:rsidRPr="007643FA">
        <w:t xml:space="preserve"> </w:t>
      </w:r>
      <w:r w:rsidRPr="007643FA">
        <w:rPr>
          <w:rFonts w:ascii="Times New Roman" w:hAnsi="Times New Roman" w:cs="Times New Roman"/>
          <w:sz w:val="24"/>
          <w:szCs w:val="24"/>
        </w:rPr>
        <w:t>Functional enrichment for known oncogenic signaling pathways in the high-risk group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D4832C0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A54792">
        <w:rPr>
          <w:rFonts w:ascii="Times New Roman" w:hAnsi="Times New Roman" w:cs="Times New Roman"/>
          <w:sz w:val="24"/>
          <w:szCs w:val="24"/>
        </w:rPr>
        <w:t>).</w:t>
      </w:r>
      <w:r w:rsidRPr="007643FA">
        <w:t xml:space="preserve"> </w:t>
      </w:r>
      <w:r w:rsidRPr="007643FA">
        <w:rPr>
          <w:rFonts w:ascii="Times New Roman" w:hAnsi="Times New Roman" w:cs="Times New Roman"/>
          <w:sz w:val="24"/>
          <w:szCs w:val="24"/>
        </w:rPr>
        <w:t xml:space="preserve">Functional enrichment for known oncogenic signaling pathways in the </w:t>
      </w:r>
      <w:r>
        <w:rPr>
          <w:rFonts w:ascii="Times New Roman" w:hAnsi="Times New Roman" w:cs="Times New Roman"/>
          <w:sz w:val="24"/>
          <w:szCs w:val="24"/>
        </w:rPr>
        <w:t>low</w:t>
      </w:r>
      <w:r w:rsidRPr="007643FA">
        <w:rPr>
          <w:rFonts w:ascii="Times New Roman" w:hAnsi="Times New Roman" w:cs="Times New Roman"/>
          <w:sz w:val="24"/>
          <w:szCs w:val="24"/>
        </w:rPr>
        <w:t>-risk group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5CF9717" w14:textId="77777777" w:rsidR="00C51753" w:rsidRPr="005B039A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A54792">
        <w:rPr>
          <w:rFonts w:ascii="Times New Roman" w:hAnsi="Times New Roman" w:cs="Times New Roman"/>
          <w:sz w:val="24"/>
          <w:szCs w:val="24"/>
        </w:rPr>
        <w:t>).</w:t>
      </w:r>
      <w:r w:rsidRPr="007643FA">
        <w:t xml:space="preserve"> </w:t>
      </w:r>
      <w:r w:rsidRPr="005B039A">
        <w:rPr>
          <w:rFonts w:ascii="Times New Roman" w:hAnsi="Times New Roman" w:cs="Times New Roman"/>
          <w:sz w:val="24"/>
          <w:szCs w:val="24"/>
        </w:rPr>
        <w:t>Drug-gene interaction and gene-drug availability information in the high-risk group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7"/>
    <w:p w14:paraId="27E40EB2" w14:textId="77777777" w:rsidR="00C51753" w:rsidRDefault="00C51753" w:rsidP="00C51753">
      <w:pPr>
        <w:rPr>
          <w:rFonts w:ascii="Times New Roman" w:hAnsi="Times New Roman" w:cs="Times New Roman"/>
          <w:sz w:val="24"/>
          <w:szCs w:val="24"/>
        </w:rPr>
      </w:pPr>
      <w:r w:rsidRPr="00A54792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54792">
        <w:rPr>
          <w:rFonts w:ascii="Times New Roman" w:hAnsi="Times New Roman" w:cs="Times New Roman"/>
          <w:sz w:val="24"/>
          <w:szCs w:val="24"/>
        </w:rPr>
        <w:t>).</w:t>
      </w:r>
      <w:r w:rsidRPr="007643FA">
        <w:t xml:space="preserve"> </w:t>
      </w:r>
      <w:r w:rsidRPr="005B039A">
        <w:rPr>
          <w:rFonts w:ascii="Times New Roman" w:hAnsi="Times New Roman" w:cs="Times New Roman"/>
          <w:sz w:val="24"/>
          <w:szCs w:val="24"/>
        </w:rPr>
        <w:t xml:space="preserve">Drug-gene interaction and gene-drug availability information in the </w:t>
      </w:r>
      <w:r>
        <w:rPr>
          <w:rFonts w:ascii="Times New Roman" w:hAnsi="Times New Roman" w:cs="Times New Roman"/>
          <w:sz w:val="24"/>
          <w:szCs w:val="24"/>
        </w:rPr>
        <w:t>low</w:t>
      </w:r>
      <w:r w:rsidRPr="005B039A">
        <w:rPr>
          <w:rFonts w:ascii="Times New Roman" w:hAnsi="Times New Roman" w:cs="Times New Roman"/>
          <w:sz w:val="24"/>
          <w:szCs w:val="24"/>
        </w:rPr>
        <w:t>-risk group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314851F" w14:textId="77777777" w:rsidR="00C51753" w:rsidRDefault="00C51753" w:rsidP="00C51753">
      <w:pPr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11130DDC" w14:textId="74850C98" w:rsidR="00755780" w:rsidRDefault="00755780"/>
    <w:p w14:paraId="6D7AC020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 w:rsidRPr="006E3E3B"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t xml:space="preserve">Supplementary </w:t>
      </w:r>
      <w:r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t>1</w:t>
      </w:r>
    </w:p>
    <w:p w14:paraId="192974AD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29CB81AB" wp14:editId="7F3A4413">
            <wp:extent cx="5274310" cy="7533005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3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DDDCC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1FE2C9DB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5A669BDE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 w:rsidRPr="006E3E3B"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lastRenderedPageBreak/>
        <w:t>Supplementary</w:t>
      </w:r>
      <w:r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t xml:space="preserve"> 2</w:t>
      </w:r>
    </w:p>
    <w:p w14:paraId="2D766E2A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9528DA0" wp14:editId="6F1035B9">
            <wp:extent cx="5274310" cy="47840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8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D04EB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78628608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76BCD8DD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45D88F25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1FF857D5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154E549B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79108A0F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0A8D53CB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6AD44D6A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6DAABDF6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 w:rsidRPr="006E3E3B"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t>Supplementary</w:t>
      </w:r>
      <w:r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  <w:t>3</w:t>
      </w:r>
    </w:p>
    <w:p w14:paraId="4A467A48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5BE9EB1F" wp14:editId="37EDFA46">
            <wp:extent cx="5274310" cy="7215505"/>
            <wp:effectExtent l="0" t="0" r="254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15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CDF600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5463094F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7668F516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338F4195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3FA72C7E" wp14:editId="0B62A82E">
            <wp:extent cx="4859443" cy="3635375"/>
            <wp:effectExtent l="0" t="0" r="0" b="317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66"/>
                    <a:stretch/>
                  </pic:blipFill>
                  <pic:spPr bwMode="auto">
                    <a:xfrm>
                      <a:off x="0" y="0"/>
                      <a:ext cx="4859443" cy="363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D3BCE2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6B01F614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454A3E26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4C3F0C66" w14:textId="77777777" w:rsidR="00C51753" w:rsidRDefault="00C51753" w:rsidP="00C51753">
      <w:pPr>
        <w:spacing w:line="480" w:lineRule="auto"/>
        <w:rPr>
          <w:rFonts w:ascii="Times New Roman" w:eastAsia="Charis SIL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</w:rPr>
      </w:pPr>
    </w:p>
    <w:p w14:paraId="2F410C1F" w14:textId="77777777" w:rsidR="00C51753" w:rsidRDefault="00C51753"/>
    <w:sectPr w:rsidR="00C517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 SIL">
    <w:altName w:val="Microsoft YaHei"/>
    <w:charset w:val="86"/>
    <w:family w:val="swiss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753"/>
    <w:rsid w:val="00755780"/>
    <w:rsid w:val="00C51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D4328"/>
  <w15:chartTrackingRefBased/>
  <w15:docId w15:val="{7548CEF4-D275-4114-B52C-98B29F201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75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327</Words>
  <Characters>1870</Characters>
  <Application>Microsoft Office Word</Application>
  <DocSecurity>0</DocSecurity>
  <Lines>15</Lines>
  <Paragraphs>4</Paragraphs>
  <ScaleCrop>false</ScaleCrop>
  <Company>Springer Nature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2022-12-21T04:48:00Z</dcterms:created>
  <dcterms:modified xsi:type="dcterms:W3CDTF">2022-12-21T04:49:00Z</dcterms:modified>
</cp:coreProperties>
</file>