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B766" w14:textId="77777777" w:rsidR="00F6573B" w:rsidRDefault="00F6573B" w:rsidP="00F6573B">
      <w:pPr>
        <w:jc w:val="left"/>
        <w:rPr>
          <w:rFonts w:ascii="Times New Roman" w:hAnsi="Times New Roman" w:cs="Times New Roman"/>
          <w:b/>
          <w:bCs/>
          <w:sz w:val="24"/>
          <w:szCs w:val="24"/>
        </w:rPr>
      </w:pPr>
      <w:r>
        <w:rPr>
          <w:rFonts w:ascii="Times New Roman" w:hAnsi="Times New Roman" w:cs="Times New Roman"/>
          <w:b/>
          <w:bCs/>
          <w:sz w:val="24"/>
          <w:szCs w:val="24"/>
        </w:rPr>
        <w:t xml:space="preserve">Supplementary </w:t>
      </w:r>
      <w:r>
        <w:rPr>
          <w:rFonts w:ascii="Times New Roman" w:hAnsi="Times New Roman" w:cs="Times New Roman" w:hint="eastAsia"/>
          <w:b/>
          <w:bCs/>
          <w:sz w:val="24"/>
          <w:szCs w:val="24"/>
        </w:rPr>
        <w:t>f</w:t>
      </w:r>
      <w:r>
        <w:rPr>
          <w:rFonts w:ascii="Times New Roman" w:hAnsi="Times New Roman" w:cs="Times New Roman"/>
          <w:b/>
          <w:bCs/>
          <w:sz w:val="24"/>
          <w:szCs w:val="24"/>
        </w:rPr>
        <w:t>igure</w:t>
      </w:r>
      <w:r>
        <w:rPr>
          <w:rFonts w:ascii="Times New Roman" w:hAnsi="Times New Roman" w:cs="Times New Roman" w:hint="eastAsia"/>
          <w:b/>
          <w:bCs/>
          <w:sz w:val="24"/>
          <w:szCs w:val="24"/>
        </w:rPr>
        <w:t>s</w:t>
      </w:r>
    </w:p>
    <w:p w14:paraId="6D6A805F" w14:textId="0C64540B" w:rsidR="00F6573B" w:rsidRDefault="00F6573B" w:rsidP="00F6573B">
      <w:pPr>
        <w:jc w:val="left"/>
        <w:rPr>
          <w:rFonts w:ascii="Times New Roman" w:hAnsi="Times New Roman" w:cs="Times New Roman"/>
          <w:sz w:val="24"/>
          <w:szCs w:val="24"/>
        </w:rPr>
      </w:pPr>
      <w:r>
        <w:rPr>
          <w:rFonts w:ascii="Times New Roman" w:hAnsi="Times New Roman" w:cs="Times New Roman"/>
          <w:b/>
          <w:bCs/>
          <w:sz w:val="24"/>
          <w:szCs w:val="24"/>
        </w:rPr>
        <w:t>Fig</w:t>
      </w:r>
      <w:r w:rsidR="00E44866">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sidR="00E44866">
        <w:rPr>
          <w:rFonts w:ascii="Times New Roman" w:hAnsi="Times New Roman" w:cs="Times New Roman"/>
          <w:b/>
          <w:bCs/>
          <w:sz w:val="24"/>
          <w:szCs w:val="24"/>
        </w:rPr>
        <w:t>A.</w:t>
      </w:r>
      <w:r>
        <w:rPr>
          <w:rFonts w:ascii="Times New Roman" w:hAnsi="Times New Roman" w:cs="Times New Roman"/>
          <w:b/>
          <w:bCs/>
          <w:sz w:val="24"/>
          <w:szCs w:val="24"/>
        </w:rPr>
        <w:t>1</w:t>
      </w:r>
      <w:r w:rsidR="00E44866">
        <w:rPr>
          <w:rFonts w:ascii="Times New Roman" w:hAnsi="Times New Roman" w:cs="Times New Roman"/>
          <w:b/>
          <w:bCs/>
          <w:sz w:val="24"/>
          <w:szCs w:val="24"/>
        </w:rPr>
        <w:t xml:space="preserve"> </w:t>
      </w:r>
      <w:r>
        <w:rPr>
          <w:rFonts w:ascii="Times New Roman" w:hAnsi="Times New Roman" w:cs="Times New Roman"/>
          <w:sz w:val="24"/>
          <w:szCs w:val="24"/>
        </w:rPr>
        <w:t>Diversity</w:t>
      </w:r>
      <w:r>
        <w:rPr>
          <w:rFonts w:ascii="Times New Roman" w:hAnsi="Times New Roman" w:cs="Times New Roman" w:hint="eastAsia"/>
          <w:sz w:val="24"/>
          <w:szCs w:val="24"/>
        </w:rPr>
        <w:t xml:space="preserve"> of</w:t>
      </w:r>
      <w:r>
        <w:rPr>
          <w:rFonts w:ascii="Times New Roman" w:hAnsi="Times New Roman" w:cs="Times New Roman"/>
          <w:sz w:val="24"/>
          <w:szCs w:val="24"/>
        </w:rPr>
        <w:t xml:space="preserve"> Simpson (A), Chao1 (B) and ACE’s index (C)</w:t>
      </w:r>
      <w:r>
        <w:rPr>
          <w:rFonts w:ascii="Times New Roman" w:hAnsi="Times New Roman" w:cs="Times New Roman" w:hint="eastAsia"/>
          <w:sz w:val="24"/>
          <w:szCs w:val="24"/>
        </w:rPr>
        <w:t xml:space="preserve"> </w:t>
      </w:r>
      <w:r>
        <w:rPr>
          <w:rFonts w:ascii="Times New Roman" w:hAnsi="Times New Roman" w:cs="Times New Roman"/>
          <w:sz w:val="24"/>
          <w:szCs w:val="24"/>
        </w:rPr>
        <w:t>of soil prokaryotic communities under different soil water content conditions in the south shore grassland ecosystem of Hulun Lake. HW: high water content; MW:</w:t>
      </w:r>
      <w:r>
        <w:rPr>
          <w:sz w:val="24"/>
          <w:szCs w:val="24"/>
        </w:rPr>
        <w:t xml:space="preserve"> </w:t>
      </w:r>
      <w:r>
        <w:rPr>
          <w:rFonts w:ascii="Times New Roman" w:hAnsi="Times New Roman" w:cs="Times New Roman"/>
          <w:sz w:val="24"/>
          <w:szCs w:val="24"/>
        </w:rPr>
        <w:t xml:space="preserve">medium water content; LW: low water content. </w:t>
      </w:r>
      <w:r w:rsidRPr="00382108">
        <w:rPr>
          <w:rFonts w:ascii="Times New Roman" w:eastAsia="等线" w:hAnsi="Times New Roman" w:cs="Times New Roman"/>
          <w:noProof/>
          <w:sz w:val="24"/>
          <w:szCs w:val="24"/>
        </w:rPr>
        <w:t>Boxplots</w:t>
      </w:r>
      <w:r w:rsidRPr="00382108">
        <w:rPr>
          <w:rFonts w:ascii="Times New Roman" w:hAnsi="Times New Roman" w:cs="Times New Roman"/>
          <w:sz w:val="24"/>
          <w:szCs w:val="24"/>
        </w:rPr>
        <w:t xml:space="preserve"> with different letters above the box indicate significantly different means (P &lt; 0.05).</w:t>
      </w:r>
    </w:p>
    <w:p w14:paraId="29CB9ED2" w14:textId="77777777" w:rsidR="00F6573B" w:rsidRPr="00BA3AB7" w:rsidRDefault="00F6573B" w:rsidP="00F6573B">
      <w:pPr>
        <w:jc w:val="left"/>
        <w:rPr>
          <w:rFonts w:ascii="Times New Roman" w:hAnsi="Times New Roman" w:cs="Times New Roman"/>
          <w:sz w:val="24"/>
          <w:szCs w:val="24"/>
        </w:rPr>
      </w:pPr>
    </w:p>
    <w:p w14:paraId="03989DC2" w14:textId="45631520" w:rsidR="00F6573B" w:rsidRDefault="00E44866" w:rsidP="00F6573B">
      <w:pPr>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w:t>
      </w:r>
      <w:r>
        <w:rPr>
          <w:rFonts w:ascii="Times New Roman" w:hAnsi="Times New Roman" w:cs="Times New Roman"/>
          <w:b/>
          <w:bCs/>
          <w:sz w:val="24"/>
          <w:szCs w:val="24"/>
        </w:rPr>
        <w:t xml:space="preserve">2 </w:t>
      </w:r>
      <w:r w:rsidR="00F6573B">
        <w:rPr>
          <w:rFonts w:ascii="Times New Roman" w:hAnsi="Times New Roman" w:cs="Times New Roman"/>
          <w:sz w:val="24"/>
          <w:szCs w:val="24"/>
        </w:rPr>
        <w:t xml:space="preserve">Direct and indirect effects of biotic and abiotic factors on the diversity of microbial communities. Line thickness is related to the relative strength of the relationships between variables. </w:t>
      </w:r>
      <w:r w:rsidR="00F6573B" w:rsidRPr="009763C3">
        <w:rPr>
          <w:rFonts w:ascii="Times New Roman" w:hAnsi="Times New Roman" w:cs="Times New Roman"/>
          <w:sz w:val="24"/>
          <w:szCs w:val="24"/>
        </w:rPr>
        <w:t>Soli</w:t>
      </w:r>
      <w:r w:rsidR="00F6573B">
        <w:rPr>
          <w:rFonts w:ascii="Times New Roman" w:hAnsi="Times New Roman" w:cs="Times New Roman"/>
          <w:sz w:val="24"/>
          <w:szCs w:val="24"/>
        </w:rPr>
        <w:t>d lines indicate positive relationships; dashed lines indicate negative relationships. Biotic factors: aboveground biomass (AGB); abiotic factors: soil water content (SWC), pH, texture (sand/clay/silt), nutrient (SOC/TN).</w:t>
      </w:r>
      <w:r w:rsidR="00F6573B">
        <w:t xml:space="preserve"> </w:t>
      </w:r>
      <w:r w:rsidR="00F6573B">
        <w:rPr>
          <w:rFonts w:ascii="Times New Roman" w:hAnsi="Times New Roman" w:cs="Times New Roman"/>
          <w:sz w:val="24"/>
          <w:szCs w:val="24"/>
        </w:rPr>
        <w:t>The SEM plot corresponds to a histogram of stacking effects, where the direct and indirect effects are represented by orange and green, respectively.</w:t>
      </w:r>
    </w:p>
    <w:p w14:paraId="10E8C930" w14:textId="77777777" w:rsidR="00F6573B" w:rsidRPr="0013484C" w:rsidRDefault="00F6573B" w:rsidP="00F6573B">
      <w:pPr>
        <w:jc w:val="left"/>
        <w:rPr>
          <w:rFonts w:ascii="Times New Roman" w:hAnsi="Times New Roman" w:cs="Times New Roman"/>
          <w:sz w:val="24"/>
          <w:szCs w:val="24"/>
        </w:rPr>
      </w:pPr>
    </w:p>
    <w:p w14:paraId="0DB3B40A" w14:textId="75159B1C" w:rsidR="00AB0B9D" w:rsidRDefault="00E44866" w:rsidP="00E44866">
      <w:pPr>
        <w:jc w:val="left"/>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w:t>
      </w:r>
      <w:r>
        <w:rPr>
          <w:rFonts w:ascii="Times New Roman" w:hAnsi="Times New Roman" w:cs="Times New Roman"/>
          <w:b/>
          <w:bCs/>
          <w:sz w:val="24"/>
          <w:szCs w:val="24"/>
        </w:rPr>
        <w:t xml:space="preserve">3 </w:t>
      </w:r>
      <w:r w:rsidR="00F6573B" w:rsidRPr="0013484C">
        <w:rPr>
          <w:rFonts w:ascii="Times New Roman" w:hAnsi="Times New Roman" w:cs="Times New Roman"/>
          <w:sz w:val="24"/>
          <w:szCs w:val="24"/>
        </w:rPr>
        <w:t>Spearman</w:t>
      </w:r>
      <w:r w:rsidR="00F6573B" w:rsidRPr="0013484C">
        <w:rPr>
          <w:rFonts w:ascii="Times New Roman" w:hAnsi="Times New Roman" w:cs="Times New Roman" w:hint="eastAsia"/>
          <w:sz w:val="24"/>
          <w:szCs w:val="24"/>
        </w:rPr>
        <w:t xml:space="preserve"> correlations between</w:t>
      </w:r>
      <w:r w:rsidR="00F6573B">
        <w:rPr>
          <w:rFonts w:ascii="Times New Roman" w:hAnsi="Times New Roman" w:cs="Times New Roman" w:hint="eastAsia"/>
          <w:b/>
          <w:bCs/>
          <w:sz w:val="24"/>
          <w:szCs w:val="24"/>
        </w:rPr>
        <w:t xml:space="preserve"> </w:t>
      </w:r>
      <w:r w:rsidR="00F6573B">
        <w:rPr>
          <w:rFonts w:ascii="Times New Roman" w:hAnsi="Times New Roman" w:cs="Times New Roman"/>
          <w:sz w:val="24"/>
          <w:szCs w:val="24"/>
        </w:rPr>
        <w:t xml:space="preserve">dominant </w:t>
      </w:r>
      <w:r w:rsidR="00F6573B" w:rsidRPr="00C7556F">
        <w:rPr>
          <w:rFonts w:ascii="Times New Roman" w:hAnsi="Times New Roman" w:cs="Times New Roman"/>
          <w:sz w:val="24"/>
          <w:szCs w:val="24"/>
        </w:rPr>
        <w:t>phyl</w:t>
      </w:r>
      <w:r w:rsidR="00F6573B">
        <w:rPr>
          <w:rFonts w:ascii="Times New Roman" w:hAnsi="Times New Roman" w:cs="Times New Roman"/>
          <w:sz w:val="24"/>
          <w:szCs w:val="24"/>
        </w:rPr>
        <w:t xml:space="preserve">a </w:t>
      </w:r>
      <w:r w:rsidR="00F6573B">
        <w:rPr>
          <w:rFonts w:ascii="Times New Roman" w:hAnsi="Times New Roman" w:cs="Times New Roman" w:hint="eastAsia"/>
          <w:sz w:val="24"/>
          <w:szCs w:val="24"/>
        </w:rPr>
        <w:t>and</w:t>
      </w:r>
      <w:r w:rsidR="00F6573B">
        <w:rPr>
          <w:rFonts w:ascii="Times New Roman" w:hAnsi="Times New Roman" w:cs="Times New Roman"/>
          <w:sz w:val="24"/>
          <w:szCs w:val="24"/>
        </w:rPr>
        <w:t xml:space="preserve"> biotic and abiotic factors. The horizontal axis is the biotic and abiotic factors and the vertical axis is the dominant microbial phylum. The colors from blue to red represent the negative to positive correlation between the two.</w:t>
      </w:r>
      <w:r w:rsidR="00000000">
        <w:br w:type="page"/>
      </w:r>
    </w:p>
    <w:p w14:paraId="420EA173" w14:textId="613222DF" w:rsidR="00AB0B9D" w:rsidRDefault="00887A43" w:rsidP="00887A43">
      <w:pPr>
        <w:ind w:leftChars="-742" w:left="-1558"/>
        <w:jc w:val="center"/>
      </w:pPr>
      <w:r>
        <w:rPr>
          <w:noProof/>
        </w:rPr>
        <w:lastRenderedPageBreak/>
        <w:drawing>
          <wp:inline distT="0" distB="0" distL="0" distR="0" wp14:anchorId="34BB5FE8" wp14:editId="26DDB89A">
            <wp:extent cx="7356127" cy="2109788"/>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5321" cy="2115293"/>
                    </a:xfrm>
                    <a:prstGeom prst="rect">
                      <a:avLst/>
                    </a:prstGeom>
                    <a:noFill/>
                    <a:ln>
                      <a:noFill/>
                    </a:ln>
                  </pic:spPr>
                </pic:pic>
              </a:graphicData>
            </a:graphic>
          </wp:inline>
        </w:drawing>
      </w:r>
    </w:p>
    <w:p w14:paraId="46548CFF" w14:textId="77777777" w:rsidR="00AB0B9D" w:rsidRDefault="00AB0B9D">
      <w:pPr>
        <w:jc w:val="left"/>
        <w:rPr>
          <w:rFonts w:ascii="Times New Roman" w:hAnsi="Times New Roman" w:cs="Times New Roman"/>
          <w:b/>
          <w:bCs/>
          <w:sz w:val="24"/>
          <w:szCs w:val="24"/>
        </w:rPr>
      </w:pPr>
    </w:p>
    <w:p w14:paraId="53F77CF8" w14:textId="09D63144" w:rsidR="00F6573B" w:rsidRDefault="00E44866" w:rsidP="00F6573B">
      <w:pPr>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A.1</w:t>
      </w:r>
      <w:r>
        <w:rPr>
          <w:rFonts w:ascii="Times New Roman" w:hAnsi="Times New Roman" w:cs="Times New Roman"/>
          <w:b/>
          <w:bCs/>
          <w:sz w:val="24"/>
          <w:szCs w:val="24"/>
        </w:rPr>
        <w:t xml:space="preserve"> </w:t>
      </w:r>
      <w:r w:rsidR="00F6573B">
        <w:rPr>
          <w:rFonts w:ascii="Times New Roman" w:hAnsi="Times New Roman" w:cs="Times New Roman"/>
          <w:sz w:val="24"/>
          <w:szCs w:val="24"/>
        </w:rPr>
        <w:t>Diversity</w:t>
      </w:r>
      <w:r w:rsidR="00F6573B">
        <w:rPr>
          <w:rFonts w:ascii="Times New Roman" w:hAnsi="Times New Roman" w:cs="Times New Roman" w:hint="eastAsia"/>
          <w:sz w:val="24"/>
          <w:szCs w:val="24"/>
        </w:rPr>
        <w:t xml:space="preserve"> of</w:t>
      </w:r>
      <w:r w:rsidR="00F6573B">
        <w:rPr>
          <w:rFonts w:ascii="Times New Roman" w:hAnsi="Times New Roman" w:cs="Times New Roman"/>
          <w:sz w:val="24"/>
          <w:szCs w:val="24"/>
        </w:rPr>
        <w:t xml:space="preserve"> Simpson (A), Chao1 (B) and ACE’s index (C)</w:t>
      </w:r>
      <w:r w:rsidR="00F6573B">
        <w:rPr>
          <w:rFonts w:ascii="Times New Roman" w:hAnsi="Times New Roman" w:cs="Times New Roman" w:hint="eastAsia"/>
          <w:sz w:val="24"/>
          <w:szCs w:val="24"/>
        </w:rPr>
        <w:t xml:space="preserve"> </w:t>
      </w:r>
      <w:r w:rsidR="00F6573B">
        <w:rPr>
          <w:rFonts w:ascii="Times New Roman" w:hAnsi="Times New Roman" w:cs="Times New Roman"/>
          <w:sz w:val="24"/>
          <w:szCs w:val="24"/>
        </w:rPr>
        <w:t>of soil prokaryotic communities under different soil water content conditions in the south shore grassland ecosystem of Hulun Lake. HW: high water content; MW:</w:t>
      </w:r>
      <w:r w:rsidR="00F6573B">
        <w:rPr>
          <w:sz w:val="24"/>
          <w:szCs w:val="24"/>
        </w:rPr>
        <w:t xml:space="preserve"> </w:t>
      </w:r>
      <w:r w:rsidR="00F6573B">
        <w:rPr>
          <w:rFonts w:ascii="Times New Roman" w:hAnsi="Times New Roman" w:cs="Times New Roman"/>
          <w:sz w:val="24"/>
          <w:szCs w:val="24"/>
        </w:rPr>
        <w:t xml:space="preserve">medium water content; LW: low water content. </w:t>
      </w:r>
      <w:r w:rsidR="00F6573B" w:rsidRPr="00382108">
        <w:rPr>
          <w:rFonts w:ascii="Times New Roman" w:eastAsia="等线" w:hAnsi="Times New Roman" w:cs="Times New Roman"/>
          <w:noProof/>
          <w:sz w:val="24"/>
          <w:szCs w:val="24"/>
        </w:rPr>
        <w:t>Boxplots</w:t>
      </w:r>
      <w:r w:rsidR="00F6573B" w:rsidRPr="00382108">
        <w:rPr>
          <w:rFonts w:ascii="Times New Roman" w:hAnsi="Times New Roman" w:cs="Times New Roman"/>
          <w:sz w:val="24"/>
          <w:szCs w:val="24"/>
        </w:rPr>
        <w:t xml:space="preserve"> with different letters above the box indicate significantly different means (P &lt; 0.05).</w:t>
      </w:r>
    </w:p>
    <w:p w14:paraId="7ECE078A" w14:textId="77777777" w:rsidR="00BA3AB7" w:rsidRPr="00F6573B" w:rsidRDefault="00BA3AB7" w:rsidP="00BA3AB7">
      <w:pPr>
        <w:jc w:val="left"/>
        <w:rPr>
          <w:rFonts w:ascii="Times New Roman" w:hAnsi="Times New Roman" w:cs="Times New Roman"/>
          <w:sz w:val="24"/>
          <w:szCs w:val="24"/>
        </w:rPr>
      </w:pPr>
    </w:p>
    <w:p w14:paraId="29BB4B21" w14:textId="77777777" w:rsidR="00AB0B9D" w:rsidRDefault="00000000">
      <w:pPr>
        <w:rPr>
          <w:rFonts w:ascii="Times New Roman" w:hAnsi="Times New Roman" w:cs="Times New Roman"/>
          <w:sz w:val="24"/>
          <w:szCs w:val="24"/>
        </w:rPr>
      </w:pPr>
      <w:r>
        <w:rPr>
          <w:rFonts w:ascii="Times New Roman" w:hAnsi="Times New Roman" w:cs="Times New Roman"/>
          <w:sz w:val="24"/>
          <w:szCs w:val="24"/>
        </w:rPr>
        <w:br w:type="page"/>
      </w:r>
    </w:p>
    <w:p w14:paraId="113E097B" w14:textId="77777777" w:rsidR="00AB0B9D" w:rsidRDefault="00000000">
      <w:pPr>
        <w:ind w:leftChars="-675" w:left="-992" w:hangingChars="203" w:hanging="426"/>
        <w:jc w:val="left"/>
        <w:rPr>
          <w:rFonts w:ascii="Times New Roman" w:hAnsi="Times New Roman" w:cs="Times New Roman"/>
          <w:sz w:val="28"/>
          <w:szCs w:val="28"/>
        </w:rPr>
      </w:pPr>
      <w:r>
        <w:rPr>
          <w:noProof/>
        </w:rPr>
        <w:lastRenderedPageBreak/>
        <w:drawing>
          <wp:inline distT="0" distB="0" distL="0" distR="0" wp14:anchorId="0EED1445" wp14:editId="382F66D2">
            <wp:extent cx="7425055" cy="3614420"/>
            <wp:effectExtent l="0" t="0" r="444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436428" cy="3620136"/>
                    </a:xfrm>
                    <a:prstGeom prst="rect">
                      <a:avLst/>
                    </a:prstGeom>
                    <a:noFill/>
                    <a:ln>
                      <a:noFill/>
                    </a:ln>
                  </pic:spPr>
                </pic:pic>
              </a:graphicData>
            </a:graphic>
          </wp:inline>
        </w:drawing>
      </w:r>
    </w:p>
    <w:p w14:paraId="13FE7B05" w14:textId="77777777" w:rsidR="00AB0B9D" w:rsidRDefault="00AB0B9D">
      <w:pPr>
        <w:jc w:val="left"/>
        <w:rPr>
          <w:rFonts w:ascii="Times New Roman" w:hAnsi="Times New Roman" w:cs="Times New Roman"/>
          <w:b/>
          <w:bCs/>
          <w:sz w:val="24"/>
          <w:szCs w:val="24"/>
        </w:rPr>
      </w:pPr>
    </w:p>
    <w:p w14:paraId="1972041E" w14:textId="796001CB" w:rsidR="00F6573B" w:rsidRDefault="00E44866" w:rsidP="00F6573B">
      <w:pPr>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w:t>
      </w:r>
      <w:r>
        <w:rPr>
          <w:rFonts w:ascii="Times New Roman" w:hAnsi="Times New Roman" w:cs="Times New Roman"/>
          <w:b/>
          <w:bCs/>
          <w:sz w:val="24"/>
          <w:szCs w:val="24"/>
        </w:rPr>
        <w:t xml:space="preserve">2 </w:t>
      </w:r>
      <w:r w:rsidR="00F6573B">
        <w:rPr>
          <w:rFonts w:ascii="Times New Roman" w:hAnsi="Times New Roman" w:cs="Times New Roman"/>
          <w:sz w:val="24"/>
          <w:szCs w:val="24"/>
        </w:rPr>
        <w:t xml:space="preserve">Direct and indirect effects of biotic and abiotic factors on the diversity of microbial communities. Line thickness is related to the relative strength of the relationships between variables. </w:t>
      </w:r>
      <w:r w:rsidR="00F6573B" w:rsidRPr="009763C3">
        <w:rPr>
          <w:rFonts w:ascii="Times New Roman" w:hAnsi="Times New Roman" w:cs="Times New Roman"/>
          <w:sz w:val="24"/>
          <w:szCs w:val="24"/>
        </w:rPr>
        <w:t>Soli</w:t>
      </w:r>
      <w:r w:rsidR="00F6573B">
        <w:rPr>
          <w:rFonts w:ascii="Times New Roman" w:hAnsi="Times New Roman" w:cs="Times New Roman"/>
          <w:sz w:val="24"/>
          <w:szCs w:val="24"/>
        </w:rPr>
        <w:t>d lines indicate positive relationships; dashed lines indicate negative relationships. Biotic factors: aboveground biomass (AGB); abiotic factors: soil water content (SWC), pH, texture (sand/clay/silt), nutrient (SOC/TN).</w:t>
      </w:r>
      <w:r w:rsidR="00F6573B">
        <w:t xml:space="preserve"> </w:t>
      </w:r>
      <w:r w:rsidR="00F6573B">
        <w:rPr>
          <w:rFonts w:ascii="Times New Roman" w:hAnsi="Times New Roman" w:cs="Times New Roman"/>
          <w:sz w:val="24"/>
          <w:szCs w:val="24"/>
        </w:rPr>
        <w:t>The SEM plot corresponds to a histogram of stacking effects, where the direct and indirect effects are represented by orange and green, respectively.</w:t>
      </w:r>
    </w:p>
    <w:p w14:paraId="46376E17" w14:textId="77777777" w:rsidR="00AB0B9D" w:rsidRPr="00F6573B" w:rsidRDefault="00AB0B9D">
      <w:pPr>
        <w:jc w:val="left"/>
        <w:rPr>
          <w:rFonts w:ascii="Times New Roman" w:hAnsi="Times New Roman" w:cs="Times New Roman"/>
          <w:sz w:val="24"/>
          <w:szCs w:val="24"/>
        </w:rPr>
      </w:pPr>
    </w:p>
    <w:p w14:paraId="57874D22" w14:textId="77777777" w:rsidR="00AB0B9D" w:rsidRDefault="00AB0B9D">
      <w:pPr>
        <w:jc w:val="left"/>
        <w:rPr>
          <w:rFonts w:ascii="Times New Roman" w:hAnsi="Times New Roman" w:cs="Times New Roman"/>
          <w:sz w:val="24"/>
          <w:szCs w:val="24"/>
        </w:rPr>
      </w:pPr>
    </w:p>
    <w:p w14:paraId="7CA6F6F3" w14:textId="77777777" w:rsidR="00AB0B9D" w:rsidRDefault="00000000">
      <w:pPr>
        <w:ind w:leftChars="675" w:left="1418"/>
        <w:jc w:val="left"/>
        <w:rPr>
          <w:rFonts w:ascii="Times New Roman" w:hAnsi="Times New Roman" w:cs="Times New Roman"/>
          <w:sz w:val="24"/>
          <w:szCs w:val="24"/>
        </w:rPr>
      </w:pPr>
      <w:r>
        <w:rPr>
          <w:noProof/>
        </w:rPr>
        <w:lastRenderedPageBreak/>
        <w:drawing>
          <wp:inline distT="0" distB="0" distL="0" distR="0" wp14:anchorId="0D885245" wp14:editId="41C8DB96">
            <wp:extent cx="4032885" cy="454342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41373" cy="4552748"/>
                    </a:xfrm>
                    <a:prstGeom prst="rect">
                      <a:avLst/>
                    </a:prstGeom>
                    <a:noFill/>
                    <a:ln>
                      <a:noFill/>
                    </a:ln>
                  </pic:spPr>
                </pic:pic>
              </a:graphicData>
            </a:graphic>
          </wp:inline>
        </w:drawing>
      </w:r>
    </w:p>
    <w:p w14:paraId="2C5CD42C" w14:textId="77777777" w:rsidR="0013484C" w:rsidRDefault="0013484C">
      <w:pPr>
        <w:ind w:leftChars="675" w:left="1418"/>
        <w:jc w:val="left"/>
        <w:rPr>
          <w:rFonts w:ascii="Times New Roman" w:hAnsi="Times New Roman" w:cs="Times New Roman"/>
          <w:sz w:val="24"/>
          <w:szCs w:val="24"/>
        </w:rPr>
      </w:pPr>
    </w:p>
    <w:p w14:paraId="29B26978" w14:textId="005A5364" w:rsidR="00F6573B" w:rsidRDefault="00E44866" w:rsidP="00F6573B">
      <w:pPr>
        <w:jc w:val="left"/>
        <w:rPr>
          <w:rFonts w:ascii="Times New Roman" w:hAnsi="Times New Roman" w:cs="Times New Roman"/>
          <w:sz w:val="24"/>
          <w:szCs w:val="24"/>
        </w:rPr>
      </w:pPr>
      <w:r>
        <w:rPr>
          <w:rFonts w:ascii="Times New Roman" w:hAnsi="Times New Roman" w:cs="Times New Roman"/>
          <w:b/>
          <w:bCs/>
          <w:sz w:val="24"/>
          <w:szCs w:val="24"/>
        </w:rPr>
        <w:t>Fig</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A.</w:t>
      </w:r>
      <w:r>
        <w:rPr>
          <w:rFonts w:ascii="Times New Roman" w:hAnsi="Times New Roman" w:cs="Times New Roman"/>
          <w:b/>
          <w:bCs/>
          <w:sz w:val="24"/>
          <w:szCs w:val="24"/>
        </w:rPr>
        <w:t xml:space="preserve">3 </w:t>
      </w:r>
      <w:r w:rsidR="00F6573B" w:rsidRPr="0013484C">
        <w:rPr>
          <w:rFonts w:ascii="Times New Roman" w:hAnsi="Times New Roman" w:cs="Times New Roman"/>
          <w:sz w:val="24"/>
          <w:szCs w:val="24"/>
        </w:rPr>
        <w:t>Spearman</w:t>
      </w:r>
      <w:r w:rsidR="00F6573B" w:rsidRPr="0013484C">
        <w:rPr>
          <w:rFonts w:ascii="Times New Roman" w:hAnsi="Times New Roman" w:cs="Times New Roman" w:hint="eastAsia"/>
          <w:sz w:val="24"/>
          <w:szCs w:val="24"/>
        </w:rPr>
        <w:t xml:space="preserve"> correlations between</w:t>
      </w:r>
      <w:r w:rsidR="00F6573B">
        <w:rPr>
          <w:rFonts w:ascii="Times New Roman" w:hAnsi="Times New Roman" w:cs="Times New Roman" w:hint="eastAsia"/>
          <w:b/>
          <w:bCs/>
          <w:sz w:val="24"/>
          <w:szCs w:val="24"/>
        </w:rPr>
        <w:t xml:space="preserve"> </w:t>
      </w:r>
      <w:r w:rsidR="00F6573B">
        <w:rPr>
          <w:rFonts w:ascii="Times New Roman" w:hAnsi="Times New Roman" w:cs="Times New Roman"/>
          <w:sz w:val="24"/>
          <w:szCs w:val="24"/>
        </w:rPr>
        <w:t xml:space="preserve">dominant </w:t>
      </w:r>
      <w:r w:rsidR="00F6573B" w:rsidRPr="00C7556F">
        <w:rPr>
          <w:rFonts w:ascii="Times New Roman" w:hAnsi="Times New Roman" w:cs="Times New Roman"/>
          <w:sz w:val="24"/>
          <w:szCs w:val="24"/>
        </w:rPr>
        <w:t>phyl</w:t>
      </w:r>
      <w:r w:rsidR="00F6573B">
        <w:rPr>
          <w:rFonts w:ascii="Times New Roman" w:hAnsi="Times New Roman" w:cs="Times New Roman"/>
          <w:sz w:val="24"/>
          <w:szCs w:val="24"/>
        </w:rPr>
        <w:t xml:space="preserve">a </w:t>
      </w:r>
      <w:r w:rsidR="00F6573B">
        <w:rPr>
          <w:rFonts w:ascii="Times New Roman" w:hAnsi="Times New Roman" w:cs="Times New Roman" w:hint="eastAsia"/>
          <w:sz w:val="24"/>
          <w:szCs w:val="24"/>
        </w:rPr>
        <w:t>and</w:t>
      </w:r>
      <w:r w:rsidR="00F6573B">
        <w:rPr>
          <w:rFonts w:ascii="Times New Roman" w:hAnsi="Times New Roman" w:cs="Times New Roman"/>
          <w:sz w:val="24"/>
          <w:szCs w:val="24"/>
        </w:rPr>
        <w:t xml:space="preserve"> biotic and abiotic factors. The horizontal axis is the biotic and abiotic factors and the vertical axis is the dominant microbial phylum. The colors from blue to red represent the negative to positive correlation between the two.</w:t>
      </w:r>
    </w:p>
    <w:p w14:paraId="00445442" w14:textId="3B28DCFB" w:rsidR="00AB0B9D" w:rsidRPr="00F6573B" w:rsidRDefault="00AB0B9D" w:rsidP="00F6573B">
      <w:pPr>
        <w:jc w:val="left"/>
        <w:rPr>
          <w:rFonts w:ascii="Times New Roman" w:hAnsi="Times New Roman" w:cs="Times New Roman"/>
          <w:sz w:val="24"/>
          <w:szCs w:val="24"/>
        </w:rPr>
      </w:pPr>
    </w:p>
    <w:sectPr w:rsidR="00AB0B9D" w:rsidRPr="00F657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68F28" w14:textId="77777777" w:rsidR="0085785A" w:rsidRDefault="0085785A" w:rsidP="00BA3AB7">
      <w:r>
        <w:separator/>
      </w:r>
    </w:p>
  </w:endnote>
  <w:endnote w:type="continuationSeparator" w:id="0">
    <w:p w14:paraId="1CB7AAEE" w14:textId="77777777" w:rsidR="0085785A" w:rsidRDefault="0085785A" w:rsidP="00BA3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125C" w14:textId="77777777" w:rsidR="0085785A" w:rsidRDefault="0085785A" w:rsidP="00BA3AB7">
      <w:r>
        <w:separator/>
      </w:r>
    </w:p>
  </w:footnote>
  <w:footnote w:type="continuationSeparator" w:id="0">
    <w:p w14:paraId="59730264" w14:textId="77777777" w:rsidR="0085785A" w:rsidRDefault="0085785A" w:rsidP="00BA3A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E0YmY4MzM5ZDlkN2ExNTcyMDIyOWE5MDdmYzZiODUifQ=="/>
  </w:docVars>
  <w:rsids>
    <w:rsidRoot w:val="005D229B"/>
    <w:rsid w:val="000C7726"/>
    <w:rsid w:val="0013484C"/>
    <w:rsid w:val="001A64E8"/>
    <w:rsid w:val="002172EB"/>
    <w:rsid w:val="00346434"/>
    <w:rsid w:val="00425BE0"/>
    <w:rsid w:val="00440142"/>
    <w:rsid w:val="00540623"/>
    <w:rsid w:val="005D229B"/>
    <w:rsid w:val="00650113"/>
    <w:rsid w:val="006823CA"/>
    <w:rsid w:val="006A158F"/>
    <w:rsid w:val="00704840"/>
    <w:rsid w:val="00743460"/>
    <w:rsid w:val="007A2152"/>
    <w:rsid w:val="0083021E"/>
    <w:rsid w:val="0085785A"/>
    <w:rsid w:val="008656BD"/>
    <w:rsid w:val="00887A43"/>
    <w:rsid w:val="009750BA"/>
    <w:rsid w:val="00AB0B9D"/>
    <w:rsid w:val="00AC4487"/>
    <w:rsid w:val="00B31957"/>
    <w:rsid w:val="00B97455"/>
    <w:rsid w:val="00BA3AB7"/>
    <w:rsid w:val="00C42E6A"/>
    <w:rsid w:val="00C4407D"/>
    <w:rsid w:val="00D11567"/>
    <w:rsid w:val="00D84C48"/>
    <w:rsid w:val="00E44866"/>
    <w:rsid w:val="00E473F7"/>
    <w:rsid w:val="00E5747D"/>
    <w:rsid w:val="00EA4304"/>
    <w:rsid w:val="00EB35AC"/>
    <w:rsid w:val="00F2301B"/>
    <w:rsid w:val="00F6573B"/>
    <w:rsid w:val="00F72585"/>
    <w:rsid w:val="00FD05B9"/>
    <w:rsid w:val="00FE15B8"/>
    <w:rsid w:val="4B4E4840"/>
    <w:rsid w:val="584E1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B8B53"/>
  <w15:docId w15:val="{0ECE8048-E986-4A55-A93D-679EC64F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qFormat/>
    <w:rPr>
      <w:sz w:val="18"/>
      <w:szCs w:val="18"/>
    </w:rPr>
  </w:style>
  <w:style w:type="character" w:styleId="a8">
    <w:name w:val="annotation reference"/>
    <w:basedOn w:val="a0"/>
    <w:uiPriority w:val="99"/>
    <w:semiHidden/>
    <w:unhideWhenUsed/>
    <w:rPr>
      <w:sz w:val="21"/>
      <w:szCs w:val="21"/>
    </w:rPr>
  </w:style>
  <w:style w:type="paragraph" w:styleId="a9">
    <w:name w:val="Revision"/>
    <w:hidden/>
    <w:uiPriority w:val="99"/>
    <w:semiHidden/>
    <w:rsid w:val="009750B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CX</dc:creator>
  <cp:lastModifiedBy>CX</cp:lastModifiedBy>
  <cp:revision>21</cp:revision>
  <dcterms:created xsi:type="dcterms:W3CDTF">2022-08-28T09:47:00Z</dcterms:created>
  <dcterms:modified xsi:type="dcterms:W3CDTF">2022-11-20T02:51:00Z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450F89AE0DBF48699756A83BD60DAEDA</vt:lpwstr>
  </property>
</Properties>
</file>