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4F0AA" w14:textId="77777777" w:rsidR="00711ACB" w:rsidRPr="00D15040" w:rsidRDefault="00711ACB" w:rsidP="00711ACB">
      <w:pPr>
        <w:rPr>
          <w:rFonts w:ascii="Times New Roman" w:hAnsi="Times New Roman" w:cs="Times New Roman"/>
          <w:b/>
          <w:sz w:val="24"/>
          <w:szCs w:val="24"/>
        </w:rPr>
      </w:pPr>
      <w:r w:rsidRPr="00D15040">
        <w:rPr>
          <w:rFonts w:ascii="Times New Roman" w:hAnsi="Times New Roman" w:cs="Times New Roman"/>
          <w:b/>
          <w:sz w:val="24"/>
          <w:szCs w:val="24"/>
        </w:rPr>
        <w:t>Expanded Sediment Core Descriptions</w:t>
      </w:r>
    </w:p>
    <w:p w14:paraId="476167CC" w14:textId="7682D7A0" w:rsidR="00711ACB" w:rsidRPr="00D15040" w:rsidRDefault="00711ACB" w:rsidP="00711ACB">
      <w:pPr>
        <w:spacing w:line="257" w:lineRule="auto"/>
        <w:rPr>
          <w:rFonts w:ascii="Times New Roman" w:eastAsia="Times New Roman" w:hAnsi="Times New Roman" w:cs="Times New Roman"/>
          <w:b/>
          <w:bCs/>
          <w:sz w:val="24"/>
          <w:szCs w:val="24"/>
        </w:rPr>
      </w:pPr>
      <w:r w:rsidRPr="00D15040">
        <w:rPr>
          <w:rFonts w:ascii="Times New Roman" w:eastAsia="Times New Roman" w:hAnsi="Times New Roman" w:cs="Times New Roman"/>
          <w:b/>
          <w:bCs/>
          <w:sz w:val="24"/>
          <w:szCs w:val="24"/>
        </w:rPr>
        <w:t>Table S1: Thickness of deposits related to the Hunga Volcano eruption sampled at the different multicore sites, including identification of deposits attributable to the pyroclastic density currents and to ashfall. Thickness annotated as &gt;X cm indicate that the core did not recover the base of the deposits and that the true thickness is greater than that presented. Station numbers are given in Figure S</w:t>
      </w:r>
      <w:r w:rsidR="00E31DF0">
        <w:rPr>
          <w:rFonts w:ascii="Times New Roman" w:eastAsia="Times New Roman" w:hAnsi="Times New Roman" w:cs="Times New Roman"/>
          <w:b/>
          <w:bCs/>
          <w:sz w:val="24"/>
          <w:szCs w:val="24"/>
        </w:rPr>
        <w:t>6</w:t>
      </w:r>
      <w:r w:rsidRPr="00D15040">
        <w:rPr>
          <w:rFonts w:ascii="Times New Roman" w:eastAsia="Times New Roman" w:hAnsi="Times New Roman" w:cs="Times New Roman"/>
          <w:b/>
          <w:bCs/>
          <w:sz w:val="24"/>
          <w:szCs w:val="24"/>
        </w:rPr>
        <w:t>.</w:t>
      </w:r>
    </w:p>
    <w:tbl>
      <w:tblPr>
        <w:tblStyle w:val="TableGrid"/>
        <w:tblW w:w="0" w:type="auto"/>
        <w:tblLayout w:type="fixed"/>
        <w:tblLook w:val="04A0" w:firstRow="1" w:lastRow="0" w:firstColumn="1" w:lastColumn="0" w:noHBand="0" w:noVBand="1"/>
      </w:tblPr>
      <w:tblGrid>
        <w:gridCol w:w="2250"/>
        <w:gridCol w:w="2250"/>
        <w:gridCol w:w="2250"/>
        <w:gridCol w:w="2250"/>
      </w:tblGrid>
      <w:tr w:rsidR="00711ACB" w:rsidRPr="00D15040" w14:paraId="5148594A"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7ED7E63B" w14:textId="77777777" w:rsidR="00711ACB" w:rsidRPr="00D15040" w:rsidRDefault="00711ACB" w:rsidP="00236CDC">
            <w:pPr>
              <w:jc w:val="center"/>
              <w:rPr>
                <w:rFonts w:ascii="Times New Roman" w:eastAsia="Times New Roman" w:hAnsi="Times New Roman" w:cs="Times New Roman"/>
                <w:b/>
                <w:bCs/>
                <w:sz w:val="24"/>
                <w:szCs w:val="24"/>
              </w:rPr>
            </w:pPr>
            <w:r w:rsidRPr="00D15040">
              <w:rPr>
                <w:rFonts w:ascii="Times New Roman" w:eastAsia="Times New Roman" w:hAnsi="Times New Roman" w:cs="Times New Roman"/>
                <w:b/>
                <w:bCs/>
                <w:sz w:val="24"/>
                <w:szCs w:val="24"/>
              </w:rPr>
              <w:t>Core Site</w:t>
            </w:r>
          </w:p>
          <w:p w14:paraId="3BA85F91" w14:textId="77777777" w:rsidR="00711ACB" w:rsidRPr="00D15040" w:rsidRDefault="00711ACB" w:rsidP="00236CDC">
            <w:pPr>
              <w:jc w:val="center"/>
              <w:rPr>
                <w:rFonts w:ascii="Times New Roman" w:eastAsia="Times New Roman" w:hAnsi="Times New Roman" w:cs="Times New Roman"/>
                <w:b/>
                <w:bCs/>
                <w:sz w:val="24"/>
                <w:szCs w:val="24"/>
              </w:rPr>
            </w:pPr>
            <w:r w:rsidRPr="00D15040">
              <w:rPr>
                <w:rFonts w:ascii="Times New Roman" w:eastAsia="Times New Roman" w:hAnsi="Times New Roman" w:cs="Times New Roman"/>
                <w:b/>
                <w:bCs/>
                <w:sz w:val="24"/>
                <w:szCs w:val="24"/>
              </w:rPr>
              <w:t xml:space="preserve"> (Station # / Site #)</w:t>
            </w:r>
          </w:p>
        </w:tc>
        <w:tc>
          <w:tcPr>
            <w:tcW w:w="2250" w:type="dxa"/>
            <w:tcBorders>
              <w:top w:val="single" w:sz="8" w:space="0" w:color="auto"/>
              <w:left w:val="single" w:sz="8" w:space="0" w:color="auto"/>
              <w:bottom w:val="single" w:sz="8" w:space="0" w:color="auto"/>
              <w:right w:val="single" w:sz="8" w:space="0" w:color="auto"/>
            </w:tcBorders>
          </w:tcPr>
          <w:p w14:paraId="45671A83" w14:textId="77777777" w:rsidR="00711ACB" w:rsidRPr="00D15040" w:rsidRDefault="00711ACB" w:rsidP="00236CDC">
            <w:pPr>
              <w:jc w:val="center"/>
              <w:rPr>
                <w:rFonts w:ascii="Times New Roman" w:eastAsia="Times New Roman" w:hAnsi="Times New Roman" w:cs="Times New Roman"/>
                <w:b/>
                <w:bCs/>
                <w:sz w:val="24"/>
                <w:szCs w:val="24"/>
              </w:rPr>
            </w:pPr>
            <w:r w:rsidRPr="00D15040">
              <w:rPr>
                <w:rFonts w:ascii="Times New Roman" w:eastAsia="Times New Roman" w:hAnsi="Times New Roman" w:cs="Times New Roman"/>
                <w:b/>
                <w:bCs/>
                <w:sz w:val="24"/>
                <w:szCs w:val="24"/>
              </w:rPr>
              <w:t>Total thickness of HTHH deposits sampled [cm]</w:t>
            </w:r>
          </w:p>
        </w:tc>
        <w:tc>
          <w:tcPr>
            <w:tcW w:w="2250" w:type="dxa"/>
            <w:tcBorders>
              <w:top w:val="single" w:sz="8" w:space="0" w:color="auto"/>
              <w:left w:val="single" w:sz="8" w:space="0" w:color="auto"/>
              <w:bottom w:val="single" w:sz="8" w:space="0" w:color="auto"/>
              <w:right w:val="single" w:sz="8" w:space="0" w:color="auto"/>
            </w:tcBorders>
          </w:tcPr>
          <w:p w14:paraId="1F70EF74" w14:textId="77777777" w:rsidR="00711ACB" w:rsidRPr="00D15040" w:rsidRDefault="00711ACB" w:rsidP="00236CDC">
            <w:pPr>
              <w:jc w:val="center"/>
              <w:rPr>
                <w:rFonts w:ascii="Times New Roman" w:eastAsia="Times New Roman" w:hAnsi="Times New Roman" w:cs="Times New Roman"/>
                <w:b/>
                <w:bCs/>
                <w:sz w:val="24"/>
                <w:szCs w:val="24"/>
              </w:rPr>
            </w:pPr>
            <w:r w:rsidRPr="00D15040">
              <w:rPr>
                <w:rFonts w:ascii="Times New Roman" w:eastAsia="Times New Roman" w:hAnsi="Times New Roman" w:cs="Times New Roman"/>
                <w:b/>
                <w:bCs/>
                <w:sz w:val="24"/>
                <w:szCs w:val="24"/>
              </w:rPr>
              <w:t>PDC deposit thickness [cm]</w:t>
            </w:r>
          </w:p>
        </w:tc>
        <w:tc>
          <w:tcPr>
            <w:tcW w:w="2250" w:type="dxa"/>
            <w:tcBorders>
              <w:top w:val="single" w:sz="8" w:space="0" w:color="auto"/>
              <w:left w:val="single" w:sz="8" w:space="0" w:color="auto"/>
              <w:bottom w:val="single" w:sz="8" w:space="0" w:color="auto"/>
              <w:right w:val="single" w:sz="8" w:space="0" w:color="auto"/>
            </w:tcBorders>
          </w:tcPr>
          <w:p w14:paraId="4A9F0324" w14:textId="77777777" w:rsidR="00711ACB" w:rsidRPr="00D15040" w:rsidRDefault="00711ACB" w:rsidP="00236CDC">
            <w:pPr>
              <w:jc w:val="center"/>
              <w:rPr>
                <w:rFonts w:ascii="Times New Roman" w:eastAsia="Times New Roman" w:hAnsi="Times New Roman" w:cs="Times New Roman"/>
                <w:b/>
                <w:bCs/>
                <w:sz w:val="24"/>
                <w:szCs w:val="24"/>
              </w:rPr>
            </w:pPr>
            <w:r w:rsidRPr="00D15040">
              <w:rPr>
                <w:rFonts w:ascii="Times New Roman" w:eastAsia="Times New Roman" w:hAnsi="Times New Roman" w:cs="Times New Roman"/>
                <w:b/>
                <w:bCs/>
                <w:sz w:val="24"/>
                <w:szCs w:val="24"/>
              </w:rPr>
              <w:t>Ashfall deposit thickness [cm]</w:t>
            </w:r>
          </w:p>
        </w:tc>
      </w:tr>
      <w:tr w:rsidR="00711ACB" w:rsidRPr="00D15040" w14:paraId="071FD65B"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5F964439"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090/23</w:t>
            </w:r>
          </w:p>
        </w:tc>
        <w:tc>
          <w:tcPr>
            <w:tcW w:w="2250" w:type="dxa"/>
            <w:tcBorders>
              <w:top w:val="single" w:sz="8" w:space="0" w:color="auto"/>
              <w:left w:val="single" w:sz="8" w:space="0" w:color="auto"/>
              <w:bottom w:val="single" w:sz="8" w:space="0" w:color="auto"/>
              <w:right w:val="single" w:sz="8" w:space="0" w:color="auto"/>
            </w:tcBorders>
          </w:tcPr>
          <w:p w14:paraId="22C41E78"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30.5</w:t>
            </w:r>
          </w:p>
        </w:tc>
        <w:tc>
          <w:tcPr>
            <w:tcW w:w="2250" w:type="dxa"/>
            <w:tcBorders>
              <w:top w:val="single" w:sz="8" w:space="0" w:color="auto"/>
              <w:left w:val="single" w:sz="8" w:space="0" w:color="auto"/>
              <w:bottom w:val="single" w:sz="8" w:space="0" w:color="auto"/>
              <w:right w:val="single" w:sz="8" w:space="0" w:color="auto"/>
            </w:tcBorders>
            <w:vAlign w:val="bottom"/>
          </w:tcPr>
          <w:p w14:paraId="58D19A50"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23</w:t>
            </w:r>
          </w:p>
        </w:tc>
        <w:tc>
          <w:tcPr>
            <w:tcW w:w="2250" w:type="dxa"/>
            <w:tcBorders>
              <w:top w:val="single" w:sz="8" w:space="0" w:color="auto"/>
              <w:left w:val="single" w:sz="8" w:space="0" w:color="auto"/>
              <w:bottom w:val="single" w:sz="8" w:space="0" w:color="auto"/>
              <w:right w:val="single" w:sz="8" w:space="0" w:color="auto"/>
            </w:tcBorders>
          </w:tcPr>
          <w:p w14:paraId="7C19DC28"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7.5</w:t>
            </w:r>
          </w:p>
        </w:tc>
      </w:tr>
      <w:tr w:rsidR="00711ACB" w:rsidRPr="00D15040" w14:paraId="2498E9A7"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6B6F2338"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096/31</w:t>
            </w:r>
          </w:p>
        </w:tc>
        <w:tc>
          <w:tcPr>
            <w:tcW w:w="2250" w:type="dxa"/>
            <w:tcBorders>
              <w:top w:val="single" w:sz="8" w:space="0" w:color="auto"/>
              <w:left w:val="single" w:sz="8" w:space="0" w:color="auto"/>
              <w:bottom w:val="single" w:sz="8" w:space="0" w:color="auto"/>
              <w:right w:val="single" w:sz="8" w:space="0" w:color="auto"/>
            </w:tcBorders>
          </w:tcPr>
          <w:p w14:paraId="21A70418"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48.5</w:t>
            </w:r>
          </w:p>
        </w:tc>
        <w:tc>
          <w:tcPr>
            <w:tcW w:w="2250" w:type="dxa"/>
            <w:tcBorders>
              <w:top w:val="single" w:sz="8" w:space="0" w:color="auto"/>
              <w:left w:val="single" w:sz="8" w:space="0" w:color="auto"/>
              <w:bottom w:val="single" w:sz="8" w:space="0" w:color="auto"/>
              <w:right w:val="single" w:sz="8" w:space="0" w:color="auto"/>
            </w:tcBorders>
            <w:vAlign w:val="bottom"/>
          </w:tcPr>
          <w:p w14:paraId="1F54E42A"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47</w:t>
            </w:r>
          </w:p>
        </w:tc>
        <w:tc>
          <w:tcPr>
            <w:tcW w:w="2250" w:type="dxa"/>
            <w:tcBorders>
              <w:top w:val="single" w:sz="8" w:space="0" w:color="auto"/>
              <w:left w:val="single" w:sz="8" w:space="0" w:color="auto"/>
              <w:bottom w:val="single" w:sz="8" w:space="0" w:color="auto"/>
              <w:right w:val="single" w:sz="8" w:space="0" w:color="auto"/>
            </w:tcBorders>
          </w:tcPr>
          <w:p w14:paraId="16C1D1C3"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1.5</w:t>
            </w:r>
          </w:p>
        </w:tc>
      </w:tr>
      <w:tr w:rsidR="00711ACB" w:rsidRPr="00D15040" w14:paraId="6B979A98"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19486DE8"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022/16</w:t>
            </w:r>
          </w:p>
        </w:tc>
        <w:tc>
          <w:tcPr>
            <w:tcW w:w="2250" w:type="dxa"/>
            <w:tcBorders>
              <w:top w:val="single" w:sz="8" w:space="0" w:color="auto"/>
              <w:left w:val="single" w:sz="8" w:space="0" w:color="auto"/>
              <w:bottom w:val="single" w:sz="8" w:space="0" w:color="auto"/>
              <w:right w:val="single" w:sz="8" w:space="0" w:color="auto"/>
            </w:tcBorders>
          </w:tcPr>
          <w:p w14:paraId="0AAD26A4"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42.5</w:t>
            </w:r>
          </w:p>
        </w:tc>
        <w:tc>
          <w:tcPr>
            <w:tcW w:w="2250" w:type="dxa"/>
            <w:tcBorders>
              <w:top w:val="single" w:sz="8" w:space="0" w:color="auto"/>
              <w:left w:val="single" w:sz="8" w:space="0" w:color="auto"/>
              <w:bottom w:val="single" w:sz="8" w:space="0" w:color="auto"/>
              <w:right w:val="single" w:sz="8" w:space="0" w:color="auto"/>
            </w:tcBorders>
            <w:vAlign w:val="bottom"/>
          </w:tcPr>
          <w:p w14:paraId="2FB00E63"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42</w:t>
            </w:r>
          </w:p>
        </w:tc>
        <w:tc>
          <w:tcPr>
            <w:tcW w:w="2250" w:type="dxa"/>
            <w:tcBorders>
              <w:top w:val="single" w:sz="8" w:space="0" w:color="auto"/>
              <w:left w:val="single" w:sz="8" w:space="0" w:color="auto"/>
              <w:bottom w:val="single" w:sz="8" w:space="0" w:color="auto"/>
              <w:right w:val="single" w:sz="8" w:space="0" w:color="auto"/>
            </w:tcBorders>
          </w:tcPr>
          <w:p w14:paraId="1024B745"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0.5</w:t>
            </w:r>
          </w:p>
        </w:tc>
      </w:tr>
      <w:tr w:rsidR="00711ACB" w:rsidRPr="00D15040" w14:paraId="49BA6B9A"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3212B2D4"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087/21A</w:t>
            </w:r>
          </w:p>
        </w:tc>
        <w:tc>
          <w:tcPr>
            <w:tcW w:w="2250" w:type="dxa"/>
            <w:tcBorders>
              <w:top w:val="single" w:sz="8" w:space="0" w:color="auto"/>
              <w:left w:val="single" w:sz="8" w:space="0" w:color="auto"/>
              <w:bottom w:val="single" w:sz="8" w:space="0" w:color="auto"/>
              <w:right w:val="single" w:sz="8" w:space="0" w:color="auto"/>
            </w:tcBorders>
          </w:tcPr>
          <w:p w14:paraId="1263415D"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&gt;18.5</w:t>
            </w:r>
          </w:p>
        </w:tc>
        <w:tc>
          <w:tcPr>
            <w:tcW w:w="2250" w:type="dxa"/>
            <w:tcBorders>
              <w:top w:val="single" w:sz="8" w:space="0" w:color="auto"/>
              <w:left w:val="single" w:sz="8" w:space="0" w:color="auto"/>
              <w:bottom w:val="single" w:sz="8" w:space="0" w:color="auto"/>
              <w:right w:val="single" w:sz="8" w:space="0" w:color="auto"/>
            </w:tcBorders>
            <w:vAlign w:val="bottom"/>
          </w:tcPr>
          <w:p w14:paraId="04CF582B"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&gt;12.7</w:t>
            </w:r>
          </w:p>
        </w:tc>
        <w:tc>
          <w:tcPr>
            <w:tcW w:w="2250" w:type="dxa"/>
            <w:tcBorders>
              <w:top w:val="single" w:sz="8" w:space="0" w:color="auto"/>
              <w:left w:val="single" w:sz="8" w:space="0" w:color="auto"/>
              <w:bottom w:val="single" w:sz="8" w:space="0" w:color="auto"/>
              <w:right w:val="single" w:sz="8" w:space="0" w:color="auto"/>
            </w:tcBorders>
          </w:tcPr>
          <w:p w14:paraId="217612C2"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5.8</w:t>
            </w:r>
          </w:p>
        </w:tc>
      </w:tr>
      <w:tr w:rsidR="00711ACB" w:rsidRPr="00D15040" w14:paraId="18CD9A60"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0FBEC598"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087/21B</w:t>
            </w:r>
          </w:p>
        </w:tc>
        <w:tc>
          <w:tcPr>
            <w:tcW w:w="2250" w:type="dxa"/>
            <w:tcBorders>
              <w:top w:val="single" w:sz="8" w:space="0" w:color="auto"/>
              <w:left w:val="single" w:sz="8" w:space="0" w:color="auto"/>
              <w:bottom w:val="single" w:sz="8" w:space="0" w:color="auto"/>
              <w:right w:val="single" w:sz="8" w:space="0" w:color="auto"/>
            </w:tcBorders>
          </w:tcPr>
          <w:p w14:paraId="24AF191C"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&gt;19.0</w:t>
            </w:r>
          </w:p>
        </w:tc>
        <w:tc>
          <w:tcPr>
            <w:tcW w:w="2250" w:type="dxa"/>
            <w:tcBorders>
              <w:top w:val="single" w:sz="8" w:space="0" w:color="auto"/>
              <w:left w:val="single" w:sz="8" w:space="0" w:color="auto"/>
              <w:bottom w:val="single" w:sz="8" w:space="0" w:color="auto"/>
              <w:right w:val="single" w:sz="8" w:space="0" w:color="auto"/>
            </w:tcBorders>
            <w:vAlign w:val="bottom"/>
          </w:tcPr>
          <w:p w14:paraId="6C63062F"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&gt;15.9</w:t>
            </w:r>
          </w:p>
        </w:tc>
        <w:tc>
          <w:tcPr>
            <w:tcW w:w="2250" w:type="dxa"/>
            <w:tcBorders>
              <w:top w:val="single" w:sz="8" w:space="0" w:color="auto"/>
              <w:left w:val="single" w:sz="8" w:space="0" w:color="auto"/>
              <w:bottom w:val="single" w:sz="8" w:space="0" w:color="auto"/>
              <w:right w:val="single" w:sz="8" w:space="0" w:color="auto"/>
            </w:tcBorders>
          </w:tcPr>
          <w:p w14:paraId="2DF13010"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3.1</w:t>
            </w:r>
          </w:p>
        </w:tc>
      </w:tr>
      <w:tr w:rsidR="00711ACB" w:rsidRPr="00D15040" w14:paraId="59D5FD41"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22A81012"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083/4</w:t>
            </w:r>
          </w:p>
        </w:tc>
        <w:tc>
          <w:tcPr>
            <w:tcW w:w="2250" w:type="dxa"/>
            <w:tcBorders>
              <w:top w:val="single" w:sz="8" w:space="0" w:color="auto"/>
              <w:left w:val="single" w:sz="8" w:space="0" w:color="auto"/>
              <w:bottom w:val="single" w:sz="8" w:space="0" w:color="auto"/>
              <w:right w:val="single" w:sz="8" w:space="0" w:color="auto"/>
            </w:tcBorders>
          </w:tcPr>
          <w:p w14:paraId="247D490C"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&gt;22.0</w:t>
            </w:r>
          </w:p>
        </w:tc>
        <w:tc>
          <w:tcPr>
            <w:tcW w:w="2250" w:type="dxa"/>
            <w:tcBorders>
              <w:top w:val="single" w:sz="8" w:space="0" w:color="auto"/>
              <w:left w:val="single" w:sz="8" w:space="0" w:color="auto"/>
              <w:bottom w:val="single" w:sz="8" w:space="0" w:color="auto"/>
              <w:right w:val="single" w:sz="8" w:space="0" w:color="auto"/>
            </w:tcBorders>
            <w:vAlign w:val="bottom"/>
          </w:tcPr>
          <w:p w14:paraId="75682846"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&gt;19.0</w:t>
            </w:r>
          </w:p>
        </w:tc>
        <w:tc>
          <w:tcPr>
            <w:tcW w:w="2250" w:type="dxa"/>
            <w:tcBorders>
              <w:top w:val="single" w:sz="8" w:space="0" w:color="auto"/>
              <w:left w:val="single" w:sz="8" w:space="0" w:color="auto"/>
              <w:bottom w:val="single" w:sz="8" w:space="0" w:color="auto"/>
              <w:right w:val="single" w:sz="8" w:space="0" w:color="auto"/>
            </w:tcBorders>
          </w:tcPr>
          <w:p w14:paraId="37DDFA3E"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3.0</w:t>
            </w:r>
          </w:p>
        </w:tc>
      </w:tr>
      <w:tr w:rsidR="00711ACB" w:rsidRPr="00D15040" w14:paraId="400C9CAE"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01619390"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065/30</w:t>
            </w:r>
          </w:p>
        </w:tc>
        <w:tc>
          <w:tcPr>
            <w:tcW w:w="2250" w:type="dxa"/>
            <w:tcBorders>
              <w:top w:val="single" w:sz="8" w:space="0" w:color="auto"/>
              <w:left w:val="single" w:sz="8" w:space="0" w:color="auto"/>
              <w:bottom w:val="single" w:sz="8" w:space="0" w:color="auto"/>
              <w:right w:val="single" w:sz="8" w:space="0" w:color="auto"/>
            </w:tcBorders>
          </w:tcPr>
          <w:p w14:paraId="1766B2D6"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&gt;32.2</w:t>
            </w:r>
          </w:p>
        </w:tc>
        <w:tc>
          <w:tcPr>
            <w:tcW w:w="2250" w:type="dxa"/>
            <w:tcBorders>
              <w:top w:val="single" w:sz="8" w:space="0" w:color="auto"/>
              <w:left w:val="single" w:sz="8" w:space="0" w:color="auto"/>
              <w:bottom w:val="single" w:sz="8" w:space="0" w:color="auto"/>
              <w:right w:val="single" w:sz="8" w:space="0" w:color="auto"/>
            </w:tcBorders>
            <w:vAlign w:val="bottom"/>
          </w:tcPr>
          <w:p w14:paraId="59E78612"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&gt;27.7</w:t>
            </w:r>
          </w:p>
        </w:tc>
        <w:tc>
          <w:tcPr>
            <w:tcW w:w="2250" w:type="dxa"/>
            <w:tcBorders>
              <w:top w:val="single" w:sz="8" w:space="0" w:color="auto"/>
              <w:left w:val="single" w:sz="8" w:space="0" w:color="auto"/>
              <w:bottom w:val="single" w:sz="8" w:space="0" w:color="auto"/>
              <w:right w:val="single" w:sz="8" w:space="0" w:color="auto"/>
            </w:tcBorders>
          </w:tcPr>
          <w:p w14:paraId="220F4D13"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4.5</w:t>
            </w:r>
          </w:p>
        </w:tc>
      </w:tr>
      <w:tr w:rsidR="00711ACB" w:rsidRPr="00D15040" w14:paraId="180FF3B6"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3EE3A3B1"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095/24</w:t>
            </w:r>
          </w:p>
        </w:tc>
        <w:tc>
          <w:tcPr>
            <w:tcW w:w="2250" w:type="dxa"/>
            <w:tcBorders>
              <w:top w:val="single" w:sz="8" w:space="0" w:color="auto"/>
              <w:left w:val="single" w:sz="8" w:space="0" w:color="auto"/>
              <w:bottom w:val="single" w:sz="8" w:space="0" w:color="auto"/>
              <w:right w:val="single" w:sz="8" w:space="0" w:color="auto"/>
            </w:tcBorders>
          </w:tcPr>
          <w:p w14:paraId="3E0B8708"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6.5</w:t>
            </w:r>
          </w:p>
        </w:tc>
        <w:tc>
          <w:tcPr>
            <w:tcW w:w="2250" w:type="dxa"/>
            <w:tcBorders>
              <w:top w:val="single" w:sz="8" w:space="0" w:color="auto"/>
              <w:left w:val="single" w:sz="8" w:space="0" w:color="auto"/>
              <w:bottom w:val="single" w:sz="8" w:space="0" w:color="auto"/>
              <w:right w:val="single" w:sz="8" w:space="0" w:color="auto"/>
            </w:tcBorders>
            <w:vAlign w:val="bottom"/>
          </w:tcPr>
          <w:p w14:paraId="5B480D8E"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4.5</w:t>
            </w:r>
          </w:p>
        </w:tc>
        <w:tc>
          <w:tcPr>
            <w:tcW w:w="2250" w:type="dxa"/>
            <w:tcBorders>
              <w:top w:val="single" w:sz="8" w:space="0" w:color="auto"/>
              <w:left w:val="single" w:sz="8" w:space="0" w:color="auto"/>
              <w:bottom w:val="single" w:sz="8" w:space="0" w:color="auto"/>
              <w:right w:val="single" w:sz="8" w:space="0" w:color="auto"/>
            </w:tcBorders>
          </w:tcPr>
          <w:p w14:paraId="763CDDA5"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2.0</w:t>
            </w:r>
          </w:p>
        </w:tc>
      </w:tr>
      <w:tr w:rsidR="00711ACB" w:rsidRPr="00D15040" w14:paraId="32FB0B0D"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37054ED5"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070/17</w:t>
            </w:r>
          </w:p>
        </w:tc>
        <w:tc>
          <w:tcPr>
            <w:tcW w:w="2250" w:type="dxa"/>
            <w:tcBorders>
              <w:top w:val="single" w:sz="8" w:space="0" w:color="auto"/>
              <w:left w:val="single" w:sz="8" w:space="0" w:color="auto"/>
              <w:bottom w:val="single" w:sz="8" w:space="0" w:color="auto"/>
              <w:right w:val="single" w:sz="8" w:space="0" w:color="auto"/>
            </w:tcBorders>
          </w:tcPr>
          <w:p w14:paraId="61AE0051"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&gt;11.2</w:t>
            </w:r>
          </w:p>
        </w:tc>
        <w:tc>
          <w:tcPr>
            <w:tcW w:w="2250" w:type="dxa"/>
            <w:tcBorders>
              <w:top w:val="single" w:sz="8" w:space="0" w:color="auto"/>
              <w:left w:val="single" w:sz="8" w:space="0" w:color="auto"/>
              <w:bottom w:val="single" w:sz="8" w:space="0" w:color="auto"/>
              <w:right w:val="single" w:sz="8" w:space="0" w:color="auto"/>
            </w:tcBorders>
            <w:vAlign w:val="bottom"/>
          </w:tcPr>
          <w:p w14:paraId="6B4F1371"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&gt;11.2</w:t>
            </w:r>
          </w:p>
        </w:tc>
        <w:tc>
          <w:tcPr>
            <w:tcW w:w="2250" w:type="dxa"/>
            <w:tcBorders>
              <w:top w:val="single" w:sz="8" w:space="0" w:color="auto"/>
              <w:left w:val="single" w:sz="8" w:space="0" w:color="auto"/>
              <w:bottom w:val="single" w:sz="8" w:space="0" w:color="auto"/>
              <w:right w:val="single" w:sz="8" w:space="0" w:color="auto"/>
            </w:tcBorders>
          </w:tcPr>
          <w:p w14:paraId="53A9C518"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Absent</w:t>
            </w:r>
          </w:p>
        </w:tc>
      </w:tr>
      <w:tr w:rsidR="00711ACB" w:rsidRPr="00D15040" w14:paraId="687F6709"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63E3C9B0"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031/20</w:t>
            </w:r>
          </w:p>
        </w:tc>
        <w:tc>
          <w:tcPr>
            <w:tcW w:w="2250" w:type="dxa"/>
            <w:tcBorders>
              <w:top w:val="single" w:sz="8" w:space="0" w:color="auto"/>
              <w:left w:val="single" w:sz="8" w:space="0" w:color="auto"/>
              <w:bottom w:val="single" w:sz="8" w:space="0" w:color="auto"/>
              <w:right w:val="single" w:sz="8" w:space="0" w:color="auto"/>
            </w:tcBorders>
          </w:tcPr>
          <w:p w14:paraId="34BD4838"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&gt;33.8</w:t>
            </w:r>
          </w:p>
        </w:tc>
        <w:tc>
          <w:tcPr>
            <w:tcW w:w="2250" w:type="dxa"/>
            <w:tcBorders>
              <w:top w:val="single" w:sz="8" w:space="0" w:color="auto"/>
              <w:left w:val="single" w:sz="8" w:space="0" w:color="auto"/>
              <w:bottom w:val="single" w:sz="8" w:space="0" w:color="auto"/>
              <w:right w:val="single" w:sz="8" w:space="0" w:color="auto"/>
            </w:tcBorders>
            <w:vAlign w:val="bottom"/>
          </w:tcPr>
          <w:p w14:paraId="5C8859AB"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&gt;32.8</w:t>
            </w:r>
          </w:p>
        </w:tc>
        <w:tc>
          <w:tcPr>
            <w:tcW w:w="2250" w:type="dxa"/>
            <w:tcBorders>
              <w:top w:val="single" w:sz="8" w:space="0" w:color="auto"/>
              <w:left w:val="single" w:sz="8" w:space="0" w:color="auto"/>
              <w:bottom w:val="single" w:sz="8" w:space="0" w:color="auto"/>
              <w:right w:val="single" w:sz="8" w:space="0" w:color="auto"/>
            </w:tcBorders>
          </w:tcPr>
          <w:p w14:paraId="75E4E057"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1.0</w:t>
            </w:r>
          </w:p>
        </w:tc>
      </w:tr>
      <w:tr w:rsidR="00711ACB" w:rsidRPr="00D15040" w14:paraId="19C0A47F"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7AA0A0CD"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036/22</w:t>
            </w:r>
          </w:p>
        </w:tc>
        <w:tc>
          <w:tcPr>
            <w:tcW w:w="2250" w:type="dxa"/>
            <w:tcBorders>
              <w:top w:val="single" w:sz="8" w:space="0" w:color="auto"/>
              <w:left w:val="single" w:sz="8" w:space="0" w:color="auto"/>
              <w:bottom w:val="single" w:sz="8" w:space="0" w:color="auto"/>
              <w:right w:val="single" w:sz="8" w:space="0" w:color="auto"/>
            </w:tcBorders>
          </w:tcPr>
          <w:p w14:paraId="7F45E52F"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38.0</w:t>
            </w:r>
          </w:p>
        </w:tc>
        <w:tc>
          <w:tcPr>
            <w:tcW w:w="2250" w:type="dxa"/>
            <w:tcBorders>
              <w:top w:val="single" w:sz="8" w:space="0" w:color="auto"/>
              <w:left w:val="single" w:sz="8" w:space="0" w:color="auto"/>
              <w:bottom w:val="single" w:sz="8" w:space="0" w:color="auto"/>
              <w:right w:val="single" w:sz="8" w:space="0" w:color="auto"/>
            </w:tcBorders>
            <w:vAlign w:val="bottom"/>
          </w:tcPr>
          <w:p w14:paraId="37764113"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34.0</w:t>
            </w:r>
          </w:p>
        </w:tc>
        <w:tc>
          <w:tcPr>
            <w:tcW w:w="2250" w:type="dxa"/>
            <w:tcBorders>
              <w:top w:val="single" w:sz="8" w:space="0" w:color="auto"/>
              <w:left w:val="single" w:sz="8" w:space="0" w:color="auto"/>
              <w:bottom w:val="single" w:sz="8" w:space="0" w:color="auto"/>
              <w:right w:val="single" w:sz="8" w:space="0" w:color="auto"/>
            </w:tcBorders>
          </w:tcPr>
          <w:p w14:paraId="4EAB3943"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4.0</w:t>
            </w:r>
          </w:p>
        </w:tc>
      </w:tr>
      <w:tr w:rsidR="00711ACB" w:rsidRPr="00D15040" w14:paraId="24BFE356" w14:textId="77777777" w:rsidTr="00236CDC">
        <w:trPr>
          <w:trHeight w:val="300"/>
        </w:trPr>
        <w:tc>
          <w:tcPr>
            <w:tcW w:w="2250" w:type="dxa"/>
            <w:tcBorders>
              <w:top w:val="single" w:sz="8" w:space="0" w:color="auto"/>
              <w:left w:val="single" w:sz="8" w:space="0" w:color="auto"/>
              <w:bottom w:val="single" w:sz="8" w:space="0" w:color="auto"/>
              <w:right w:val="single" w:sz="8" w:space="0" w:color="auto"/>
            </w:tcBorders>
          </w:tcPr>
          <w:p w14:paraId="0E7357DC" w14:textId="77777777" w:rsidR="00711ACB" w:rsidRPr="00D15040" w:rsidRDefault="00711ACB" w:rsidP="00236CDC">
            <w:pPr>
              <w:jc w:val="center"/>
              <w:rPr>
                <w:rFonts w:ascii="Times New Roman" w:eastAsia="Times New Roman" w:hAnsi="Times New Roman" w:cs="Times New Roman"/>
                <w:i/>
                <w:iCs/>
                <w:color w:val="000000" w:themeColor="text1"/>
                <w:sz w:val="24"/>
                <w:szCs w:val="24"/>
              </w:rPr>
            </w:pPr>
            <w:r w:rsidRPr="00D15040">
              <w:rPr>
                <w:rFonts w:ascii="Times New Roman" w:eastAsia="Times New Roman" w:hAnsi="Times New Roman" w:cs="Times New Roman"/>
                <w:i/>
                <w:iCs/>
                <w:color w:val="000000" w:themeColor="text1"/>
                <w:sz w:val="24"/>
                <w:szCs w:val="24"/>
              </w:rPr>
              <w:t>076/18</w:t>
            </w:r>
          </w:p>
        </w:tc>
        <w:tc>
          <w:tcPr>
            <w:tcW w:w="2250" w:type="dxa"/>
            <w:tcBorders>
              <w:top w:val="single" w:sz="8" w:space="0" w:color="auto"/>
              <w:left w:val="single" w:sz="8" w:space="0" w:color="auto"/>
              <w:bottom w:val="single" w:sz="8" w:space="0" w:color="auto"/>
              <w:right w:val="single" w:sz="8" w:space="0" w:color="auto"/>
            </w:tcBorders>
          </w:tcPr>
          <w:p w14:paraId="79FE3D7A"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2.45</w:t>
            </w:r>
          </w:p>
        </w:tc>
        <w:tc>
          <w:tcPr>
            <w:tcW w:w="2250" w:type="dxa"/>
            <w:tcBorders>
              <w:top w:val="single" w:sz="8" w:space="0" w:color="auto"/>
              <w:left w:val="single" w:sz="8" w:space="0" w:color="auto"/>
              <w:bottom w:val="single" w:sz="8" w:space="0" w:color="auto"/>
              <w:right w:val="single" w:sz="8" w:space="0" w:color="auto"/>
            </w:tcBorders>
            <w:vAlign w:val="bottom"/>
          </w:tcPr>
          <w:p w14:paraId="2989781E" w14:textId="77777777" w:rsidR="00711ACB" w:rsidRPr="00D15040" w:rsidRDefault="00711ACB" w:rsidP="00236CDC">
            <w:pPr>
              <w:jc w:val="center"/>
              <w:rPr>
                <w:rFonts w:ascii="Times New Roman" w:eastAsia="Times New Roman" w:hAnsi="Times New Roman" w:cs="Times New Roman"/>
                <w:color w:val="000000" w:themeColor="text1"/>
                <w:sz w:val="24"/>
                <w:szCs w:val="24"/>
              </w:rPr>
            </w:pPr>
            <w:r w:rsidRPr="00D15040">
              <w:rPr>
                <w:rFonts w:ascii="Times New Roman" w:eastAsia="Times New Roman" w:hAnsi="Times New Roman" w:cs="Times New Roman"/>
                <w:color w:val="000000" w:themeColor="text1"/>
                <w:sz w:val="24"/>
                <w:szCs w:val="24"/>
              </w:rPr>
              <w:t>2.45</w:t>
            </w:r>
          </w:p>
        </w:tc>
        <w:tc>
          <w:tcPr>
            <w:tcW w:w="2250" w:type="dxa"/>
            <w:tcBorders>
              <w:top w:val="single" w:sz="8" w:space="0" w:color="auto"/>
              <w:left w:val="single" w:sz="8" w:space="0" w:color="auto"/>
              <w:bottom w:val="single" w:sz="8" w:space="0" w:color="auto"/>
              <w:right w:val="single" w:sz="8" w:space="0" w:color="auto"/>
            </w:tcBorders>
          </w:tcPr>
          <w:p w14:paraId="19D1E80C" w14:textId="77777777" w:rsidR="00711ACB" w:rsidRPr="00D15040" w:rsidRDefault="00711ACB" w:rsidP="00236CDC">
            <w:pPr>
              <w:jc w:val="center"/>
              <w:rPr>
                <w:rFonts w:ascii="Times New Roman" w:eastAsia="Times New Roman" w:hAnsi="Times New Roman" w:cs="Times New Roman"/>
                <w:sz w:val="24"/>
                <w:szCs w:val="24"/>
              </w:rPr>
            </w:pPr>
            <w:r w:rsidRPr="00D15040">
              <w:rPr>
                <w:rFonts w:ascii="Times New Roman" w:eastAsia="Times New Roman" w:hAnsi="Times New Roman" w:cs="Times New Roman"/>
                <w:sz w:val="24"/>
                <w:szCs w:val="24"/>
              </w:rPr>
              <w:t>Absent</w:t>
            </w:r>
          </w:p>
        </w:tc>
      </w:tr>
    </w:tbl>
    <w:p w14:paraId="0650CFC7" w14:textId="6BCFBB6F" w:rsidR="00AE14D3" w:rsidRPr="00D15040" w:rsidRDefault="00AE14D3">
      <w:pPr>
        <w:rPr>
          <w:rStyle w:val="CommentReference"/>
          <w:rFonts w:ascii="Times New Roman" w:hAnsi="Times New Roman" w:cs="Times New Roman"/>
          <w:noProof/>
          <w:sz w:val="24"/>
          <w:szCs w:val="24"/>
        </w:rPr>
      </w:pPr>
    </w:p>
    <w:p w14:paraId="5EE87ECE" w14:textId="77777777" w:rsidR="0038398F" w:rsidRPr="00D15040" w:rsidRDefault="0038398F" w:rsidP="0038398F">
      <w:pPr>
        <w:pStyle w:val="BodyText"/>
        <w:rPr>
          <w:sz w:val="24"/>
          <w:szCs w:val="24"/>
        </w:rPr>
      </w:pPr>
      <w:r w:rsidRPr="00D15040">
        <w:rPr>
          <w:noProof/>
          <w:sz w:val="24"/>
          <w:szCs w:val="24"/>
        </w:rPr>
        <w:lastRenderedPageBreak/>
        <w:drawing>
          <wp:inline distT="0" distB="0" distL="0" distR="0" wp14:anchorId="241756F1" wp14:editId="6B1985CA">
            <wp:extent cx="6027637" cy="7324725"/>
            <wp:effectExtent l="0" t="0" r="0" b="0"/>
            <wp:docPr id="1451545391" name="Picture 1451545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63851" cy="7368732"/>
                    </a:xfrm>
                    <a:prstGeom prst="rect">
                      <a:avLst/>
                    </a:prstGeom>
                  </pic:spPr>
                </pic:pic>
              </a:graphicData>
            </a:graphic>
          </wp:inline>
        </w:drawing>
      </w:r>
    </w:p>
    <w:p w14:paraId="1855868C" w14:textId="47C78141" w:rsidR="0038398F" w:rsidRPr="00D15040" w:rsidRDefault="0038398F" w:rsidP="0038398F">
      <w:pPr>
        <w:pStyle w:val="BodyText"/>
        <w:rPr>
          <w:b/>
          <w:bCs/>
          <w:color w:val="000000" w:themeColor="text1"/>
          <w:sz w:val="24"/>
          <w:szCs w:val="24"/>
        </w:rPr>
      </w:pPr>
      <w:r w:rsidRPr="00D15040">
        <w:rPr>
          <w:b/>
          <w:bCs/>
          <w:color w:val="000000" w:themeColor="text1"/>
          <w:sz w:val="24"/>
          <w:szCs w:val="24"/>
        </w:rPr>
        <w:t>Figure S1</w:t>
      </w:r>
      <w:r w:rsidRPr="00D15040">
        <w:rPr>
          <w:b/>
          <w:bCs/>
          <w:color w:val="000000" w:themeColor="text1"/>
          <w:sz w:val="24"/>
          <w:szCs w:val="24"/>
        </w:rPr>
        <w:t xml:space="preserve">: Representative visual core log from multicore location 90/23, illustrating pre-eruption, pyroclastic density current and ash fall deposits. </w:t>
      </w:r>
    </w:p>
    <w:p w14:paraId="05C48329" w14:textId="77777777" w:rsidR="0038398F" w:rsidRPr="00D15040" w:rsidRDefault="0038398F" w:rsidP="00711ACB">
      <w:pPr>
        <w:rPr>
          <w:rFonts w:ascii="Times New Roman" w:hAnsi="Times New Roman" w:cs="Times New Roman"/>
          <w:b/>
          <w:sz w:val="24"/>
          <w:szCs w:val="24"/>
        </w:rPr>
      </w:pPr>
    </w:p>
    <w:p w14:paraId="0CB32881" w14:textId="77777777" w:rsidR="0038398F" w:rsidRPr="00D15040" w:rsidRDefault="0038398F" w:rsidP="00711ACB">
      <w:pPr>
        <w:rPr>
          <w:rFonts w:ascii="Times New Roman" w:hAnsi="Times New Roman" w:cs="Times New Roman"/>
          <w:b/>
          <w:sz w:val="24"/>
          <w:szCs w:val="24"/>
        </w:rPr>
      </w:pPr>
    </w:p>
    <w:p w14:paraId="4DE276F9" w14:textId="77777777" w:rsidR="0038398F" w:rsidRPr="00D15040" w:rsidRDefault="0038398F" w:rsidP="00711ACB">
      <w:pPr>
        <w:rPr>
          <w:rFonts w:ascii="Times New Roman" w:hAnsi="Times New Roman" w:cs="Times New Roman"/>
          <w:b/>
          <w:sz w:val="24"/>
          <w:szCs w:val="24"/>
        </w:rPr>
      </w:pPr>
    </w:p>
    <w:p w14:paraId="512F3522" w14:textId="77777777" w:rsidR="0038398F" w:rsidRPr="00D15040" w:rsidRDefault="0038398F" w:rsidP="00711ACB">
      <w:pPr>
        <w:rPr>
          <w:rFonts w:ascii="Times New Roman" w:hAnsi="Times New Roman" w:cs="Times New Roman"/>
          <w:b/>
          <w:sz w:val="24"/>
          <w:szCs w:val="24"/>
        </w:rPr>
      </w:pPr>
    </w:p>
    <w:p w14:paraId="586A3D44" w14:textId="55848D9C" w:rsidR="00711ACB" w:rsidRPr="00D15040" w:rsidRDefault="00711ACB" w:rsidP="00711ACB">
      <w:pPr>
        <w:rPr>
          <w:rFonts w:ascii="Times New Roman" w:hAnsi="Times New Roman" w:cs="Times New Roman"/>
          <w:b/>
          <w:sz w:val="24"/>
          <w:szCs w:val="24"/>
        </w:rPr>
      </w:pPr>
      <w:r w:rsidRPr="00D15040">
        <w:rPr>
          <w:rFonts w:ascii="Times New Roman" w:hAnsi="Times New Roman" w:cs="Times New Roman"/>
          <w:b/>
          <w:sz w:val="24"/>
          <w:szCs w:val="24"/>
        </w:rPr>
        <w:t xml:space="preserve">Expanded Geochemical Results </w:t>
      </w:r>
      <w:r w:rsidR="00E07936" w:rsidRPr="00D15040">
        <w:rPr>
          <w:rFonts w:ascii="Times New Roman" w:hAnsi="Times New Roman" w:cs="Times New Roman"/>
          <w:b/>
          <w:sz w:val="24"/>
          <w:szCs w:val="24"/>
        </w:rPr>
        <w:t>(See Supplemental Data 1 for complete data)</w:t>
      </w:r>
    </w:p>
    <w:p w14:paraId="7EBD4C7D" w14:textId="77777777" w:rsidR="00711ACB" w:rsidRPr="00D15040" w:rsidRDefault="00711ACB" w:rsidP="00711ACB">
      <w:pPr>
        <w:rPr>
          <w:rFonts w:ascii="Times New Roman" w:hAnsi="Times New Roman" w:cs="Times New Roman"/>
          <w:i/>
          <w:iCs/>
          <w:sz w:val="24"/>
          <w:szCs w:val="24"/>
        </w:rPr>
      </w:pPr>
      <w:r w:rsidRPr="00D15040">
        <w:rPr>
          <w:rFonts w:ascii="Times New Roman" w:hAnsi="Times New Roman" w:cs="Times New Roman"/>
          <w:i/>
          <w:iCs/>
          <w:sz w:val="24"/>
          <w:szCs w:val="24"/>
        </w:rPr>
        <w:t>Effect of washing submarine ash on major element composition.</w:t>
      </w:r>
    </w:p>
    <w:p w14:paraId="3F2C621A" w14:textId="13FA4CE9" w:rsidR="00711ACB" w:rsidRPr="00D15040" w:rsidRDefault="00711ACB" w:rsidP="00711ACB">
      <w:pPr>
        <w:rPr>
          <w:rFonts w:ascii="Times New Roman" w:hAnsi="Times New Roman" w:cs="Times New Roman"/>
          <w:sz w:val="24"/>
          <w:szCs w:val="24"/>
        </w:rPr>
      </w:pPr>
      <w:r w:rsidRPr="00D15040">
        <w:rPr>
          <w:rFonts w:ascii="Times New Roman" w:hAnsi="Times New Roman" w:cs="Times New Roman"/>
          <w:noProof/>
          <w:sz w:val="24"/>
          <w:szCs w:val="24"/>
        </w:rPr>
        <w:drawing>
          <wp:anchor distT="0" distB="0" distL="114300" distR="114300" simplePos="0" relativeHeight="251658752" behindDoc="0" locked="0" layoutInCell="1" allowOverlap="1" wp14:anchorId="1A6B29D7" wp14:editId="1C30CE43">
            <wp:simplePos x="0" y="0"/>
            <wp:positionH relativeFrom="column">
              <wp:posOffset>162560</wp:posOffset>
            </wp:positionH>
            <wp:positionV relativeFrom="paragraph">
              <wp:posOffset>1472565</wp:posOffset>
            </wp:positionV>
            <wp:extent cx="3284220" cy="27305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6">
                      <a:extLst>
                        <a:ext uri="{28A0092B-C50C-407E-A947-70E740481C1C}">
                          <a14:useLocalDpi xmlns:a14="http://schemas.microsoft.com/office/drawing/2010/main" val="0"/>
                        </a:ext>
                      </a:extLst>
                    </a:blip>
                    <a:srcRect l="11913" t="7822" r="21897" b="14304"/>
                    <a:stretch/>
                  </pic:blipFill>
                  <pic:spPr bwMode="auto">
                    <a:xfrm>
                      <a:off x="0" y="0"/>
                      <a:ext cx="3284220" cy="2730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15040">
        <w:rPr>
          <w:rFonts w:ascii="Times New Roman" w:hAnsi="Times New Roman" w:cs="Times New Roman"/>
          <w:sz w:val="24"/>
          <w:szCs w:val="24"/>
        </w:rPr>
        <w:t xml:space="preserve">The major element composition of sample 90-1 varied depending on the extent of washing the sample had undergone (Figure </w:t>
      </w:r>
      <w:r w:rsidR="00CA7814" w:rsidRPr="00D15040">
        <w:rPr>
          <w:rFonts w:ascii="Times New Roman" w:hAnsi="Times New Roman" w:cs="Times New Roman"/>
          <w:sz w:val="24"/>
          <w:szCs w:val="24"/>
        </w:rPr>
        <w:t>S2</w:t>
      </w:r>
      <w:r w:rsidRPr="00D15040">
        <w:rPr>
          <w:rFonts w:ascii="Times New Roman" w:hAnsi="Times New Roman" w:cs="Times New Roman"/>
          <w:sz w:val="24"/>
          <w:szCs w:val="24"/>
        </w:rPr>
        <w:t xml:space="preserve">, </w:t>
      </w:r>
      <w:r w:rsidR="00CA7814" w:rsidRPr="00D15040">
        <w:rPr>
          <w:rFonts w:ascii="Times New Roman" w:hAnsi="Times New Roman" w:cs="Times New Roman"/>
          <w:sz w:val="24"/>
          <w:szCs w:val="24"/>
        </w:rPr>
        <w:t>Supplementary</w:t>
      </w:r>
      <w:r w:rsidRPr="00D15040">
        <w:rPr>
          <w:rFonts w:ascii="Times New Roman" w:hAnsi="Times New Roman" w:cs="Times New Roman"/>
          <w:sz w:val="24"/>
          <w:szCs w:val="24"/>
        </w:rPr>
        <w:t xml:space="preserve"> </w:t>
      </w:r>
      <w:r w:rsidR="00CA7814" w:rsidRPr="00D15040">
        <w:rPr>
          <w:rFonts w:ascii="Times New Roman" w:hAnsi="Times New Roman" w:cs="Times New Roman"/>
          <w:sz w:val="24"/>
          <w:szCs w:val="24"/>
        </w:rPr>
        <w:t>Data</w:t>
      </w:r>
      <w:r w:rsidRPr="00D15040">
        <w:rPr>
          <w:rFonts w:ascii="Times New Roman" w:hAnsi="Times New Roman" w:cs="Times New Roman"/>
          <w:sz w:val="24"/>
          <w:szCs w:val="24"/>
        </w:rPr>
        <w:t xml:space="preserve"> </w:t>
      </w:r>
      <w:r w:rsidR="00CA7814" w:rsidRPr="00D15040">
        <w:rPr>
          <w:rFonts w:ascii="Times New Roman" w:hAnsi="Times New Roman" w:cs="Times New Roman"/>
          <w:sz w:val="24"/>
          <w:szCs w:val="24"/>
        </w:rPr>
        <w:t>1</w:t>
      </w:r>
      <w:r w:rsidRPr="00D15040">
        <w:rPr>
          <w:rFonts w:ascii="Times New Roman" w:hAnsi="Times New Roman" w:cs="Times New Roman"/>
          <w:sz w:val="24"/>
          <w:szCs w:val="24"/>
        </w:rPr>
        <w:t>). After five days of washing Na</w:t>
      </w:r>
      <w:r w:rsidRPr="00D15040">
        <w:rPr>
          <w:rFonts w:ascii="Times New Roman" w:hAnsi="Times New Roman" w:cs="Times New Roman"/>
          <w:sz w:val="24"/>
          <w:szCs w:val="24"/>
          <w:vertAlign w:val="subscript"/>
        </w:rPr>
        <w:t>2</w:t>
      </w:r>
      <w:r w:rsidRPr="00D15040">
        <w:rPr>
          <w:rFonts w:ascii="Times New Roman" w:hAnsi="Times New Roman" w:cs="Times New Roman"/>
          <w:sz w:val="24"/>
          <w:szCs w:val="24"/>
        </w:rPr>
        <w:t>O contents had almost halved, going from 3.47 wt % in the unwashed sample to 1.86 wt. %. Similarly, Cl and S were excessively high in the unwashed sample (1.4 wt. % and &gt;900 ppm, respectively) although equilibrium was reached after 2 days of washing (~ 0.1 wt. % and ~500 ppm). Due to the high contents of these elements in unwashed samples (and samples only washed for a day) other elements had correspondingly lower totals. The most pronounced effect was on SiO</w:t>
      </w:r>
      <w:r w:rsidRPr="00D15040">
        <w:rPr>
          <w:rFonts w:ascii="Times New Roman" w:hAnsi="Times New Roman" w:cs="Times New Roman"/>
          <w:sz w:val="24"/>
          <w:szCs w:val="24"/>
          <w:vertAlign w:val="subscript"/>
        </w:rPr>
        <w:t>2</w:t>
      </w:r>
      <w:r w:rsidRPr="00D15040">
        <w:rPr>
          <w:rFonts w:ascii="Times New Roman" w:hAnsi="Times New Roman" w:cs="Times New Roman"/>
          <w:sz w:val="24"/>
          <w:szCs w:val="24"/>
        </w:rPr>
        <w:t>, which was ~1.6 wt. % in the fully washed sample compared to the unwashed sample.</w:t>
      </w:r>
    </w:p>
    <w:p w14:paraId="24BC61AE" w14:textId="31F773CE" w:rsidR="00711ACB" w:rsidRPr="00D15040" w:rsidRDefault="00711ACB" w:rsidP="00711ACB">
      <w:pPr>
        <w:rPr>
          <w:rFonts w:ascii="Times New Roman" w:hAnsi="Times New Roman" w:cs="Times New Roman"/>
          <w:sz w:val="24"/>
          <w:szCs w:val="24"/>
        </w:rPr>
      </w:pPr>
      <w:r w:rsidRPr="00410945">
        <w:rPr>
          <w:rFonts w:ascii="Times New Roman" w:hAnsi="Times New Roman" w:cs="Times New Roman"/>
          <w:b/>
          <w:bCs/>
          <w:sz w:val="24"/>
          <w:szCs w:val="24"/>
        </w:rPr>
        <w:t xml:space="preserve">Figure </w:t>
      </w:r>
      <w:r w:rsidR="0038398F" w:rsidRPr="00410945">
        <w:rPr>
          <w:rFonts w:ascii="Times New Roman" w:hAnsi="Times New Roman" w:cs="Times New Roman"/>
          <w:b/>
          <w:bCs/>
          <w:sz w:val="24"/>
          <w:szCs w:val="24"/>
        </w:rPr>
        <w:t>S</w:t>
      </w:r>
      <w:r w:rsidRPr="00410945">
        <w:rPr>
          <w:rFonts w:ascii="Times New Roman" w:hAnsi="Times New Roman" w:cs="Times New Roman"/>
          <w:b/>
          <w:bCs/>
          <w:sz w:val="24"/>
          <w:szCs w:val="24"/>
        </w:rPr>
        <w:t>2: The effect of washing ash samples in distilled water on the chemical composition. Initial Na</w:t>
      </w:r>
      <w:r w:rsidRPr="00410945">
        <w:rPr>
          <w:rFonts w:ascii="Times New Roman" w:hAnsi="Times New Roman" w:cs="Times New Roman"/>
          <w:b/>
          <w:bCs/>
          <w:sz w:val="24"/>
          <w:szCs w:val="24"/>
          <w:vertAlign w:val="subscript"/>
        </w:rPr>
        <w:t>2</w:t>
      </w:r>
      <w:r w:rsidRPr="00410945">
        <w:rPr>
          <w:rFonts w:ascii="Times New Roman" w:hAnsi="Times New Roman" w:cs="Times New Roman"/>
          <w:b/>
          <w:bCs/>
          <w:sz w:val="24"/>
          <w:szCs w:val="24"/>
        </w:rPr>
        <w:t>O, Cl and S values were high in unwashed samples but plateaued after 5 days washing. Conversely SiO</w:t>
      </w:r>
      <w:r w:rsidRPr="00410945">
        <w:rPr>
          <w:rFonts w:ascii="Times New Roman" w:hAnsi="Times New Roman" w:cs="Times New Roman"/>
          <w:b/>
          <w:bCs/>
          <w:sz w:val="24"/>
          <w:szCs w:val="24"/>
          <w:vertAlign w:val="subscript"/>
        </w:rPr>
        <w:t>2</w:t>
      </w:r>
      <w:r w:rsidRPr="00410945">
        <w:rPr>
          <w:rFonts w:ascii="Times New Roman" w:hAnsi="Times New Roman" w:cs="Times New Roman"/>
          <w:b/>
          <w:bCs/>
          <w:sz w:val="24"/>
          <w:szCs w:val="24"/>
        </w:rPr>
        <w:t xml:space="preserve"> significantly increased.</w:t>
      </w:r>
      <w:r w:rsidRPr="00D15040">
        <w:rPr>
          <w:rFonts w:ascii="Times New Roman" w:hAnsi="Times New Roman" w:cs="Times New Roman"/>
          <w:sz w:val="24"/>
          <w:szCs w:val="24"/>
        </w:rPr>
        <w:t xml:space="preserve"> </w:t>
      </w:r>
    </w:p>
    <w:p w14:paraId="69FC08B4" w14:textId="77777777" w:rsidR="00711ACB" w:rsidRPr="00D15040" w:rsidRDefault="00711ACB" w:rsidP="00711ACB">
      <w:pPr>
        <w:rPr>
          <w:rFonts w:ascii="Times New Roman" w:hAnsi="Times New Roman" w:cs="Times New Roman"/>
          <w:sz w:val="24"/>
          <w:szCs w:val="24"/>
        </w:rPr>
      </w:pPr>
    </w:p>
    <w:p w14:paraId="282A18BD" w14:textId="77777777" w:rsidR="00711ACB" w:rsidRPr="00D15040" w:rsidRDefault="00711ACB" w:rsidP="00711ACB">
      <w:pPr>
        <w:rPr>
          <w:rFonts w:ascii="Times New Roman" w:hAnsi="Times New Roman" w:cs="Times New Roman"/>
          <w:sz w:val="24"/>
          <w:szCs w:val="24"/>
        </w:rPr>
      </w:pPr>
    </w:p>
    <w:p w14:paraId="5A66E079" w14:textId="260DAC0B" w:rsidR="00711ACB" w:rsidRDefault="00711ACB" w:rsidP="00711ACB">
      <w:pPr>
        <w:rPr>
          <w:rFonts w:ascii="Times New Roman" w:hAnsi="Times New Roman" w:cs="Times New Roman"/>
          <w:sz w:val="24"/>
          <w:szCs w:val="24"/>
        </w:rPr>
      </w:pPr>
      <w:r w:rsidRPr="00D15040">
        <w:rPr>
          <w:rFonts w:ascii="Times New Roman" w:hAnsi="Times New Roman" w:cs="Times New Roman"/>
          <w:sz w:val="24"/>
          <w:szCs w:val="24"/>
        </w:rPr>
        <w:t xml:space="preserve">These results, for fine ash samples, are consistent with a previous study on whole rock samples undertaken by </w:t>
      </w:r>
      <w:r w:rsidRPr="00D15040">
        <w:rPr>
          <w:rFonts w:ascii="Times New Roman" w:hAnsi="Times New Roman" w:cs="Times New Roman"/>
          <w:sz w:val="24"/>
          <w:szCs w:val="24"/>
          <w:highlight w:val="yellow"/>
        </w:rPr>
        <w:t>Tani et al. (2003)</w:t>
      </w:r>
      <w:r w:rsidRPr="00D15040">
        <w:rPr>
          <w:rFonts w:ascii="Times New Roman" w:hAnsi="Times New Roman" w:cs="Times New Roman"/>
          <w:sz w:val="24"/>
          <w:szCs w:val="24"/>
        </w:rPr>
        <w:t xml:space="preserve"> and highlight the importance of adequately washing submarine samples to remove seawater contaminants.</w:t>
      </w:r>
    </w:p>
    <w:p w14:paraId="61FA9E4F" w14:textId="77777777" w:rsidR="00D15040" w:rsidRPr="00D15040" w:rsidRDefault="00D15040" w:rsidP="00711ACB">
      <w:pPr>
        <w:rPr>
          <w:rFonts w:ascii="Times New Roman" w:hAnsi="Times New Roman" w:cs="Times New Roman"/>
          <w:sz w:val="24"/>
          <w:szCs w:val="24"/>
        </w:rPr>
      </w:pPr>
    </w:p>
    <w:p w14:paraId="37BE5AF9" w14:textId="77777777" w:rsidR="00711ACB" w:rsidRPr="00D15040" w:rsidRDefault="00711ACB" w:rsidP="00711ACB">
      <w:pPr>
        <w:rPr>
          <w:rFonts w:ascii="Times New Roman" w:hAnsi="Times New Roman" w:cs="Times New Roman"/>
          <w:i/>
          <w:iCs/>
          <w:sz w:val="24"/>
          <w:szCs w:val="24"/>
        </w:rPr>
      </w:pPr>
      <w:r w:rsidRPr="00D15040">
        <w:rPr>
          <w:rFonts w:ascii="Times New Roman" w:hAnsi="Times New Roman" w:cs="Times New Roman"/>
          <w:i/>
          <w:iCs/>
          <w:sz w:val="24"/>
          <w:szCs w:val="24"/>
        </w:rPr>
        <w:t>The source of ash in TAN2206 cores.</w:t>
      </w:r>
    </w:p>
    <w:p w14:paraId="1CB4D435" w14:textId="77777777" w:rsidR="00711ACB" w:rsidRPr="00D15040" w:rsidRDefault="00711ACB" w:rsidP="00711ACB">
      <w:pPr>
        <w:rPr>
          <w:rFonts w:ascii="Times New Roman" w:hAnsi="Times New Roman" w:cs="Times New Roman"/>
          <w:sz w:val="24"/>
          <w:szCs w:val="24"/>
        </w:rPr>
      </w:pPr>
      <w:r w:rsidRPr="00D15040">
        <w:rPr>
          <w:rFonts w:ascii="Times New Roman" w:hAnsi="Times New Roman" w:cs="Times New Roman"/>
          <w:sz w:val="24"/>
          <w:szCs w:val="24"/>
        </w:rPr>
        <w:t xml:space="preserve">All core samples analysed are andesitic in composition. Glass shards from ash collected from Tongatapu and those found in CTD casts, overlap in composition with core samples, but range to dacitic in composition. This may be due to higher degrees of fractionation of the glasses, or an artefact of the semi-quantitative nature of the EDS analyses. Nevertheless, all samples have compositions similar to samples from HT-HH reported by </w:t>
      </w:r>
      <w:r w:rsidRPr="00D15040">
        <w:rPr>
          <w:rFonts w:ascii="Times New Roman" w:hAnsi="Times New Roman" w:cs="Times New Roman"/>
          <w:sz w:val="24"/>
          <w:szCs w:val="24"/>
          <w:highlight w:val="yellow"/>
        </w:rPr>
        <w:t>Brenna et al. (2022)</w:t>
      </w:r>
      <w:r w:rsidRPr="00D15040">
        <w:rPr>
          <w:rFonts w:ascii="Times New Roman" w:hAnsi="Times New Roman" w:cs="Times New Roman"/>
          <w:sz w:val="24"/>
          <w:szCs w:val="24"/>
        </w:rPr>
        <w:t xml:space="preserve"> and are distinct from samples analysed from other nearby volcanoes. This is consistent with the TAN2206 samples originating from the 2022 HT-HH eruption, as indicated by seafloor bathymetry and images. </w:t>
      </w:r>
    </w:p>
    <w:p w14:paraId="603DAF3F" w14:textId="77777777" w:rsidR="00711ACB" w:rsidRPr="00D15040" w:rsidRDefault="00711ACB" w:rsidP="00711ACB">
      <w:pPr>
        <w:rPr>
          <w:rFonts w:ascii="Times New Roman" w:hAnsi="Times New Roman" w:cs="Times New Roman"/>
          <w:sz w:val="24"/>
          <w:szCs w:val="24"/>
        </w:rPr>
      </w:pPr>
    </w:p>
    <w:p w14:paraId="3978F45B" w14:textId="77777777" w:rsidR="00711ACB" w:rsidRPr="00D15040" w:rsidRDefault="00711ACB" w:rsidP="00711ACB">
      <w:pPr>
        <w:rPr>
          <w:rFonts w:ascii="Times New Roman" w:hAnsi="Times New Roman" w:cs="Times New Roman"/>
          <w:sz w:val="24"/>
          <w:szCs w:val="24"/>
        </w:rPr>
      </w:pPr>
      <w:r w:rsidRPr="00D15040">
        <w:rPr>
          <w:rFonts w:ascii="Times New Roman" w:hAnsi="Times New Roman" w:cs="Times New Roman"/>
          <w:noProof/>
          <w:sz w:val="24"/>
          <w:szCs w:val="24"/>
        </w:rPr>
        <w:lastRenderedPageBreak/>
        <w:drawing>
          <wp:inline distT="0" distB="0" distL="0" distR="0" wp14:anchorId="1765B0D1" wp14:editId="333CF88D">
            <wp:extent cx="5559552" cy="314021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7">
                      <a:extLst>
                        <a:ext uri="{28A0092B-C50C-407E-A947-70E740481C1C}">
                          <a14:useLocalDpi xmlns:a14="http://schemas.microsoft.com/office/drawing/2010/main" val="0"/>
                        </a:ext>
                      </a:extLst>
                    </a:blip>
                    <a:srcRect l="9740" t="9940" r="6593" b="23183"/>
                    <a:stretch/>
                  </pic:blipFill>
                  <pic:spPr bwMode="auto">
                    <a:xfrm>
                      <a:off x="0" y="0"/>
                      <a:ext cx="5593211" cy="3159227"/>
                    </a:xfrm>
                    <a:prstGeom prst="rect">
                      <a:avLst/>
                    </a:prstGeom>
                    <a:ln>
                      <a:noFill/>
                    </a:ln>
                    <a:extLst>
                      <a:ext uri="{53640926-AAD7-44D8-BBD7-CCE9431645EC}">
                        <a14:shadowObscured xmlns:a14="http://schemas.microsoft.com/office/drawing/2010/main"/>
                      </a:ext>
                    </a:extLst>
                  </pic:spPr>
                </pic:pic>
              </a:graphicData>
            </a:graphic>
          </wp:inline>
        </w:drawing>
      </w:r>
    </w:p>
    <w:p w14:paraId="5843E0E4" w14:textId="393BA29C" w:rsidR="00711ACB" w:rsidRPr="00D15040" w:rsidRDefault="0038398F" w:rsidP="00711ACB">
      <w:pPr>
        <w:rPr>
          <w:rFonts w:ascii="Times New Roman" w:hAnsi="Times New Roman" w:cs="Times New Roman"/>
          <w:sz w:val="24"/>
          <w:szCs w:val="24"/>
        </w:rPr>
      </w:pPr>
      <w:r w:rsidRPr="00410945">
        <w:rPr>
          <w:rFonts w:ascii="Times New Roman" w:hAnsi="Times New Roman" w:cs="Times New Roman"/>
          <w:b/>
          <w:bCs/>
          <w:sz w:val="24"/>
          <w:szCs w:val="24"/>
        </w:rPr>
        <w:t>Figure</w:t>
      </w:r>
      <w:r w:rsidR="00711ACB" w:rsidRPr="00410945">
        <w:rPr>
          <w:rFonts w:ascii="Times New Roman" w:hAnsi="Times New Roman" w:cs="Times New Roman"/>
          <w:b/>
          <w:bCs/>
          <w:sz w:val="24"/>
          <w:szCs w:val="24"/>
        </w:rPr>
        <w:t xml:space="preserve"> </w:t>
      </w:r>
      <w:r w:rsidRPr="00410945">
        <w:rPr>
          <w:rFonts w:ascii="Times New Roman" w:hAnsi="Times New Roman" w:cs="Times New Roman"/>
          <w:b/>
          <w:bCs/>
          <w:sz w:val="24"/>
          <w:szCs w:val="24"/>
        </w:rPr>
        <w:t>S3</w:t>
      </w:r>
      <w:r w:rsidR="00711ACB" w:rsidRPr="00D15040">
        <w:rPr>
          <w:rFonts w:ascii="Times New Roman" w:hAnsi="Times New Roman" w:cs="Times New Roman"/>
          <w:sz w:val="24"/>
          <w:szCs w:val="24"/>
        </w:rPr>
        <w:t>: Major element compositions of core material (T2206 ash) and glass shards from TAN2206 and ash from Tongatapu (T2206 shards) compared to previously published data from HT-HH (Brenna et al., 2022) and surrounding volcanoes: (north to south) Late, Kao, Tofua and Ata (Beier et al., 2017).</w:t>
      </w:r>
    </w:p>
    <w:p w14:paraId="3F177D8B" w14:textId="77777777" w:rsidR="00711ACB" w:rsidRPr="00D15040" w:rsidRDefault="00711ACB" w:rsidP="00711ACB">
      <w:pPr>
        <w:rPr>
          <w:rFonts w:ascii="Times New Roman" w:hAnsi="Times New Roman" w:cs="Times New Roman"/>
          <w:sz w:val="24"/>
          <w:szCs w:val="24"/>
        </w:rPr>
      </w:pPr>
      <w:r w:rsidRPr="00D15040">
        <w:rPr>
          <w:rFonts w:ascii="Times New Roman" w:hAnsi="Times New Roman" w:cs="Times New Roman"/>
          <w:sz w:val="24"/>
          <w:szCs w:val="24"/>
        </w:rPr>
        <w:t>Core samples have a more restricted compositional range than samples from HT-HH analysed by Brenna et al. (2022), which can be explained by their petrological composition. The Brenna et al. (2022) samples are whole rock compositions that show extensive fractionation, whereas TAN2206 samples are mostly fine ash, so are more representative of glass compositions than a mixture of glass and minerals. The exception are the two sandy samples (31-III and 70-Ash), which have a high proportion of felsic material (plagioclase), resulting in higher Al</w:t>
      </w:r>
      <w:r w:rsidRPr="00D15040">
        <w:rPr>
          <w:rFonts w:ascii="Times New Roman" w:hAnsi="Times New Roman" w:cs="Times New Roman"/>
          <w:sz w:val="24"/>
          <w:szCs w:val="24"/>
          <w:vertAlign w:val="subscript"/>
        </w:rPr>
        <w:t>2</w:t>
      </w:r>
      <w:r w:rsidRPr="00D15040">
        <w:rPr>
          <w:rFonts w:ascii="Times New Roman" w:hAnsi="Times New Roman" w:cs="Times New Roman"/>
          <w:sz w:val="24"/>
          <w:szCs w:val="24"/>
        </w:rPr>
        <w:t>O</w:t>
      </w:r>
      <w:r w:rsidRPr="00D15040">
        <w:rPr>
          <w:rFonts w:ascii="Times New Roman" w:hAnsi="Times New Roman" w:cs="Times New Roman"/>
          <w:sz w:val="24"/>
          <w:szCs w:val="24"/>
          <w:vertAlign w:val="subscript"/>
        </w:rPr>
        <w:t>3</w:t>
      </w:r>
      <w:r w:rsidRPr="00D15040">
        <w:rPr>
          <w:rFonts w:ascii="Times New Roman" w:hAnsi="Times New Roman" w:cs="Times New Roman"/>
          <w:sz w:val="24"/>
          <w:szCs w:val="24"/>
        </w:rPr>
        <w:t xml:space="preserve"> and lower Fe2O</w:t>
      </w:r>
      <w:r w:rsidRPr="00D15040">
        <w:rPr>
          <w:rFonts w:ascii="Times New Roman" w:hAnsi="Times New Roman" w:cs="Times New Roman"/>
          <w:sz w:val="24"/>
          <w:szCs w:val="24"/>
          <w:vertAlign w:val="subscript"/>
        </w:rPr>
        <w:t>3</w:t>
      </w:r>
      <w:r w:rsidRPr="00D15040">
        <w:rPr>
          <w:rFonts w:ascii="Times New Roman" w:hAnsi="Times New Roman" w:cs="Times New Roman"/>
          <w:sz w:val="24"/>
          <w:szCs w:val="24"/>
        </w:rPr>
        <w:t xml:space="preserve"> and TiO</w:t>
      </w:r>
      <w:r w:rsidRPr="00D15040">
        <w:rPr>
          <w:rFonts w:ascii="Times New Roman" w:hAnsi="Times New Roman" w:cs="Times New Roman"/>
          <w:sz w:val="24"/>
          <w:szCs w:val="24"/>
          <w:vertAlign w:val="subscript"/>
        </w:rPr>
        <w:t>2</w:t>
      </w:r>
      <w:r w:rsidRPr="00D15040">
        <w:rPr>
          <w:rFonts w:ascii="Times New Roman" w:hAnsi="Times New Roman" w:cs="Times New Roman"/>
          <w:sz w:val="24"/>
          <w:szCs w:val="24"/>
        </w:rPr>
        <w:t xml:space="preserve"> contents.</w:t>
      </w:r>
    </w:p>
    <w:p w14:paraId="03381ADC" w14:textId="77777777" w:rsidR="00711ACB" w:rsidRPr="00D15040" w:rsidRDefault="00711ACB" w:rsidP="00711ACB">
      <w:pPr>
        <w:rPr>
          <w:rFonts w:ascii="Times New Roman" w:hAnsi="Times New Roman" w:cs="Times New Roman"/>
          <w:sz w:val="24"/>
          <w:szCs w:val="24"/>
        </w:rPr>
      </w:pPr>
      <w:r w:rsidRPr="00D15040">
        <w:rPr>
          <w:rFonts w:ascii="Times New Roman" w:hAnsi="Times New Roman" w:cs="Times New Roman"/>
          <w:sz w:val="24"/>
          <w:szCs w:val="24"/>
        </w:rPr>
        <w:t xml:space="preserve">Samples from core 90, representing different depositional phases of the eruptive deposits, have similar compositions, suggesting little chemical variation between the depositional phases. Significantly, the old seafloor sample (90 base) is indistinct from other samples, indicating that previous eruptions from HT-HH also deposited material in this locality. </w:t>
      </w:r>
    </w:p>
    <w:p w14:paraId="496C3CED" w14:textId="77777777" w:rsidR="00711ACB" w:rsidRPr="00D15040" w:rsidRDefault="00711ACB">
      <w:pPr>
        <w:rPr>
          <w:rStyle w:val="CommentReference"/>
          <w:rFonts w:ascii="Times New Roman" w:hAnsi="Times New Roman" w:cs="Times New Roman"/>
          <w:noProof/>
          <w:sz w:val="24"/>
          <w:szCs w:val="24"/>
        </w:rPr>
      </w:pPr>
    </w:p>
    <w:p w14:paraId="58865067" w14:textId="0EEE3949" w:rsidR="00AE14D3" w:rsidRPr="00D15040" w:rsidRDefault="00711ACB">
      <w:pPr>
        <w:rPr>
          <w:rStyle w:val="CommentReference"/>
          <w:rFonts w:ascii="Times New Roman" w:hAnsi="Times New Roman" w:cs="Times New Roman"/>
          <w:noProof/>
          <w:sz w:val="24"/>
          <w:szCs w:val="24"/>
        </w:rPr>
      </w:pPr>
      <w:r w:rsidRPr="00D15040">
        <w:rPr>
          <w:rStyle w:val="CommentReference"/>
          <w:rFonts w:ascii="Times New Roman" w:hAnsi="Times New Roman" w:cs="Times New Roman"/>
          <w:noProof/>
          <w:sz w:val="24"/>
          <w:szCs w:val="24"/>
        </w:rPr>
        <w:lastRenderedPageBreak/>
        <w:drawing>
          <wp:inline distT="0" distB="0" distL="0" distR="0" wp14:anchorId="202D02DC" wp14:editId="20505BDE">
            <wp:extent cx="5731510" cy="4298950"/>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r w:rsidR="00AE14D3" w:rsidRPr="00D15040">
        <w:rPr>
          <w:rStyle w:val="CommentReference"/>
          <w:rFonts w:ascii="Times New Roman" w:hAnsi="Times New Roman" w:cs="Times New Roman"/>
          <w:noProof/>
          <w:sz w:val="24"/>
          <w:szCs w:val="24"/>
        </w:rPr>
        <w:t>Figure S</w:t>
      </w:r>
      <w:r w:rsidR="00E07936" w:rsidRPr="00D15040">
        <w:rPr>
          <w:rStyle w:val="CommentReference"/>
          <w:rFonts w:ascii="Times New Roman" w:hAnsi="Times New Roman" w:cs="Times New Roman"/>
          <w:noProof/>
          <w:sz w:val="24"/>
          <w:szCs w:val="24"/>
        </w:rPr>
        <w:t>4</w:t>
      </w:r>
      <w:r w:rsidR="00AE14D3" w:rsidRPr="00D15040">
        <w:rPr>
          <w:rStyle w:val="CommentReference"/>
          <w:rFonts w:ascii="Times New Roman" w:hAnsi="Times New Roman" w:cs="Times New Roman"/>
          <w:noProof/>
          <w:sz w:val="24"/>
          <w:szCs w:val="24"/>
        </w:rPr>
        <w:t xml:space="preserve">: </w:t>
      </w:r>
      <w:r w:rsidR="00B02BB3" w:rsidRPr="00D15040">
        <w:rPr>
          <w:rStyle w:val="CommentReference"/>
          <w:rFonts w:ascii="Times New Roman" w:hAnsi="Times New Roman" w:cs="Times New Roman"/>
          <w:noProof/>
          <w:sz w:val="24"/>
          <w:szCs w:val="24"/>
        </w:rPr>
        <w:t xml:space="preserve">Satellite image of Hunga Tonga Hunga Ha’apai </w:t>
      </w:r>
      <w:r w:rsidR="00705308" w:rsidRPr="00D15040">
        <w:rPr>
          <w:rStyle w:val="CommentReference"/>
          <w:rFonts w:ascii="Times New Roman" w:hAnsi="Times New Roman" w:cs="Times New Roman"/>
          <w:noProof/>
          <w:sz w:val="24"/>
          <w:szCs w:val="24"/>
        </w:rPr>
        <w:t xml:space="preserve">on 15 January </w:t>
      </w:r>
      <w:r w:rsidR="00B02BB3" w:rsidRPr="00D15040">
        <w:rPr>
          <w:rStyle w:val="CommentReference"/>
          <w:rFonts w:ascii="Times New Roman" w:hAnsi="Times New Roman" w:cs="Times New Roman"/>
          <w:noProof/>
          <w:sz w:val="24"/>
          <w:szCs w:val="24"/>
        </w:rPr>
        <w:t xml:space="preserve">before the </w:t>
      </w:r>
      <w:r w:rsidR="00705308" w:rsidRPr="00D15040">
        <w:rPr>
          <w:rStyle w:val="CommentReference"/>
          <w:rFonts w:ascii="Times New Roman" w:hAnsi="Times New Roman" w:cs="Times New Roman"/>
          <w:noProof/>
          <w:sz w:val="24"/>
          <w:szCs w:val="24"/>
        </w:rPr>
        <w:t xml:space="preserve">largest eruptive event on the evening of 15 January, showing the impact of the 14 January eruption and the centre portion of the island/caldera. Image courtesy of </w:t>
      </w:r>
      <w:r w:rsidR="008E6478" w:rsidRPr="00D15040">
        <w:rPr>
          <w:rStyle w:val="CommentReference"/>
          <w:rFonts w:ascii="Times New Roman" w:hAnsi="Times New Roman" w:cs="Times New Roman"/>
          <w:noProof/>
          <w:sz w:val="24"/>
          <w:szCs w:val="24"/>
        </w:rPr>
        <w:t xml:space="preserve">Tanya Harrison, Planet Labs. </w:t>
      </w:r>
      <w:r w:rsidR="00705308" w:rsidRPr="00D15040">
        <w:rPr>
          <w:rStyle w:val="CommentReference"/>
          <w:rFonts w:ascii="Times New Roman" w:hAnsi="Times New Roman" w:cs="Times New Roman"/>
          <w:noProof/>
          <w:sz w:val="24"/>
          <w:szCs w:val="24"/>
        </w:rPr>
        <w:t xml:space="preserve"> </w:t>
      </w:r>
    </w:p>
    <w:p w14:paraId="31A476C6" w14:textId="77777777" w:rsidR="007959A3" w:rsidRPr="00D15040" w:rsidRDefault="007959A3">
      <w:pPr>
        <w:rPr>
          <w:rStyle w:val="CommentReference"/>
          <w:rFonts w:ascii="Times New Roman" w:hAnsi="Times New Roman" w:cs="Times New Roman"/>
          <w:noProof/>
          <w:sz w:val="24"/>
          <w:szCs w:val="24"/>
        </w:rPr>
      </w:pPr>
    </w:p>
    <w:p w14:paraId="575F7C75" w14:textId="77777777" w:rsidR="007959A3" w:rsidRPr="00D15040" w:rsidRDefault="007959A3">
      <w:pPr>
        <w:rPr>
          <w:rStyle w:val="CommentReference"/>
          <w:rFonts w:ascii="Times New Roman" w:hAnsi="Times New Roman" w:cs="Times New Roman"/>
          <w:noProof/>
          <w:sz w:val="24"/>
          <w:szCs w:val="24"/>
        </w:rPr>
      </w:pPr>
    </w:p>
    <w:p w14:paraId="49AFF78F" w14:textId="77777777" w:rsidR="007959A3" w:rsidRPr="00D15040" w:rsidRDefault="007959A3">
      <w:pPr>
        <w:rPr>
          <w:rStyle w:val="CommentReference"/>
          <w:rFonts w:ascii="Times New Roman" w:hAnsi="Times New Roman" w:cs="Times New Roman"/>
          <w:noProof/>
          <w:sz w:val="24"/>
          <w:szCs w:val="24"/>
        </w:rPr>
      </w:pPr>
    </w:p>
    <w:p w14:paraId="1A6D93E7" w14:textId="77777777" w:rsidR="007959A3" w:rsidRPr="00D15040" w:rsidRDefault="007959A3">
      <w:pPr>
        <w:rPr>
          <w:rStyle w:val="CommentReference"/>
          <w:rFonts w:ascii="Times New Roman" w:hAnsi="Times New Roman" w:cs="Times New Roman"/>
          <w:noProof/>
          <w:sz w:val="24"/>
          <w:szCs w:val="24"/>
        </w:rPr>
      </w:pPr>
    </w:p>
    <w:p w14:paraId="55E73515" w14:textId="77777777" w:rsidR="007959A3" w:rsidRPr="00D15040" w:rsidRDefault="007959A3">
      <w:pPr>
        <w:rPr>
          <w:rStyle w:val="CommentReference"/>
          <w:rFonts w:ascii="Times New Roman" w:hAnsi="Times New Roman" w:cs="Times New Roman"/>
          <w:noProof/>
          <w:sz w:val="24"/>
          <w:szCs w:val="24"/>
        </w:rPr>
      </w:pPr>
    </w:p>
    <w:p w14:paraId="0337E1D1" w14:textId="77777777" w:rsidR="007959A3" w:rsidRPr="00D15040" w:rsidRDefault="007959A3">
      <w:pPr>
        <w:rPr>
          <w:rStyle w:val="CommentReference"/>
          <w:rFonts w:ascii="Times New Roman" w:hAnsi="Times New Roman" w:cs="Times New Roman"/>
          <w:noProof/>
          <w:sz w:val="24"/>
          <w:szCs w:val="24"/>
        </w:rPr>
      </w:pPr>
    </w:p>
    <w:p w14:paraId="29398214" w14:textId="77777777" w:rsidR="007959A3" w:rsidRPr="00D15040" w:rsidRDefault="007959A3">
      <w:pPr>
        <w:rPr>
          <w:rStyle w:val="CommentReference"/>
          <w:rFonts w:ascii="Times New Roman" w:hAnsi="Times New Roman" w:cs="Times New Roman"/>
          <w:noProof/>
          <w:sz w:val="24"/>
          <w:szCs w:val="24"/>
        </w:rPr>
      </w:pPr>
    </w:p>
    <w:p w14:paraId="17A60CF6" w14:textId="77777777" w:rsidR="007959A3" w:rsidRPr="00D15040" w:rsidRDefault="007959A3">
      <w:pPr>
        <w:rPr>
          <w:rStyle w:val="CommentReference"/>
          <w:rFonts w:ascii="Times New Roman" w:hAnsi="Times New Roman" w:cs="Times New Roman"/>
          <w:noProof/>
          <w:sz w:val="24"/>
          <w:szCs w:val="24"/>
        </w:rPr>
      </w:pPr>
    </w:p>
    <w:p w14:paraId="774DA3A9" w14:textId="77777777" w:rsidR="007959A3" w:rsidRPr="00D15040" w:rsidRDefault="007959A3">
      <w:pPr>
        <w:rPr>
          <w:rStyle w:val="CommentReference"/>
          <w:rFonts w:ascii="Times New Roman" w:hAnsi="Times New Roman" w:cs="Times New Roman"/>
          <w:noProof/>
          <w:sz w:val="24"/>
          <w:szCs w:val="24"/>
        </w:rPr>
      </w:pPr>
    </w:p>
    <w:p w14:paraId="3F07AB6F" w14:textId="77777777" w:rsidR="007959A3" w:rsidRPr="00D15040" w:rsidRDefault="007959A3">
      <w:pPr>
        <w:rPr>
          <w:rStyle w:val="CommentReference"/>
          <w:rFonts w:ascii="Times New Roman" w:hAnsi="Times New Roman" w:cs="Times New Roman"/>
          <w:noProof/>
          <w:sz w:val="24"/>
          <w:szCs w:val="24"/>
        </w:rPr>
      </w:pPr>
    </w:p>
    <w:p w14:paraId="11FC5A58" w14:textId="77777777" w:rsidR="007959A3" w:rsidRPr="00D15040" w:rsidRDefault="007959A3">
      <w:pPr>
        <w:rPr>
          <w:rStyle w:val="CommentReference"/>
          <w:rFonts w:ascii="Times New Roman" w:hAnsi="Times New Roman" w:cs="Times New Roman"/>
          <w:noProof/>
          <w:sz w:val="24"/>
          <w:szCs w:val="24"/>
        </w:rPr>
      </w:pPr>
    </w:p>
    <w:p w14:paraId="60F9AEFF" w14:textId="77777777" w:rsidR="007959A3" w:rsidRPr="00D15040" w:rsidRDefault="007959A3">
      <w:pPr>
        <w:rPr>
          <w:rStyle w:val="CommentReference"/>
          <w:rFonts w:ascii="Times New Roman" w:hAnsi="Times New Roman" w:cs="Times New Roman"/>
          <w:noProof/>
          <w:sz w:val="24"/>
          <w:szCs w:val="24"/>
        </w:rPr>
      </w:pPr>
    </w:p>
    <w:p w14:paraId="5D65FE29" w14:textId="77777777" w:rsidR="007959A3" w:rsidRPr="00D15040" w:rsidRDefault="007959A3">
      <w:pPr>
        <w:rPr>
          <w:rStyle w:val="CommentReference"/>
          <w:rFonts w:ascii="Times New Roman" w:hAnsi="Times New Roman" w:cs="Times New Roman"/>
          <w:noProof/>
          <w:sz w:val="24"/>
          <w:szCs w:val="24"/>
        </w:rPr>
      </w:pPr>
    </w:p>
    <w:p w14:paraId="6B1ABB64" w14:textId="5382411D" w:rsidR="007959A3" w:rsidRPr="00D15040" w:rsidRDefault="0090720D">
      <w:pPr>
        <w:rPr>
          <w:rStyle w:val="CommentReference"/>
          <w:rFonts w:ascii="Times New Roman" w:hAnsi="Times New Roman" w:cs="Times New Roman"/>
          <w:noProof/>
          <w:sz w:val="24"/>
          <w:szCs w:val="24"/>
        </w:rPr>
      </w:pPr>
      <w:r w:rsidRPr="00D15040">
        <w:rPr>
          <w:rStyle w:val="CommentReference"/>
          <w:rFonts w:ascii="Times New Roman" w:hAnsi="Times New Roman" w:cs="Times New Roman"/>
          <w:noProof/>
          <w:sz w:val="24"/>
          <w:szCs w:val="24"/>
        </w:rPr>
        <w:lastRenderedPageBreak/>
        <w:drawing>
          <wp:inline distT="0" distB="0" distL="0" distR="0" wp14:anchorId="28EF58AB" wp14:editId="6B4BBC43">
            <wp:extent cx="5724525" cy="52673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4525" cy="5267325"/>
                    </a:xfrm>
                    <a:prstGeom prst="rect">
                      <a:avLst/>
                    </a:prstGeom>
                    <a:noFill/>
                    <a:ln>
                      <a:noFill/>
                    </a:ln>
                  </pic:spPr>
                </pic:pic>
              </a:graphicData>
            </a:graphic>
          </wp:inline>
        </w:drawing>
      </w:r>
    </w:p>
    <w:p w14:paraId="71FFD042" w14:textId="1887B8DE" w:rsidR="0081173A" w:rsidRPr="00D15040" w:rsidRDefault="0090720D">
      <w:pPr>
        <w:rPr>
          <w:rStyle w:val="CommentReference"/>
          <w:rFonts w:ascii="Times New Roman" w:hAnsi="Times New Roman" w:cs="Times New Roman"/>
          <w:noProof/>
          <w:sz w:val="24"/>
          <w:szCs w:val="24"/>
        </w:rPr>
      </w:pPr>
      <w:r w:rsidRPr="00D15040">
        <w:rPr>
          <w:rStyle w:val="CommentReference"/>
          <w:rFonts w:ascii="Times New Roman" w:hAnsi="Times New Roman" w:cs="Times New Roman"/>
          <w:noProof/>
          <w:sz w:val="24"/>
          <w:szCs w:val="24"/>
        </w:rPr>
        <w:t>Figure S</w:t>
      </w:r>
      <w:r w:rsidR="00E07936" w:rsidRPr="00D15040">
        <w:rPr>
          <w:rStyle w:val="CommentReference"/>
          <w:rFonts w:ascii="Times New Roman" w:hAnsi="Times New Roman" w:cs="Times New Roman"/>
          <w:noProof/>
          <w:sz w:val="24"/>
          <w:szCs w:val="24"/>
        </w:rPr>
        <w:t>5</w:t>
      </w:r>
      <w:r w:rsidRPr="00D15040">
        <w:rPr>
          <w:rStyle w:val="CommentReference"/>
          <w:rFonts w:ascii="Times New Roman" w:hAnsi="Times New Roman" w:cs="Times New Roman"/>
          <w:noProof/>
          <w:sz w:val="24"/>
          <w:szCs w:val="24"/>
        </w:rPr>
        <w:t xml:space="preserve">: Select </w:t>
      </w:r>
      <w:r w:rsidR="0081398E" w:rsidRPr="00D15040">
        <w:rPr>
          <w:rStyle w:val="CommentReference"/>
          <w:rFonts w:ascii="Times New Roman" w:hAnsi="Times New Roman" w:cs="Times New Roman"/>
          <w:noProof/>
          <w:sz w:val="24"/>
          <w:szCs w:val="24"/>
        </w:rPr>
        <w:t xml:space="preserve">images of the Pyroclastic Density Current (PDC) model intreprated in Figures 2 and 3, and given in Supplemental Video 1. </w:t>
      </w:r>
      <w:r w:rsidR="00D918A6" w:rsidRPr="00D15040">
        <w:rPr>
          <w:rStyle w:val="CommentReference"/>
          <w:rFonts w:ascii="Times New Roman" w:hAnsi="Times New Roman" w:cs="Times New Roman"/>
          <w:noProof/>
          <w:sz w:val="24"/>
          <w:szCs w:val="24"/>
        </w:rPr>
        <w:t>(t=time in model run</w:t>
      </w:r>
      <w:r w:rsidR="006A4E19" w:rsidRPr="00D15040">
        <w:rPr>
          <w:rStyle w:val="CommentReference"/>
          <w:rFonts w:ascii="Times New Roman" w:hAnsi="Times New Roman" w:cs="Times New Roman"/>
          <w:noProof/>
          <w:sz w:val="24"/>
          <w:szCs w:val="24"/>
        </w:rPr>
        <w:t xml:space="preserve">) </w:t>
      </w:r>
      <w:r w:rsidR="00D918A6" w:rsidRPr="00D15040">
        <w:rPr>
          <w:rStyle w:val="CommentReference"/>
          <w:rFonts w:ascii="Times New Roman" w:hAnsi="Times New Roman" w:cs="Times New Roman"/>
          <w:noProof/>
          <w:sz w:val="24"/>
          <w:szCs w:val="24"/>
        </w:rPr>
        <w:t xml:space="preserve"> </w:t>
      </w:r>
    </w:p>
    <w:p w14:paraId="3062E4EF" w14:textId="396D7779" w:rsidR="00BE5F43" w:rsidRPr="00D15040" w:rsidRDefault="00E354BB">
      <w:pPr>
        <w:rPr>
          <w:rStyle w:val="CommentReference"/>
          <w:rFonts w:ascii="Times New Roman" w:hAnsi="Times New Roman" w:cs="Times New Roman"/>
          <w:sz w:val="24"/>
          <w:szCs w:val="24"/>
        </w:rPr>
      </w:pPr>
      <w:r w:rsidRPr="00D15040">
        <w:rPr>
          <w:rStyle w:val="CommentReference"/>
          <w:rFonts w:ascii="Times New Roman" w:hAnsi="Times New Roman" w:cs="Times New Roman"/>
          <w:noProof/>
          <w:sz w:val="24"/>
          <w:szCs w:val="24"/>
        </w:rPr>
        <w:lastRenderedPageBreak/>
        <w:drawing>
          <wp:inline distT="0" distB="0" distL="0" distR="0" wp14:anchorId="510138E0" wp14:editId="0EBB1050">
            <wp:extent cx="5724525" cy="44005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4525" cy="4400550"/>
                    </a:xfrm>
                    <a:prstGeom prst="rect">
                      <a:avLst/>
                    </a:prstGeom>
                    <a:noFill/>
                    <a:ln>
                      <a:noFill/>
                    </a:ln>
                  </pic:spPr>
                </pic:pic>
              </a:graphicData>
            </a:graphic>
          </wp:inline>
        </w:drawing>
      </w:r>
    </w:p>
    <w:p w14:paraId="25F6E2DC" w14:textId="0C46BE6E" w:rsidR="00BE5F43" w:rsidRPr="00D15040" w:rsidRDefault="00982BF3">
      <w:pPr>
        <w:rPr>
          <w:rStyle w:val="CommentReference"/>
          <w:rFonts w:ascii="Times New Roman" w:hAnsi="Times New Roman" w:cs="Times New Roman"/>
          <w:sz w:val="24"/>
          <w:szCs w:val="24"/>
        </w:rPr>
      </w:pPr>
      <w:r w:rsidRPr="00D15040">
        <w:rPr>
          <w:rStyle w:val="CommentReference"/>
          <w:rFonts w:ascii="Times New Roman" w:hAnsi="Times New Roman" w:cs="Times New Roman"/>
          <w:sz w:val="24"/>
          <w:szCs w:val="24"/>
        </w:rPr>
        <w:t>Figure S</w:t>
      </w:r>
      <w:r w:rsidR="00E07936" w:rsidRPr="00D15040">
        <w:rPr>
          <w:rStyle w:val="CommentReference"/>
          <w:rFonts w:ascii="Times New Roman" w:hAnsi="Times New Roman" w:cs="Times New Roman"/>
          <w:sz w:val="24"/>
          <w:szCs w:val="24"/>
        </w:rPr>
        <w:t>6</w:t>
      </w:r>
      <w:r w:rsidRPr="00D15040">
        <w:rPr>
          <w:rStyle w:val="CommentReference"/>
          <w:rFonts w:ascii="Times New Roman" w:hAnsi="Times New Roman" w:cs="Times New Roman"/>
          <w:sz w:val="24"/>
          <w:szCs w:val="24"/>
        </w:rPr>
        <w:t xml:space="preserve">: Map of study region with station numbers indicated, which correlate to the station numbers given </w:t>
      </w:r>
      <w:r w:rsidR="009C7830" w:rsidRPr="00D15040">
        <w:rPr>
          <w:rStyle w:val="CommentReference"/>
          <w:rFonts w:ascii="Times New Roman" w:hAnsi="Times New Roman" w:cs="Times New Roman"/>
          <w:sz w:val="24"/>
          <w:szCs w:val="24"/>
        </w:rPr>
        <w:t>in</w:t>
      </w:r>
      <w:r w:rsidR="00112D6D" w:rsidRPr="00D15040">
        <w:rPr>
          <w:rStyle w:val="CommentReference"/>
          <w:rFonts w:ascii="Times New Roman" w:hAnsi="Times New Roman" w:cs="Times New Roman"/>
          <w:sz w:val="24"/>
          <w:szCs w:val="24"/>
        </w:rPr>
        <w:t xml:space="preserve"> the</w:t>
      </w:r>
      <w:r w:rsidR="009C7830" w:rsidRPr="00D15040">
        <w:rPr>
          <w:rStyle w:val="CommentReference"/>
          <w:rFonts w:ascii="Times New Roman" w:hAnsi="Times New Roman" w:cs="Times New Roman"/>
          <w:sz w:val="24"/>
          <w:szCs w:val="24"/>
        </w:rPr>
        <w:t xml:space="preserve"> included tables and figures</w:t>
      </w:r>
      <w:r w:rsidR="00112D6D" w:rsidRPr="00D15040">
        <w:rPr>
          <w:rStyle w:val="CommentReference"/>
          <w:rFonts w:ascii="Times New Roman" w:hAnsi="Times New Roman" w:cs="Times New Roman"/>
          <w:sz w:val="24"/>
          <w:szCs w:val="24"/>
        </w:rPr>
        <w:t xml:space="preserve"> below, as well as additional supplementary tables</w:t>
      </w:r>
      <w:r w:rsidR="009C7830" w:rsidRPr="00D15040">
        <w:rPr>
          <w:rStyle w:val="CommentReference"/>
          <w:rFonts w:ascii="Times New Roman" w:hAnsi="Times New Roman" w:cs="Times New Roman"/>
          <w:sz w:val="24"/>
          <w:szCs w:val="24"/>
        </w:rPr>
        <w:t xml:space="preserve">. </w:t>
      </w:r>
    </w:p>
    <w:p w14:paraId="7417281A" w14:textId="77777777" w:rsidR="00BE5F43" w:rsidRPr="00D15040" w:rsidRDefault="00BE5F43">
      <w:pPr>
        <w:rPr>
          <w:rStyle w:val="CommentReference"/>
          <w:rFonts w:ascii="Times New Roman" w:hAnsi="Times New Roman" w:cs="Times New Roman"/>
          <w:sz w:val="24"/>
          <w:szCs w:val="24"/>
        </w:rPr>
      </w:pPr>
    </w:p>
    <w:p w14:paraId="3A0D75FE" w14:textId="0B69C780" w:rsidR="00711AAC" w:rsidRPr="00D15040" w:rsidRDefault="00711AAC">
      <w:pPr>
        <w:rPr>
          <w:rFonts w:ascii="Times New Roman" w:hAnsi="Times New Roman" w:cs="Times New Roman"/>
          <w:sz w:val="24"/>
          <w:szCs w:val="24"/>
        </w:rPr>
      </w:pPr>
      <w:r w:rsidRPr="00D15040">
        <w:rPr>
          <w:rFonts w:ascii="Times New Roman" w:hAnsi="Times New Roman" w:cs="Times New Roman"/>
          <w:noProof/>
          <w:sz w:val="24"/>
          <w:szCs w:val="24"/>
        </w:rPr>
        <w:lastRenderedPageBreak/>
        <w:drawing>
          <wp:inline distT="0" distB="0" distL="0" distR="0" wp14:anchorId="722504D3" wp14:editId="3EEB84F7">
            <wp:extent cx="2181123" cy="57626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88140" cy="5781163"/>
                    </a:xfrm>
                    <a:prstGeom prst="rect">
                      <a:avLst/>
                    </a:prstGeom>
                    <a:noFill/>
                    <a:ln>
                      <a:noFill/>
                    </a:ln>
                  </pic:spPr>
                </pic:pic>
              </a:graphicData>
            </a:graphic>
          </wp:inline>
        </w:drawing>
      </w:r>
      <w:r w:rsidR="000E0A78" w:rsidRPr="00D15040">
        <w:rPr>
          <w:rFonts w:ascii="Times New Roman" w:hAnsi="Times New Roman" w:cs="Times New Roman"/>
          <w:noProof/>
          <w:sz w:val="24"/>
          <w:szCs w:val="24"/>
        </w:rPr>
        <w:drawing>
          <wp:inline distT="0" distB="0" distL="0" distR="0" wp14:anchorId="4256299C" wp14:editId="2C9B2A8C">
            <wp:extent cx="2932843" cy="5809285"/>
            <wp:effectExtent l="0" t="0" r="127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44608" cy="5832588"/>
                    </a:xfrm>
                    <a:prstGeom prst="rect">
                      <a:avLst/>
                    </a:prstGeom>
                    <a:noFill/>
                    <a:ln>
                      <a:noFill/>
                    </a:ln>
                  </pic:spPr>
                </pic:pic>
              </a:graphicData>
            </a:graphic>
          </wp:inline>
        </w:drawing>
      </w:r>
    </w:p>
    <w:p w14:paraId="3AB68B2B" w14:textId="431D10E5" w:rsidR="001609B5" w:rsidRPr="00D15040" w:rsidRDefault="00C26B44">
      <w:pPr>
        <w:rPr>
          <w:rFonts w:ascii="Times New Roman" w:hAnsi="Times New Roman" w:cs="Times New Roman"/>
          <w:sz w:val="24"/>
          <w:szCs w:val="24"/>
        </w:rPr>
      </w:pPr>
      <w:r w:rsidRPr="00D15040">
        <w:rPr>
          <w:rFonts w:ascii="Times New Roman" w:hAnsi="Times New Roman" w:cs="Times New Roman"/>
          <w:sz w:val="24"/>
          <w:szCs w:val="24"/>
        </w:rPr>
        <w:t xml:space="preserve">Figure </w:t>
      </w:r>
      <w:r w:rsidR="00E00DB9" w:rsidRPr="00D15040">
        <w:rPr>
          <w:rFonts w:ascii="Times New Roman" w:hAnsi="Times New Roman" w:cs="Times New Roman"/>
          <w:sz w:val="24"/>
          <w:szCs w:val="24"/>
        </w:rPr>
        <w:t>S</w:t>
      </w:r>
      <w:r w:rsidR="00E07936" w:rsidRPr="00D15040">
        <w:rPr>
          <w:rFonts w:ascii="Times New Roman" w:hAnsi="Times New Roman" w:cs="Times New Roman"/>
          <w:sz w:val="24"/>
          <w:szCs w:val="24"/>
        </w:rPr>
        <w:t>7</w:t>
      </w:r>
      <w:r w:rsidRPr="00D15040">
        <w:rPr>
          <w:rFonts w:ascii="Times New Roman" w:hAnsi="Times New Roman" w:cs="Times New Roman"/>
          <w:sz w:val="24"/>
          <w:szCs w:val="24"/>
        </w:rPr>
        <w:t>:</w:t>
      </w:r>
      <w:r w:rsidR="00E354BB" w:rsidRPr="00D15040">
        <w:rPr>
          <w:rFonts w:ascii="Times New Roman" w:hAnsi="Times New Roman" w:cs="Times New Roman"/>
          <w:sz w:val="24"/>
          <w:szCs w:val="24"/>
        </w:rPr>
        <w:t xml:space="preserve"> Images from the DTIS </w:t>
      </w:r>
      <w:r w:rsidR="007C587A" w:rsidRPr="00D15040">
        <w:rPr>
          <w:rFonts w:ascii="Times New Roman" w:hAnsi="Times New Roman" w:cs="Times New Roman"/>
          <w:sz w:val="24"/>
          <w:szCs w:val="24"/>
        </w:rPr>
        <w:t xml:space="preserve">along the Southwest and Southeast gradient sites, with </w:t>
      </w:r>
      <w:r w:rsidR="00F90257" w:rsidRPr="00D15040">
        <w:rPr>
          <w:rFonts w:ascii="Times New Roman" w:hAnsi="Times New Roman" w:cs="Times New Roman"/>
          <w:sz w:val="24"/>
          <w:szCs w:val="24"/>
        </w:rPr>
        <w:t>Station numbers correlated to Figure S</w:t>
      </w:r>
      <w:r w:rsidR="007A1642" w:rsidRPr="00D15040">
        <w:rPr>
          <w:rFonts w:ascii="Times New Roman" w:hAnsi="Times New Roman" w:cs="Times New Roman"/>
          <w:sz w:val="24"/>
          <w:szCs w:val="24"/>
        </w:rPr>
        <w:t>6</w:t>
      </w:r>
      <w:r w:rsidR="00F90257" w:rsidRPr="00D15040">
        <w:rPr>
          <w:rFonts w:ascii="Times New Roman" w:hAnsi="Times New Roman" w:cs="Times New Roman"/>
          <w:sz w:val="24"/>
          <w:szCs w:val="24"/>
        </w:rPr>
        <w:t xml:space="preserve"> indicated.</w:t>
      </w:r>
      <w:r w:rsidR="003A40D9">
        <w:rPr>
          <w:rFonts w:ascii="Times New Roman" w:hAnsi="Times New Roman" w:cs="Times New Roman"/>
          <w:sz w:val="24"/>
          <w:szCs w:val="24"/>
        </w:rPr>
        <w:t xml:space="preserve"> These regions are interpreted as being regions of PDC deposition.</w:t>
      </w:r>
      <w:r w:rsidR="00F90257" w:rsidRPr="00D15040">
        <w:rPr>
          <w:rFonts w:ascii="Times New Roman" w:hAnsi="Times New Roman" w:cs="Times New Roman"/>
          <w:sz w:val="24"/>
          <w:szCs w:val="24"/>
        </w:rPr>
        <w:t xml:space="preserve"> </w:t>
      </w:r>
      <w:r w:rsidR="003365B1" w:rsidRPr="00D15040">
        <w:rPr>
          <w:rFonts w:ascii="Times New Roman" w:hAnsi="Times New Roman" w:cs="Times New Roman"/>
          <w:sz w:val="24"/>
          <w:szCs w:val="24"/>
        </w:rPr>
        <w:t xml:space="preserve">Seafloor ripples were obvious extending across both gradient sites, with fine ashfall over rocky terrain also seen. </w:t>
      </w:r>
    </w:p>
    <w:p w14:paraId="5EE4BD2E" w14:textId="23A656E9" w:rsidR="001609B5" w:rsidRPr="00D15040" w:rsidRDefault="001609B5">
      <w:pPr>
        <w:rPr>
          <w:rFonts w:ascii="Times New Roman" w:hAnsi="Times New Roman" w:cs="Times New Roman"/>
          <w:sz w:val="24"/>
          <w:szCs w:val="24"/>
        </w:rPr>
      </w:pPr>
      <w:r w:rsidRPr="00D15040">
        <w:rPr>
          <w:rFonts w:ascii="Times New Roman" w:hAnsi="Times New Roman" w:cs="Times New Roman"/>
          <w:noProof/>
          <w:sz w:val="24"/>
          <w:szCs w:val="24"/>
        </w:rPr>
        <w:lastRenderedPageBreak/>
        <w:drawing>
          <wp:inline distT="0" distB="0" distL="0" distR="0" wp14:anchorId="5B513585" wp14:editId="4971891F">
            <wp:extent cx="5734050" cy="3848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4050" cy="3848100"/>
                    </a:xfrm>
                    <a:prstGeom prst="rect">
                      <a:avLst/>
                    </a:prstGeom>
                    <a:noFill/>
                    <a:ln>
                      <a:noFill/>
                    </a:ln>
                  </pic:spPr>
                </pic:pic>
              </a:graphicData>
            </a:graphic>
          </wp:inline>
        </w:drawing>
      </w:r>
    </w:p>
    <w:p w14:paraId="65890528" w14:textId="0BCA3E6A" w:rsidR="000E0A78" w:rsidRPr="00D15040" w:rsidRDefault="00F90257">
      <w:pPr>
        <w:rPr>
          <w:rFonts w:ascii="Times New Roman" w:hAnsi="Times New Roman" w:cs="Times New Roman"/>
          <w:sz w:val="24"/>
          <w:szCs w:val="24"/>
        </w:rPr>
      </w:pPr>
      <w:r w:rsidRPr="00D15040">
        <w:rPr>
          <w:rFonts w:ascii="Times New Roman" w:hAnsi="Times New Roman" w:cs="Times New Roman"/>
          <w:sz w:val="24"/>
          <w:szCs w:val="24"/>
        </w:rPr>
        <w:t>Figure S</w:t>
      </w:r>
      <w:r w:rsidR="00E07936" w:rsidRPr="00D15040">
        <w:rPr>
          <w:rFonts w:ascii="Times New Roman" w:hAnsi="Times New Roman" w:cs="Times New Roman"/>
          <w:sz w:val="24"/>
          <w:szCs w:val="24"/>
        </w:rPr>
        <w:t>8</w:t>
      </w:r>
      <w:r w:rsidR="00C26B44" w:rsidRPr="00D15040">
        <w:rPr>
          <w:rFonts w:ascii="Times New Roman" w:hAnsi="Times New Roman" w:cs="Times New Roman"/>
          <w:sz w:val="24"/>
          <w:szCs w:val="24"/>
        </w:rPr>
        <w:t>:</w:t>
      </w:r>
      <w:r w:rsidRPr="00D15040">
        <w:rPr>
          <w:rFonts w:ascii="Times New Roman" w:hAnsi="Times New Roman" w:cs="Times New Roman"/>
          <w:sz w:val="24"/>
          <w:szCs w:val="24"/>
        </w:rPr>
        <w:t xml:space="preserve"> Images from the DTIS along the flanks of Hunga Volcano, with station numbers correlating to Figure S</w:t>
      </w:r>
      <w:r w:rsidR="007A1642" w:rsidRPr="00D15040">
        <w:rPr>
          <w:rFonts w:ascii="Times New Roman" w:hAnsi="Times New Roman" w:cs="Times New Roman"/>
          <w:sz w:val="24"/>
          <w:szCs w:val="24"/>
        </w:rPr>
        <w:t>6</w:t>
      </w:r>
      <w:r w:rsidRPr="00D15040">
        <w:rPr>
          <w:rFonts w:ascii="Times New Roman" w:hAnsi="Times New Roman" w:cs="Times New Roman"/>
          <w:sz w:val="24"/>
          <w:szCs w:val="24"/>
        </w:rPr>
        <w:t xml:space="preserve"> indicated. </w:t>
      </w:r>
      <w:r w:rsidR="00C26B44" w:rsidRPr="00D15040">
        <w:rPr>
          <w:rFonts w:ascii="Times New Roman" w:hAnsi="Times New Roman" w:cs="Times New Roman"/>
          <w:sz w:val="24"/>
          <w:szCs w:val="24"/>
        </w:rPr>
        <w:t xml:space="preserve"> </w:t>
      </w:r>
    </w:p>
    <w:p w14:paraId="5974913E" w14:textId="3F60EAA8" w:rsidR="000E0A78" w:rsidRPr="00D15040" w:rsidRDefault="000E0A78">
      <w:pPr>
        <w:rPr>
          <w:rFonts w:ascii="Times New Roman" w:hAnsi="Times New Roman" w:cs="Times New Roman"/>
          <w:sz w:val="24"/>
          <w:szCs w:val="24"/>
        </w:rPr>
      </w:pPr>
    </w:p>
    <w:p w14:paraId="041709D9" w14:textId="674C135C" w:rsidR="001609B5" w:rsidRPr="00D15040" w:rsidRDefault="00C26B44">
      <w:pPr>
        <w:rPr>
          <w:rFonts w:ascii="Times New Roman" w:hAnsi="Times New Roman" w:cs="Times New Roman"/>
          <w:sz w:val="24"/>
          <w:szCs w:val="24"/>
        </w:rPr>
      </w:pPr>
      <w:r w:rsidRPr="00D15040">
        <w:rPr>
          <w:rFonts w:ascii="Times New Roman" w:hAnsi="Times New Roman" w:cs="Times New Roman"/>
          <w:noProof/>
          <w:sz w:val="24"/>
          <w:szCs w:val="24"/>
        </w:rPr>
        <w:drawing>
          <wp:inline distT="0" distB="0" distL="0" distR="0" wp14:anchorId="3FFCB9AE" wp14:editId="0E0DAF80">
            <wp:extent cx="5715000" cy="24860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15000" cy="2486025"/>
                    </a:xfrm>
                    <a:prstGeom prst="rect">
                      <a:avLst/>
                    </a:prstGeom>
                    <a:noFill/>
                    <a:ln>
                      <a:noFill/>
                    </a:ln>
                  </pic:spPr>
                </pic:pic>
              </a:graphicData>
            </a:graphic>
          </wp:inline>
        </w:drawing>
      </w:r>
    </w:p>
    <w:p w14:paraId="6C8FA3BC" w14:textId="46ED3FD8" w:rsidR="00C26B44" w:rsidRPr="00D15040" w:rsidRDefault="00C26B44">
      <w:pPr>
        <w:rPr>
          <w:rFonts w:ascii="Times New Roman" w:hAnsi="Times New Roman" w:cs="Times New Roman"/>
          <w:sz w:val="24"/>
          <w:szCs w:val="24"/>
        </w:rPr>
      </w:pPr>
      <w:r w:rsidRPr="00D15040">
        <w:rPr>
          <w:rFonts w:ascii="Times New Roman" w:hAnsi="Times New Roman" w:cs="Times New Roman"/>
          <w:sz w:val="24"/>
          <w:szCs w:val="24"/>
        </w:rPr>
        <w:t xml:space="preserve">Figure </w:t>
      </w:r>
      <w:r w:rsidR="00E07936" w:rsidRPr="00D15040">
        <w:rPr>
          <w:rFonts w:ascii="Times New Roman" w:hAnsi="Times New Roman" w:cs="Times New Roman"/>
          <w:sz w:val="24"/>
          <w:szCs w:val="24"/>
        </w:rPr>
        <w:t>S9</w:t>
      </w:r>
      <w:r w:rsidRPr="00D15040">
        <w:rPr>
          <w:rFonts w:ascii="Times New Roman" w:hAnsi="Times New Roman" w:cs="Times New Roman"/>
          <w:sz w:val="24"/>
          <w:szCs w:val="24"/>
        </w:rPr>
        <w:t>:</w:t>
      </w:r>
      <w:r w:rsidR="00A13A94" w:rsidRPr="00D15040">
        <w:rPr>
          <w:rFonts w:ascii="Times New Roman" w:hAnsi="Times New Roman" w:cs="Times New Roman"/>
          <w:sz w:val="24"/>
          <w:szCs w:val="24"/>
        </w:rPr>
        <w:t xml:space="preserve"> Seafloor images from</w:t>
      </w:r>
      <w:r w:rsidR="00E07936" w:rsidRPr="00D15040">
        <w:rPr>
          <w:rFonts w:ascii="Times New Roman" w:hAnsi="Times New Roman" w:cs="Times New Roman"/>
          <w:sz w:val="24"/>
          <w:szCs w:val="24"/>
        </w:rPr>
        <w:t xml:space="preserve"> DTIS from</w:t>
      </w:r>
      <w:r w:rsidR="00A13A94" w:rsidRPr="00D15040">
        <w:rPr>
          <w:rFonts w:ascii="Times New Roman" w:hAnsi="Times New Roman" w:cs="Times New Roman"/>
          <w:sz w:val="24"/>
          <w:szCs w:val="24"/>
        </w:rPr>
        <w:t xml:space="preserve"> three seamounts in the region</w:t>
      </w:r>
      <w:r w:rsidR="00166BCA" w:rsidRPr="00D15040">
        <w:rPr>
          <w:rFonts w:ascii="Times New Roman" w:hAnsi="Times New Roman" w:cs="Times New Roman"/>
          <w:sz w:val="24"/>
          <w:szCs w:val="24"/>
        </w:rPr>
        <w:t xml:space="preserve">. </w:t>
      </w:r>
      <w:r w:rsidR="007A1642" w:rsidRPr="00D15040">
        <w:rPr>
          <w:rFonts w:ascii="Times New Roman" w:hAnsi="Times New Roman" w:cs="Times New Roman"/>
          <w:sz w:val="24"/>
          <w:szCs w:val="24"/>
        </w:rPr>
        <w:t>Station numbers correlate to those indicated in Figure S6.</w:t>
      </w:r>
      <w:r w:rsidR="000B5CFA" w:rsidRPr="00D15040">
        <w:rPr>
          <w:rFonts w:ascii="Times New Roman" w:hAnsi="Times New Roman" w:cs="Times New Roman"/>
          <w:sz w:val="24"/>
          <w:szCs w:val="24"/>
        </w:rPr>
        <w:t xml:space="preserve"> Deep sea corals and other invertebrates can be seen, as well as microbial mats, the mussel bed found by Falkor in 201</w:t>
      </w:r>
      <w:r w:rsidR="00E07936" w:rsidRPr="00D15040">
        <w:rPr>
          <w:rFonts w:ascii="Times New Roman" w:hAnsi="Times New Roman" w:cs="Times New Roman"/>
          <w:sz w:val="24"/>
          <w:szCs w:val="24"/>
        </w:rPr>
        <w:t>7</w:t>
      </w:r>
      <w:r w:rsidR="000B5CFA" w:rsidRPr="00D15040">
        <w:rPr>
          <w:rFonts w:ascii="Times New Roman" w:hAnsi="Times New Roman" w:cs="Times New Roman"/>
          <w:sz w:val="24"/>
          <w:szCs w:val="24"/>
        </w:rPr>
        <w:t xml:space="preserve">, and a </w:t>
      </w:r>
      <w:r w:rsidR="00D91C7B" w:rsidRPr="00D15040">
        <w:rPr>
          <w:rFonts w:ascii="Times New Roman" w:hAnsi="Times New Roman" w:cs="Times New Roman"/>
          <w:sz w:val="24"/>
          <w:szCs w:val="24"/>
        </w:rPr>
        <w:t xml:space="preserve">chimney structure. </w:t>
      </w:r>
      <w:r w:rsidR="000B5CFA" w:rsidRPr="00D15040">
        <w:rPr>
          <w:rFonts w:ascii="Times New Roman" w:hAnsi="Times New Roman" w:cs="Times New Roman"/>
          <w:sz w:val="24"/>
          <w:szCs w:val="24"/>
        </w:rPr>
        <w:t xml:space="preserve"> </w:t>
      </w:r>
    </w:p>
    <w:p w14:paraId="581E6AEE" w14:textId="7ECF7013" w:rsidR="005537ED" w:rsidRPr="00D15040" w:rsidRDefault="00594461">
      <w:pPr>
        <w:rPr>
          <w:rFonts w:ascii="Times New Roman" w:hAnsi="Times New Roman" w:cs="Times New Roman"/>
          <w:sz w:val="24"/>
          <w:szCs w:val="24"/>
        </w:rPr>
      </w:pPr>
      <w:r w:rsidRPr="00D15040">
        <w:rPr>
          <w:rFonts w:ascii="Times New Roman" w:hAnsi="Times New Roman" w:cs="Times New Roman"/>
          <w:noProof/>
          <w:sz w:val="24"/>
          <w:szCs w:val="24"/>
        </w:rPr>
        <w:lastRenderedPageBreak/>
        <w:drawing>
          <wp:inline distT="0" distB="0" distL="0" distR="0" wp14:anchorId="0D8F8481" wp14:editId="5685FE35">
            <wp:extent cx="5724525" cy="74104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4525" cy="7410450"/>
                    </a:xfrm>
                    <a:prstGeom prst="rect">
                      <a:avLst/>
                    </a:prstGeom>
                    <a:noFill/>
                    <a:ln>
                      <a:noFill/>
                    </a:ln>
                  </pic:spPr>
                </pic:pic>
              </a:graphicData>
            </a:graphic>
          </wp:inline>
        </w:drawing>
      </w:r>
      <w:r w:rsidR="00E07936" w:rsidRPr="00D15040">
        <w:rPr>
          <w:rFonts w:ascii="Times New Roman" w:hAnsi="Times New Roman" w:cs="Times New Roman"/>
          <w:sz w:val="24"/>
          <w:szCs w:val="24"/>
        </w:rPr>
        <w:t>Figure S10</w:t>
      </w:r>
      <w:r w:rsidR="005537ED" w:rsidRPr="00D15040">
        <w:rPr>
          <w:rFonts w:ascii="Times New Roman" w:hAnsi="Times New Roman" w:cs="Times New Roman"/>
          <w:sz w:val="24"/>
          <w:szCs w:val="24"/>
        </w:rPr>
        <w:t>:</w:t>
      </w:r>
      <w:r w:rsidR="00073356">
        <w:rPr>
          <w:rFonts w:ascii="Times New Roman" w:hAnsi="Times New Roman" w:cs="Times New Roman"/>
          <w:sz w:val="24"/>
          <w:szCs w:val="24"/>
        </w:rPr>
        <w:t xml:space="preserve"> </w:t>
      </w:r>
      <w:r w:rsidR="005537ED" w:rsidRPr="00D15040">
        <w:rPr>
          <w:rFonts w:ascii="Times New Roman" w:hAnsi="Times New Roman" w:cs="Times New Roman"/>
          <w:sz w:val="24"/>
          <w:szCs w:val="24"/>
        </w:rPr>
        <w:t xml:space="preserve"> </w:t>
      </w:r>
      <w:r w:rsidR="00155F77">
        <w:rPr>
          <w:rFonts w:ascii="Times New Roman" w:hAnsi="Times New Roman" w:cs="Times New Roman"/>
          <w:sz w:val="24"/>
          <w:szCs w:val="24"/>
        </w:rPr>
        <w:t xml:space="preserve">Top left: </w:t>
      </w:r>
      <w:r w:rsidR="007834A4">
        <w:rPr>
          <w:rFonts w:ascii="Times New Roman" w:hAnsi="Times New Roman" w:cs="Times New Roman"/>
          <w:sz w:val="24"/>
          <w:szCs w:val="24"/>
        </w:rPr>
        <w:t>images of the CTD in the water column, above, within, and below the midwater ash layer. Top right: The corresponding high turbidity layer is shown</w:t>
      </w:r>
      <w:r w:rsidR="0015189F">
        <w:rPr>
          <w:rFonts w:ascii="Times New Roman" w:hAnsi="Times New Roman" w:cs="Times New Roman"/>
          <w:sz w:val="24"/>
          <w:szCs w:val="24"/>
        </w:rPr>
        <w:t xml:space="preserve"> with a vertical cross section of the water column, a lower % beam transmission corresponds to more particles in the water column. Bottom left: a map of the region with dots colored by the intensity of the beam transmission of the CTD. </w:t>
      </w:r>
      <w:r w:rsidR="001D01B6">
        <w:rPr>
          <w:rFonts w:ascii="Times New Roman" w:hAnsi="Times New Roman" w:cs="Times New Roman"/>
          <w:sz w:val="24"/>
          <w:szCs w:val="24"/>
        </w:rPr>
        <w:t xml:space="preserve">Bottom right: water column acoustics indicating a gas or particle plume on the caldera rim, with the location indicated. </w:t>
      </w:r>
    </w:p>
    <w:p w14:paraId="3DF72FA7" w14:textId="4EEBFF58" w:rsidR="00236A33" w:rsidRPr="00D15040" w:rsidRDefault="00236A33">
      <w:pPr>
        <w:rPr>
          <w:rFonts w:ascii="Times New Roman" w:hAnsi="Times New Roman" w:cs="Times New Roman"/>
          <w:sz w:val="24"/>
          <w:szCs w:val="24"/>
        </w:rPr>
      </w:pPr>
    </w:p>
    <w:p w14:paraId="4EAFBF77" w14:textId="475112AB" w:rsidR="00236A33" w:rsidRPr="00D15040" w:rsidRDefault="00236A33">
      <w:pPr>
        <w:rPr>
          <w:rFonts w:ascii="Times New Roman" w:hAnsi="Times New Roman" w:cs="Times New Roman"/>
          <w:sz w:val="24"/>
          <w:szCs w:val="24"/>
        </w:rPr>
      </w:pPr>
    </w:p>
    <w:p w14:paraId="6C09B496" w14:textId="2927BF05" w:rsidR="000A0152" w:rsidRPr="00D15040" w:rsidRDefault="000A0152" w:rsidP="000A0152">
      <w:pPr>
        <w:rPr>
          <w:rFonts w:ascii="Times New Roman" w:hAnsi="Times New Roman" w:cs="Times New Roman"/>
          <w:b/>
          <w:sz w:val="24"/>
          <w:szCs w:val="24"/>
        </w:rPr>
      </w:pPr>
      <w:r w:rsidRPr="00D15040">
        <w:rPr>
          <w:rFonts w:ascii="Times New Roman" w:hAnsi="Times New Roman" w:cs="Times New Roman"/>
          <w:b/>
          <w:sz w:val="24"/>
          <w:szCs w:val="24"/>
        </w:rPr>
        <w:t>References</w:t>
      </w:r>
    </w:p>
    <w:p w14:paraId="04EE2150" w14:textId="009E8E7A" w:rsidR="000A0152" w:rsidRPr="00D15040" w:rsidRDefault="000A0152" w:rsidP="000A0152">
      <w:pPr>
        <w:rPr>
          <w:rFonts w:ascii="Times New Roman" w:hAnsi="Times New Roman" w:cs="Times New Roman"/>
          <w:sz w:val="24"/>
          <w:szCs w:val="24"/>
        </w:rPr>
      </w:pPr>
      <w:r w:rsidRPr="00D15040">
        <w:rPr>
          <w:rFonts w:ascii="Times New Roman" w:hAnsi="Times New Roman" w:cs="Times New Roman"/>
          <w:sz w:val="24"/>
          <w:szCs w:val="24"/>
        </w:rPr>
        <w:t xml:space="preserve">Beier C., Turner, S.P., Haase, K.M., Pearce, J.A., Munker C., Regelous, M., 2017. Trace element and isotope geochemistry of the northern and central Tongan Islands with an emphasis on the genesis of high Nb/Ta signatures at the northern volcanoes of Tafahi and Niuatoputapu. </w:t>
      </w:r>
      <w:bookmarkStart w:id="0" w:name="OLE_LINK1"/>
      <w:r w:rsidRPr="00D15040">
        <w:rPr>
          <w:rFonts w:ascii="Times New Roman" w:hAnsi="Times New Roman" w:cs="Times New Roman"/>
          <w:sz w:val="24"/>
          <w:szCs w:val="24"/>
        </w:rPr>
        <w:t xml:space="preserve">Journal of Petrology </w:t>
      </w:r>
      <w:bookmarkEnd w:id="0"/>
      <w:r w:rsidRPr="00D15040">
        <w:rPr>
          <w:rFonts w:ascii="Times New Roman" w:hAnsi="Times New Roman" w:cs="Times New Roman"/>
          <w:sz w:val="24"/>
          <w:szCs w:val="24"/>
        </w:rPr>
        <w:t>58, 1073-1106. doi: 10.1093/petrology/egx047</w:t>
      </w:r>
    </w:p>
    <w:p w14:paraId="6A24AE3D" w14:textId="26B3A0B2" w:rsidR="000A0152" w:rsidRPr="00D15040" w:rsidRDefault="000A0152" w:rsidP="00E07936">
      <w:pPr>
        <w:rPr>
          <w:rFonts w:ascii="Times New Roman" w:hAnsi="Times New Roman" w:cs="Times New Roman"/>
          <w:sz w:val="24"/>
          <w:szCs w:val="24"/>
          <w:lang w:val="en-AU"/>
        </w:rPr>
      </w:pPr>
      <w:r w:rsidRPr="00D15040">
        <w:rPr>
          <w:rFonts w:ascii="Times New Roman" w:hAnsi="Times New Roman" w:cs="Times New Roman"/>
          <w:sz w:val="24"/>
          <w:szCs w:val="24"/>
        </w:rPr>
        <w:t>Brenna, M., Cronin, S.J., Smith, I.E.M., Pontesilli, A., Tost, M., Barker, S., Tonga’onevai, S., Kula, T., Vaimounga, R., 2022.</w:t>
      </w:r>
      <w:r w:rsidRPr="00D15040">
        <w:rPr>
          <w:rFonts w:ascii="Times New Roman" w:hAnsi="Times New Roman" w:cs="Times New Roman"/>
          <w:b/>
          <w:bCs/>
          <w:sz w:val="24"/>
          <w:szCs w:val="24"/>
        </w:rPr>
        <w:t xml:space="preserve"> </w:t>
      </w:r>
      <w:r w:rsidRPr="00D15040">
        <w:rPr>
          <w:rFonts w:ascii="Times New Roman" w:hAnsi="Times New Roman" w:cs="Times New Roman"/>
          <w:sz w:val="24"/>
          <w:szCs w:val="24"/>
        </w:rPr>
        <w:t>Post-caldera volcanism reveals shallow priming of an intra-ocean arc andesitic caldera: Hunga volcano, Tonga, SW Pacific. Lithos 412-413 (106614). doi: 10.1016/j.lithos.2022.106614</w:t>
      </w:r>
    </w:p>
    <w:p w14:paraId="7AAC4960" w14:textId="77777777" w:rsidR="009A78D8" w:rsidRPr="009A78D8" w:rsidRDefault="009A78D8" w:rsidP="009A78D8">
      <w:pPr>
        <w:rPr>
          <w:rFonts w:ascii="Times New Roman" w:hAnsi="Times New Roman" w:cs="Times New Roman"/>
          <w:sz w:val="24"/>
          <w:szCs w:val="24"/>
        </w:rPr>
      </w:pPr>
      <w:r w:rsidRPr="009A78D8">
        <w:rPr>
          <w:rFonts w:ascii="Times New Roman" w:hAnsi="Times New Roman" w:cs="Times New Roman"/>
          <w:sz w:val="24"/>
          <w:szCs w:val="24"/>
        </w:rPr>
        <w:t xml:space="preserve">Tani, K., Kawabata, H., Chang, Q., Sato, K. &amp; Tatsumi, Y., 2003. Quantitative analyses of silicate rock major and trace elements by X-ray fluorescence spectrometer: Evaluation of analytical precision and sample preparation. </w:t>
      </w:r>
      <w:r w:rsidRPr="009A78D8">
        <w:rPr>
          <w:rFonts w:ascii="Times New Roman" w:hAnsi="Times New Roman" w:cs="Times New Roman"/>
          <w:i/>
          <w:iCs/>
          <w:sz w:val="24"/>
          <w:szCs w:val="24"/>
        </w:rPr>
        <w:t>Frontier Research on Earth Evolution</w:t>
      </w:r>
      <w:r w:rsidRPr="009A78D8">
        <w:rPr>
          <w:rFonts w:ascii="Times New Roman" w:hAnsi="Times New Roman" w:cs="Times New Roman"/>
          <w:sz w:val="24"/>
          <w:szCs w:val="24"/>
        </w:rPr>
        <w:t xml:space="preserve"> 2, Article 2-16, 8 pp.</w:t>
      </w:r>
    </w:p>
    <w:p w14:paraId="0A1CFEED" w14:textId="4151D02E" w:rsidR="00236A33" w:rsidRPr="00D15040" w:rsidRDefault="00236A33" w:rsidP="009A78D8">
      <w:pPr>
        <w:rPr>
          <w:rFonts w:ascii="Times New Roman" w:hAnsi="Times New Roman" w:cs="Times New Roman"/>
          <w:sz w:val="24"/>
          <w:szCs w:val="24"/>
        </w:rPr>
      </w:pPr>
    </w:p>
    <w:sectPr w:rsidR="00236A33" w:rsidRPr="00D15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D84"/>
    <w:rsid w:val="00073356"/>
    <w:rsid w:val="000A0152"/>
    <w:rsid w:val="000B5CFA"/>
    <w:rsid w:val="000C3056"/>
    <w:rsid w:val="000E0A78"/>
    <w:rsid w:val="00112D6D"/>
    <w:rsid w:val="0015189F"/>
    <w:rsid w:val="00155F77"/>
    <w:rsid w:val="001609B5"/>
    <w:rsid w:val="00166BCA"/>
    <w:rsid w:val="00193F36"/>
    <w:rsid w:val="001D01B6"/>
    <w:rsid w:val="00236A33"/>
    <w:rsid w:val="0026445F"/>
    <w:rsid w:val="00297013"/>
    <w:rsid w:val="00305184"/>
    <w:rsid w:val="003365B1"/>
    <w:rsid w:val="0037252E"/>
    <w:rsid w:val="0038398F"/>
    <w:rsid w:val="003A40D9"/>
    <w:rsid w:val="003D1BA5"/>
    <w:rsid w:val="003D3927"/>
    <w:rsid w:val="00410945"/>
    <w:rsid w:val="00415FFE"/>
    <w:rsid w:val="005537ED"/>
    <w:rsid w:val="00594461"/>
    <w:rsid w:val="005A2E4E"/>
    <w:rsid w:val="005A7F58"/>
    <w:rsid w:val="006A4E19"/>
    <w:rsid w:val="006F0B96"/>
    <w:rsid w:val="006F22F5"/>
    <w:rsid w:val="00705308"/>
    <w:rsid w:val="00711AAC"/>
    <w:rsid w:val="00711ACB"/>
    <w:rsid w:val="00755445"/>
    <w:rsid w:val="00765AF1"/>
    <w:rsid w:val="007834A4"/>
    <w:rsid w:val="007959A3"/>
    <w:rsid w:val="007A1642"/>
    <w:rsid w:val="007A70E9"/>
    <w:rsid w:val="007B5FC3"/>
    <w:rsid w:val="007C587A"/>
    <w:rsid w:val="0081047D"/>
    <w:rsid w:val="0081173A"/>
    <w:rsid w:val="0081398E"/>
    <w:rsid w:val="00864A10"/>
    <w:rsid w:val="008A1F20"/>
    <w:rsid w:val="008B0D84"/>
    <w:rsid w:val="008E5446"/>
    <w:rsid w:val="008E6478"/>
    <w:rsid w:val="008F5117"/>
    <w:rsid w:val="0090720D"/>
    <w:rsid w:val="00960025"/>
    <w:rsid w:val="00982BF3"/>
    <w:rsid w:val="009A5E5F"/>
    <w:rsid w:val="009A78D8"/>
    <w:rsid w:val="009C7830"/>
    <w:rsid w:val="009E798F"/>
    <w:rsid w:val="00A13A94"/>
    <w:rsid w:val="00AA5215"/>
    <w:rsid w:val="00AC24B6"/>
    <w:rsid w:val="00AE04C3"/>
    <w:rsid w:val="00AE14D3"/>
    <w:rsid w:val="00B02BB3"/>
    <w:rsid w:val="00B17D83"/>
    <w:rsid w:val="00B2117C"/>
    <w:rsid w:val="00B26404"/>
    <w:rsid w:val="00BE5F43"/>
    <w:rsid w:val="00C26B44"/>
    <w:rsid w:val="00CA7814"/>
    <w:rsid w:val="00D15040"/>
    <w:rsid w:val="00D918A6"/>
    <w:rsid w:val="00D91C7B"/>
    <w:rsid w:val="00E00DB9"/>
    <w:rsid w:val="00E07936"/>
    <w:rsid w:val="00E31DF0"/>
    <w:rsid w:val="00E354BB"/>
    <w:rsid w:val="00E611D7"/>
    <w:rsid w:val="00EF6DF0"/>
    <w:rsid w:val="00F21AD8"/>
    <w:rsid w:val="00F51EE2"/>
    <w:rsid w:val="00F6169D"/>
    <w:rsid w:val="00F90257"/>
    <w:rsid w:val="00FA4295"/>
    <w:rsid w:val="00FB7C0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8608F"/>
  <w15:chartTrackingRefBased/>
  <w15:docId w15:val="{248DDE55-EBD7-490B-99C6-4D71E5D85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93F36"/>
    <w:rPr>
      <w:sz w:val="16"/>
      <w:szCs w:val="16"/>
    </w:rPr>
  </w:style>
  <w:style w:type="paragraph" w:styleId="CommentText">
    <w:name w:val="annotation text"/>
    <w:basedOn w:val="Normal"/>
    <w:link w:val="CommentTextChar"/>
    <w:uiPriority w:val="99"/>
    <w:unhideWhenUsed/>
    <w:rsid w:val="00193F36"/>
    <w:pPr>
      <w:spacing w:line="240" w:lineRule="auto"/>
    </w:pPr>
    <w:rPr>
      <w:sz w:val="20"/>
      <w:szCs w:val="20"/>
    </w:rPr>
  </w:style>
  <w:style w:type="character" w:customStyle="1" w:styleId="CommentTextChar">
    <w:name w:val="Comment Text Char"/>
    <w:basedOn w:val="DefaultParagraphFont"/>
    <w:link w:val="CommentText"/>
    <w:uiPriority w:val="99"/>
    <w:rsid w:val="00193F36"/>
    <w:rPr>
      <w:sz w:val="20"/>
      <w:szCs w:val="20"/>
    </w:rPr>
  </w:style>
  <w:style w:type="paragraph" w:styleId="CommentSubject">
    <w:name w:val="annotation subject"/>
    <w:basedOn w:val="CommentText"/>
    <w:next w:val="CommentText"/>
    <w:link w:val="CommentSubjectChar"/>
    <w:uiPriority w:val="99"/>
    <w:semiHidden/>
    <w:unhideWhenUsed/>
    <w:rsid w:val="00193F36"/>
    <w:rPr>
      <w:b/>
      <w:bCs/>
    </w:rPr>
  </w:style>
  <w:style w:type="character" w:customStyle="1" w:styleId="CommentSubjectChar">
    <w:name w:val="Comment Subject Char"/>
    <w:basedOn w:val="CommentTextChar"/>
    <w:link w:val="CommentSubject"/>
    <w:uiPriority w:val="99"/>
    <w:semiHidden/>
    <w:rsid w:val="00193F36"/>
    <w:rPr>
      <w:b/>
      <w:bCs/>
      <w:sz w:val="20"/>
      <w:szCs w:val="20"/>
    </w:rPr>
  </w:style>
  <w:style w:type="paragraph" w:styleId="BodyText">
    <w:name w:val="Body Text"/>
    <w:basedOn w:val="Normal"/>
    <w:link w:val="BodyTextChar"/>
    <w:unhideWhenUsed/>
    <w:rsid w:val="008E5446"/>
    <w:pPr>
      <w:spacing w:after="12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rsid w:val="008E5446"/>
    <w:rPr>
      <w:rFonts w:ascii="Times New Roman" w:eastAsia="Times New Roman" w:hAnsi="Times New Roman" w:cs="Times New Roman"/>
      <w:szCs w:val="20"/>
    </w:rPr>
  </w:style>
  <w:style w:type="table" w:styleId="TableGrid">
    <w:name w:val="Table Grid"/>
    <w:basedOn w:val="TableNormal"/>
    <w:uiPriority w:val="39"/>
    <w:rsid w:val="008E54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AE14D3"/>
    <w:pPr>
      <w:spacing w:before="100" w:beforeAutospacing="1" w:after="100" w:afterAutospacing="1" w:line="240" w:lineRule="auto"/>
    </w:pPr>
    <w:rPr>
      <w:rFonts w:ascii="Times New Roman" w:eastAsia="Times New Roman" w:hAnsi="Times New Roman" w:cs="Times New Roman"/>
      <w:sz w:val="24"/>
      <w:szCs w:val="24"/>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11</Pages>
  <Words>1065</Words>
  <Characters>6075</Characters>
  <Application>Microsoft Office Word</Application>
  <DocSecurity>0</DocSecurity>
  <Lines>50</Lines>
  <Paragraphs>14</Paragraphs>
  <ScaleCrop>false</ScaleCrop>
  <Company/>
  <LinksUpToDate>false</LinksUpToDate>
  <CharactersWithSpaces>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Seabrook</dc:creator>
  <cp:keywords/>
  <dc:description/>
  <cp:lastModifiedBy>Sarah Seabrook</cp:lastModifiedBy>
  <cp:revision>4</cp:revision>
  <dcterms:created xsi:type="dcterms:W3CDTF">2022-12-19T23:58:00Z</dcterms:created>
  <dcterms:modified xsi:type="dcterms:W3CDTF">2022-12-20T00:08:00Z</dcterms:modified>
</cp:coreProperties>
</file>