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30E48" w14:textId="77777777" w:rsidR="002A4912" w:rsidRPr="004C7948" w:rsidRDefault="002A4912" w:rsidP="002A4912">
      <w:pPr>
        <w:spacing w:before="0"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C7948">
        <w:rPr>
          <w:rFonts w:ascii="Times New Roman" w:eastAsiaTheme="minorEastAsia" w:hAnsi="Times New Roman"/>
          <w:b/>
          <w:sz w:val="24"/>
          <w:szCs w:val="24"/>
        </w:rPr>
        <w:t>Table 2.</w:t>
      </w:r>
      <w:r w:rsidRPr="004C7948">
        <w:rPr>
          <w:rFonts w:ascii="Times New Roman" w:eastAsiaTheme="minorEastAsia" w:hAnsi="Times New Roman"/>
          <w:sz w:val="24"/>
          <w:szCs w:val="24"/>
        </w:rPr>
        <w:t xml:space="preserve"> Overview of themes and subthemes.</w:t>
      </w:r>
    </w:p>
    <w:p w14:paraId="3F57D62C" w14:textId="77777777" w:rsidR="002A4912" w:rsidRPr="004C7948" w:rsidRDefault="002A4912" w:rsidP="002A4912">
      <w:pPr>
        <w:spacing w:before="0"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TableGrid"/>
        <w:tblW w:w="9416" w:type="dxa"/>
        <w:tblInd w:w="-147" w:type="dxa"/>
        <w:tblLook w:val="04A0" w:firstRow="1" w:lastRow="0" w:firstColumn="1" w:lastColumn="0" w:noHBand="0" w:noVBand="1"/>
      </w:tblPr>
      <w:tblGrid>
        <w:gridCol w:w="753"/>
        <w:gridCol w:w="927"/>
        <w:gridCol w:w="223"/>
        <w:gridCol w:w="3629"/>
        <w:gridCol w:w="3884"/>
      </w:tblGrid>
      <w:tr w:rsidR="002A4912" w:rsidRPr="004C7948" w14:paraId="6190F555" w14:textId="77777777" w:rsidTr="001169C4">
        <w:trPr>
          <w:trHeight w:val="298"/>
        </w:trPr>
        <w:tc>
          <w:tcPr>
            <w:tcW w:w="753" w:type="dxa"/>
            <w:shd w:val="clear" w:color="auto" w:fill="AEAAAA" w:themeFill="background2" w:themeFillShade="BF"/>
            <w:vAlign w:val="center"/>
          </w:tcPr>
          <w:p w14:paraId="27C023B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927" w:type="dxa"/>
            <w:shd w:val="clear" w:color="auto" w:fill="AEAAAA" w:themeFill="background2" w:themeFillShade="BF"/>
            <w:vAlign w:val="center"/>
          </w:tcPr>
          <w:p w14:paraId="1125D847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223" w:type="dxa"/>
            <w:shd w:val="clear" w:color="auto" w:fill="AEAAAA" w:themeFill="background2" w:themeFillShade="BF"/>
            <w:vAlign w:val="center"/>
          </w:tcPr>
          <w:p w14:paraId="73E6DE4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shd w:val="clear" w:color="auto" w:fill="AEAAAA" w:themeFill="background2" w:themeFillShade="BF"/>
            <w:vAlign w:val="center"/>
          </w:tcPr>
          <w:p w14:paraId="7AE941D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Subtheme</w:t>
            </w:r>
          </w:p>
        </w:tc>
      </w:tr>
      <w:tr w:rsidR="002A4912" w:rsidRPr="004C7948" w14:paraId="696273D0" w14:textId="77777777" w:rsidTr="001169C4">
        <w:trPr>
          <w:trHeight w:val="454"/>
        </w:trPr>
        <w:tc>
          <w:tcPr>
            <w:tcW w:w="1903" w:type="dxa"/>
            <w:gridSpan w:val="3"/>
            <w:shd w:val="clear" w:color="auto" w:fill="D0CECE" w:themeFill="background2" w:themeFillShade="E6"/>
            <w:vAlign w:val="center"/>
          </w:tcPr>
          <w:p w14:paraId="11209852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D0CECE" w:themeFill="background2" w:themeFillShade="E6"/>
            <w:vAlign w:val="center"/>
          </w:tcPr>
          <w:p w14:paraId="2A803E7C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ASP research pathway</w:t>
            </w:r>
          </w:p>
        </w:tc>
        <w:tc>
          <w:tcPr>
            <w:tcW w:w="3884" w:type="dxa"/>
            <w:shd w:val="clear" w:color="auto" w:fill="D0CECE" w:themeFill="background2" w:themeFillShade="E6"/>
            <w:vAlign w:val="center"/>
          </w:tcPr>
          <w:p w14:paraId="14E9D379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SaU</w:t>
            </w:r>
            <w:proofErr w:type="spellEnd"/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 pathway</w:t>
            </w:r>
          </w:p>
        </w:tc>
      </w:tr>
      <w:tr w:rsidR="002A4912" w:rsidRPr="004C7948" w14:paraId="1E855A74" w14:textId="77777777" w:rsidTr="001169C4">
        <w:trPr>
          <w:trHeight w:val="68"/>
        </w:trPr>
        <w:tc>
          <w:tcPr>
            <w:tcW w:w="753" w:type="dxa"/>
            <w:vAlign w:val="center"/>
          </w:tcPr>
          <w:p w14:paraId="0101EED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1.0</w:t>
            </w:r>
          </w:p>
        </w:tc>
        <w:tc>
          <w:tcPr>
            <w:tcW w:w="8663" w:type="dxa"/>
            <w:gridSpan w:val="4"/>
            <w:vAlign w:val="center"/>
          </w:tcPr>
          <w:p w14:paraId="4235A19A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Overlapping enablers for both pathways</w:t>
            </w:r>
          </w:p>
        </w:tc>
      </w:tr>
      <w:tr w:rsidR="002A4912" w:rsidRPr="004C7948" w14:paraId="05F80AD0" w14:textId="77777777" w:rsidTr="001169C4">
        <w:trPr>
          <w:trHeight w:val="68"/>
        </w:trPr>
        <w:tc>
          <w:tcPr>
            <w:tcW w:w="753" w:type="dxa"/>
            <w:vAlign w:val="center"/>
          </w:tcPr>
          <w:p w14:paraId="7CEBDA58" w14:textId="77777777" w:rsidR="002A4912" w:rsidRPr="00F74735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74735">
              <w:rPr>
                <w:rFonts w:ascii="Times New Roman" w:eastAsiaTheme="minorEastAsia" w:hAnsi="Times New Roman"/>
                <w:sz w:val="24"/>
                <w:szCs w:val="24"/>
              </w:rPr>
              <w:t>1.1</w:t>
            </w:r>
          </w:p>
        </w:tc>
        <w:tc>
          <w:tcPr>
            <w:tcW w:w="927" w:type="dxa"/>
            <w:vMerge w:val="restart"/>
            <w:shd w:val="clear" w:color="auto" w:fill="000000" w:themeFill="text1"/>
            <w:vAlign w:val="center"/>
          </w:tcPr>
          <w:p w14:paraId="7F2469BC" w14:textId="77777777" w:rsidR="002A4912" w:rsidRPr="00F74735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32F95698" w14:textId="77777777" w:rsidR="002A4912" w:rsidRPr="00F74735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27BE474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74735">
              <w:rPr>
                <w:rFonts w:ascii="Times New Roman" w:eastAsiaTheme="minorEastAsia" w:hAnsi="Times New Roman"/>
                <w:sz w:val="24"/>
                <w:szCs w:val="24"/>
              </w:rPr>
              <w:t>Critical role of GPs</w:t>
            </w:r>
          </w:p>
        </w:tc>
      </w:tr>
      <w:tr w:rsidR="002A4912" w:rsidRPr="004C7948" w14:paraId="23C90BD5" w14:textId="77777777" w:rsidTr="001169C4">
        <w:trPr>
          <w:trHeight w:val="149"/>
        </w:trPr>
        <w:tc>
          <w:tcPr>
            <w:tcW w:w="753" w:type="dxa"/>
            <w:vAlign w:val="center"/>
          </w:tcPr>
          <w:p w14:paraId="17C38AC8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1.2</w:t>
            </w:r>
          </w:p>
        </w:tc>
        <w:tc>
          <w:tcPr>
            <w:tcW w:w="927" w:type="dxa"/>
            <w:vMerge/>
            <w:shd w:val="clear" w:color="auto" w:fill="000000" w:themeFill="text1"/>
            <w:vAlign w:val="center"/>
          </w:tcPr>
          <w:p w14:paraId="43AFDD7E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4CD10583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09CD4B29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4DC0">
              <w:rPr>
                <w:rFonts w:ascii="Times New Roman" w:eastAsiaTheme="minorEastAsia" w:hAnsi="Times New Roman"/>
                <w:sz w:val="24"/>
                <w:szCs w:val="24"/>
              </w:rPr>
              <w:t>Enhanced communication between clinicians/health professionals</w:t>
            </w:r>
          </w:p>
        </w:tc>
      </w:tr>
      <w:tr w:rsidR="002A4912" w:rsidRPr="004C7948" w14:paraId="0E048642" w14:textId="77777777" w:rsidTr="001169C4">
        <w:trPr>
          <w:trHeight w:val="68"/>
        </w:trPr>
        <w:tc>
          <w:tcPr>
            <w:tcW w:w="753" w:type="dxa"/>
            <w:vAlign w:val="center"/>
          </w:tcPr>
          <w:p w14:paraId="72D7BD19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1.3</w:t>
            </w:r>
          </w:p>
        </w:tc>
        <w:tc>
          <w:tcPr>
            <w:tcW w:w="927" w:type="dxa"/>
            <w:vMerge/>
            <w:shd w:val="clear" w:color="auto" w:fill="000000" w:themeFill="text1"/>
            <w:vAlign w:val="center"/>
          </w:tcPr>
          <w:p w14:paraId="597E564D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5EC1A94E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4688ED4D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4DC0">
              <w:rPr>
                <w:rFonts w:ascii="Times New Roman" w:eastAsiaTheme="minorEastAsia" w:hAnsi="Times New Roman"/>
                <w:sz w:val="24"/>
                <w:szCs w:val="24"/>
              </w:rPr>
              <w:t>Mutual trust and relationship-building with patients</w:t>
            </w:r>
          </w:p>
        </w:tc>
      </w:tr>
      <w:tr w:rsidR="002A4912" w:rsidRPr="004C7948" w14:paraId="6AE12FC7" w14:textId="77777777" w:rsidTr="001169C4">
        <w:trPr>
          <w:trHeight w:val="188"/>
        </w:trPr>
        <w:tc>
          <w:tcPr>
            <w:tcW w:w="753" w:type="dxa"/>
            <w:vAlign w:val="center"/>
          </w:tcPr>
          <w:p w14:paraId="5E9F38F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1.4</w:t>
            </w:r>
          </w:p>
        </w:tc>
        <w:tc>
          <w:tcPr>
            <w:tcW w:w="927" w:type="dxa"/>
            <w:vMerge/>
            <w:shd w:val="clear" w:color="auto" w:fill="000000" w:themeFill="text1"/>
            <w:vAlign w:val="center"/>
          </w:tcPr>
          <w:p w14:paraId="1D583A6A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5CC5A536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55FE501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4DC0">
              <w:rPr>
                <w:rFonts w:ascii="Times New Roman" w:eastAsiaTheme="minorEastAsia" w:hAnsi="Times New Roman"/>
                <w:sz w:val="24"/>
                <w:szCs w:val="24"/>
              </w:rPr>
              <w:t>Having standardised screening tools</w:t>
            </w:r>
          </w:p>
        </w:tc>
      </w:tr>
      <w:tr w:rsidR="002A4912" w:rsidRPr="004C7948" w14:paraId="1A38BDA3" w14:textId="77777777" w:rsidTr="001169C4">
        <w:trPr>
          <w:trHeight w:val="68"/>
        </w:trPr>
        <w:tc>
          <w:tcPr>
            <w:tcW w:w="753" w:type="dxa"/>
            <w:vAlign w:val="center"/>
          </w:tcPr>
          <w:p w14:paraId="5BF2CC05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2.0</w:t>
            </w:r>
          </w:p>
        </w:tc>
        <w:tc>
          <w:tcPr>
            <w:tcW w:w="8663" w:type="dxa"/>
            <w:gridSpan w:val="4"/>
            <w:vAlign w:val="center"/>
          </w:tcPr>
          <w:p w14:paraId="0C89B6DC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ASP pathway-specific enablers</w:t>
            </w:r>
          </w:p>
        </w:tc>
      </w:tr>
      <w:tr w:rsidR="002A4912" w:rsidRPr="004C7948" w14:paraId="3B8F04B8" w14:textId="77777777" w:rsidTr="001169C4">
        <w:trPr>
          <w:trHeight w:val="436"/>
        </w:trPr>
        <w:tc>
          <w:tcPr>
            <w:tcW w:w="753" w:type="dxa"/>
            <w:vAlign w:val="center"/>
          </w:tcPr>
          <w:p w14:paraId="0DCFD409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2.1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79060B1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77E5AAC1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14:paraId="40D4B01D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4DC0">
              <w:rPr>
                <w:rFonts w:ascii="Times New Roman" w:eastAsiaTheme="minorEastAsia" w:hAnsi="Times New Roman"/>
                <w:sz w:val="24"/>
                <w:szCs w:val="24"/>
              </w:rPr>
              <w:t>Encouraging research towards further training and education</w:t>
            </w:r>
          </w:p>
        </w:tc>
        <w:tc>
          <w:tcPr>
            <w:tcW w:w="3884" w:type="dxa"/>
            <w:shd w:val="clear" w:color="auto" w:fill="000000" w:themeFill="text1"/>
            <w:vAlign w:val="center"/>
          </w:tcPr>
          <w:p w14:paraId="3A75281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2A4912" w:rsidRPr="004C7948" w14:paraId="23D4B52E" w14:textId="77777777" w:rsidTr="001169C4">
        <w:trPr>
          <w:trHeight w:val="190"/>
        </w:trPr>
        <w:tc>
          <w:tcPr>
            <w:tcW w:w="753" w:type="dxa"/>
            <w:vAlign w:val="center"/>
          </w:tcPr>
          <w:p w14:paraId="78B4D9F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2.2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4D19B6E3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6E89EF1D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14:paraId="3CA724C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4DC0">
              <w:rPr>
                <w:rFonts w:ascii="Times New Roman" w:eastAsiaTheme="minorEastAsia" w:hAnsi="Times New Roman"/>
                <w:sz w:val="24"/>
                <w:szCs w:val="24"/>
              </w:rPr>
              <w:t>Specific assessment and resources</w:t>
            </w:r>
          </w:p>
        </w:tc>
        <w:tc>
          <w:tcPr>
            <w:tcW w:w="3884" w:type="dxa"/>
            <w:shd w:val="clear" w:color="auto" w:fill="000000" w:themeFill="text1"/>
            <w:vAlign w:val="center"/>
          </w:tcPr>
          <w:p w14:paraId="733A6F8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2A4912" w:rsidRPr="004C7948" w14:paraId="1C5C7333" w14:textId="77777777" w:rsidTr="001169C4">
        <w:trPr>
          <w:trHeight w:val="327"/>
        </w:trPr>
        <w:tc>
          <w:tcPr>
            <w:tcW w:w="753" w:type="dxa"/>
            <w:vAlign w:val="center"/>
          </w:tcPr>
          <w:p w14:paraId="32376F5E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3.0 </w:t>
            </w:r>
          </w:p>
        </w:tc>
        <w:tc>
          <w:tcPr>
            <w:tcW w:w="8663" w:type="dxa"/>
            <w:gridSpan w:val="4"/>
            <w:vAlign w:val="center"/>
          </w:tcPr>
          <w:p w14:paraId="13B831D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SaU</w:t>
            </w:r>
            <w:proofErr w:type="spellEnd"/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pathway-specific enabler</w:t>
            </w:r>
          </w:p>
        </w:tc>
      </w:tr>
      <w:tr w:rsidR="002A4912" w:rsidRPr="004C7948" w14:paraId="33340FC5" w14:textId="77777777" w:rsidTr="001169C4">
        <w:trPr>
          <w:trHeight w:val="155"/>
        </w:trPr>
        <w:tc>
          <w:tcPr>
            <w:tcW w:w="753" w:type="dxa"/>
            <w:vAlign w:val="center"/>
          </w:tcPr>
          <w:p w14:paraId="21BC358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3.1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4C5F741C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04F622C1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000000" w:themeFill="text1"/>
            <w:vAlign w:val="center"/>
          </w:tcPr>
          <w:p w14:paraId="719FEBA6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1F203F96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2"/>
              </w:rPr>
              <w:t>Importance of developmental screening</w:t>
            </w:r>
          </w:p>
        </w:tc>
      </w:tr>
      <w:tr w:rsidR="002A4912" w:rsidRPr="004C7948" w14:paraId="6B164D46" w14:textId="77777777" w:rsidTr="001169C4">
        <w:trPr>
          <w:trHeight w:val="327"/>
        </w:trPr>
        <w:tc>
          <w:tcPr>
            <w:tcW w:w="753" w:type="dxa"/>
            <w:vAlign w:val="center"/>
          </w:tcPr>
          <w:p w14:paraId="6F4DCDD5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4.0</w:t>
            </w:r>
          </w:p>
        </w:tc>
        <w:tc>
          <w:tcPr>
            <w:tcW w:w="8663" w:type="dxa"/>
            <w:gridSpan w:val="4"/>
            <w:vAlign w:val="center"/>
          </w:tcPr>
          <w:p w14:paraId="16DE5958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Overlapping barriers for both pathways</w:t>
            </w:r>
          </w:p>
        </w:tc>
      </w:tr>
      <w:tr w:rsidR="002A4912" w:rsidRPr="004C7948" w14:paraId="40EA9689" w14:textId="77777777" w:rsidTr="001169C4">
        <w:trPr>
          <w:trHeight w:val="300"/>
        </w:trPr>
        <w:tc>
          <w:tcPr>
            <w:tcW w:w="753" w:type="dxa"/>
            <w:vAlign w:val="center"/>
          </w:tcPr>
          <w:p w14:paraId="519F5B22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4.1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697805FC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3C8A7E3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2818225A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Patient lack of understanding</w:t>
            </w:r>
          </w:p>
        </w:tc>
      </w:tr>
      <w:tr w:rsidR="002A4912" w:rsidRPr="004C7948" w14:paraId="7739C798" w14:textId="77777777" w:rsidTr="001169C4">
        <w:trPr>
          <w:trHeight w:val="288"/>
        </w:trPr>
        <w:tc>
          <w:tcPr>
            <w:tcW w:w="753" w:type="dxa"/>
            <w:vAlign w:val="center"/>
          </w:tcPr>
          <w:p w14:paraId="029DD652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4.2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7C33C56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6927FFEB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E91B78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COVID-19 lockdowns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impacts</w:t>
            </w:r>
            <w:proofErr w:type="gramEnd"/>
          </w:p>
        </w:tc>
      </w:tr>
      <w:tr w:rsidR="002A4912" w:rsidRPr="004C7948" w14:paraId="6BAB4268" w14:textId="77777777" w:rsidTr="001169C4">
        <w:trPr>
          <w:trHeight w:val="293"/>
        </w:trPr>
        <w:tc>
          <w:tcPr>
            <w:tcW w:w="753" w:type="dxa"/>
            <w:vAlign w:val="center"/>
          </w:tcPr>
          <w:p w14:paraId="7EAB1C75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4.3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056FB9A8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2A320CF8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D283CA4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Language and cultural barriers</w:t>
            </w:r>
          </w:p>
        </w:tc>
      </w:tr>
      <w:tr w:rsidR="002A4912" w:rsidRPr="004C7948" w14:paraId="185D4AC4" w14:textId="77777777" w:rsidTr="001169C4">
        <w:trPr>
          <w:trHeight w:val="298"/>
        </w:trPr>
        <w:tc>
          <w:tcPr>
            <w:tcW w:w="753" w:type="dxa"/>
            <w:vAlign w:val="center"/>
          </w:tcPr>
          <w:p w14:paraId="241F8007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5.0</w:t>
            </w:r>
          </w:p>
        </w:tc>
        <w:tc>
          <w:tcPr>
            <w:tcW w:w="8663" w:type="dxa"/>
            <w:gridSpan w:val="4"/>
            <w:vAlign w:val="center"/>
          </w:tcPr>
          <w:p w14:paraId="677F43EA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ASP pathway-specific barriers</w:t>
            </w:r>
          </w:p>
        </w:tc>
      </w:tr>
      <w:tr w:rsidR="002A4912" w:rsidRPr="004C7948" w14:paraId="191782B6" w14:textId="77777777" w:rsidTr="001169C4">
        <w:trPr>
          <w:trHeight w:val="292"/>
        </w:trPr>
        <w:tc>
          <w:tcPr>
            <w:tcW w:w="753" w:type="dxa"/>
            <w:vAlign w:val="center"/>
          </w:tcPr>
          <w:p w14:paraId="4E0A041D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5.1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714CAE3D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25C554F8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14:paraId="1E597CD9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Lengthening screening time</w:t>
            </w:r>
          </w:p>
        </w:tc>
        <w:tc>
          <w:tcPr>
            <w:tcW w:w="3884" w:type="dxa"/>
            <w:shd w:val="clear" w:color="auto" w:fill="000000" w:themeFill="text1"/>
            <w:vAlign w:val="center"/>
          </w:tcPr>
          <w:p w14:paraId="6A1740A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A4912" w:rsidRPr="004C7948" w14:paraId="08FCC34F" w14:textId="77777777" w:rsidTr="001169C4">
        <w:trPr>
          <w:trHeight w:val="68"/>
        </w:trPr>
        <w:tc>
          <w:tcPr>
            <w:tcW w:w="753" w:type="dxa"/>
            <w:vAlign w:val="center"/>
          </w:tcPr>
          <w:p w14:paraId="35FE3D42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5.2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7580EF34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6E65A31C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14:paraId="4C2F67E0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Technical implementation issues</w:t>
            </w:r>
          </w:p>
        </w:tc>
        <w:tc>
          <w:tcPr>
            <w:tcW w:w="3884" w:type="dxa"/>
            <w:shd w:val="clear" w:color="auto" w:fill="000000" w:themeFill="text1"/>
            <w:vAlign w:val="center"/>
          </w:tcPr>
          <w:p w14:paraId="51B0DC3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A4912" w:rsidRPr="004C7948" w14:paraId="1486A01F" w14:textId="77777777" w:rsidTr="001169C4">
        <w:trPr>
          <w:trHeight w:val="284"/>
        </w:trPr>
        <w:tc>
          <w:tcPr>
            <w:tcW w:w="753" w:type="dxa"/>
            <w:vAlign w:val="center"/>
          </w:tcPr>
          <w:p w14:paraId="63DD704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6.0</w:t>
            </w:r>
          </w:p>
        </w:tc>
        <w:tc>
          <w:tcPr>
            <w:tcW w:w="8663" w:type="dxa"/>
            <w:gridSpan w:val="4"/>
            <w:vAlign w:val="center"/>
          </w:tcPr>
          <w:p w14:paraId="412A72E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proofErr w:type="spellStart"/>
            <w:r w:rsidRPr="004C794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4C794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 pathway-specific barriers</w:t>
            </w:r>
          </w:p>
        </w:tc>
      </w:tr>
      <w:tr w:rsidR="002A4912" w:rsidRPr="004C7948" w14:paraId="7B380CC1" w14:textId="77777777" w:rsidTr="001169C4">
        <w:trPr>
          <w:trHeight w:val="285"/>
        </w:trPr>
        <w:tc>
          <w:tcPr>
            <w:tcW w:w="753" w:type="dxa"/>
            <w:vAlign w:val="center"/>
          </w:tcPr>
          <w:p w14:paraId="0BB99271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6.1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6933AFF9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7EF2C2C3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000000" w:themeFill="text1"/>
            <w:vAlign w:val="center"/>
          </w:tcPr>
          <w:p w14:paraId="4226B4D7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61F47BA3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Family financial a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nd socioeconomic circumstances </w:t>
            </w:r>
          </w:p>
        </w:tc>
      </w:tr>
      <w:tr w:rsidR="002A4912" w:rsidRPr="004C7948" w14:paraId="5DABB5C8" w14:textId="77777777" w:rsidTr="001169C4">
        <w:trPr>
          <w:trHeight w:val="325"/>
        </w:trPr>
        <w:tc>
          <w:tcPr>
            <w:tcW w:w="753" w:type="dxa"/>
            <w:vAlign w:val="center"/>
          </w:tcPr>
          <w:p w14:paraId="304E4193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6.2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453668D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535FC72E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000000" w:themeFill="text1"/>
            <w:vAlign w:val="center"/>
          </w:tcPr>
          <w:p w14:paraId="1C6924D4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08B688D3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Lack of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workforce/resource</w:t>
            </w:r>
          </w:p>
        </w:tc>
      </w:tr>
      <w:tr w:rsidR="002A4912" w:rsidRPr="004C7948" w14:paraId="75447C82" w14:textId="77777777" w:rsidTr="001169C4">
        <w:trPr>
          <w:trHeight w:val="498"/>
        </w:trPr>
        <w:tc>
          <w:tcPr>
            <w:tcW w:w="753" w:type="dxa"/>
            <w:vAlign w:val="center"/>
          </w:tcPr>
          <w:p w14:paraId="1F699D2A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6.3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31BF1020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09DA7A7D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000000" w:themeFill="text1"/>
            <w:vAlign w:val="center"/>
          </w:tcPr>
          <w:p w14:paraId="1D99BF3D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2E4A58FC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Patient</w:t>
            </w: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 denial of (potential or actual)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child’s diagnosis</w:t>
            </w:r>
          </w:p>
        </w:tc>
      </w:tr>
      <w:tr w:rsidR="002A4912" w:rsidRPr="004C7948" w14:paraId="243A5E28" w14:textId="77777777" w:rsidTr="001169C4">
        <w:trPr>
          <w:trHeight w:val="349"/>
        </w:trPr>
        <w:tc>
          <w:tcPr>
            <w:tcW w:w="753" w:type="dxa"/>
            <w:vAlign w:val="center"/>
          </w:tcPr>
          <w:p w14:paraId="5F697392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6.4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6B839B0D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32E03AF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000000" w:themeFill="text1"/>
            <w:vAlign w:val="center"/>
          </w:tcPr>
          <w:p w14:paraId="5F429EF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19D890DE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4DC0">
              <w:rPr>
                <w:rFonts w:ascii="Times New Roman" w:eastAsiaTheme="minorEastAsia" w:hAnsi="Times New Roman"/>
                <w:sz w:val="24"/>
                <w:szCs w:val="24"/>
              </w:rPr>
              <w:t>Complex navigation of the health system</w:t>
            </w:r>
          </w:p>
        </w:tc>
      </w:tr>
      <w:tr w:rsidR="002A4912" w:rsidRPr="004C7948" w14:paraId="4FADBFEA" w14:textId="77777777" w:rsidTr="001169C4">
        <w:trPr>
          <w:trHeight w:val="209"/>
        </w:trPr>
        <w:tc>
          <w:tcPr>
            <w:tcW w:w="753" w:type="dxa"/>
            <w:vAlign w:val="center"/>
          </w:tcPr>
          <w:p w14:paraId="6E3ADF46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7.0</w:t>
            </w:r>
          </w:p>
        </w:tc>
        <w:tc>
          <w:tcPr>
            <w:tcW w:w="8663" w:type="dxa"/>
            <w:gridSpan w:val="4"/>
            <w:vAlign w:val="center"/>
          </w:tcPr>
          <w:p w14:paraId="639469DA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Overlapping </w:t>
            </w: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recommendations for both pathways</w:t>
            </w:r>
          </w:p>
        </w:tc>
      </w:tr>
      <w:tr w:rsidR="002A4912" w:rsidRPr="004C7948" w14:paraId="19C34C05" w14:textId="77777777" w:rsidTr="001169C4">
        <w:trPr>
          <w:trHeight w:val="177"/>
        </w:trPr>
        <w:tc>
          <w:tcPr>
            <w:tcW w:w="753" w:type="dxa"/>
            <w:vAlign w:val="center"/>
          </w:tcPr>
          <w:p w14:paraId="57A8472D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7.1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6DBF7B03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65DF10FB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99B66CB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Need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to clarify the role of GPs</w:t>
            </w:r>
          </w:p>
        </w:tc>
      </w:tr>
      <w:tr w:rsidR="002A4912" w:rsidRPr="004C7948" w14:paraId="7E2E1951" w14:textId="77777777" w:rsidTr="001169C4">
        <w:trPr>
          <w:trHeight w:val="282"/>
        </w:trPr>
        <w:tc>
          <w:tcPr>
            <w:tcW w:w="753" w:type="dxa"/>
            <w:vAlign w:val="center"/>
          </w:tcPr>
          <w:p w14:paraId="74482039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7.2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0E0924B2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0FD1690E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6FB7EDE3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Need for further training and education</w:t>
            </w:r>
          </w:p>
        </w:tc>
      </w:tr>
      <w:tr w:rsidR="002A4912" w:rsidRPr="004C7948" w14:paraId="43D2FF63" w14:textId="77777777" w:rsidTr="001169C4">
        <w:trPr>
          <w:trHeight w:val="286"/>
        </w:trPr>
        <w:tc>
          <w:tcPr>
            <w:tcW w:w="753" w:type="dxa"/>
            <w:vAlign w:val="center"/>
          </w:tcPr>
          <w:p w14:paraId="498E425E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7.3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7194F96C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7B3185F0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5EC42FF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Need for a comprehensive, streamlined process</w:t>
            </w:r>
          </w:p>
        </w:tc>
      </w:tr>
      <w:tr w:rsidR="002A4912" w:rsidRPr="004C7948" w14:paraId="613B91DF" w14:textId="77777777" w:rsidTr="001169C4">
        <w:trPr>
          <w:trHeight w:val="290"/>
        </w:trPr>
        <w:tc>
          <w:tcPr>
            <w:tcW w:w="753" w:type="dxa"/>
            <w:vAlign w:val="center"/>
          </w:tcPr>
          <w:p w14:paraId="109C4F23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7.4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5794A0D8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7BEB61F8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101A6FB1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Need for funding</w:t>
            </w:r>
          </w:p>
        </w:tc>
      </w:tr>
      <w:tr w:rsidR="002A4912" w:rsidRPr="004C7948" w14:paraId="0E4B32F4" w14:textId="77777777" w:rsidTr="001169C4">
        <w:trPr>
          <w:trHeight w:val="60"/>
        </w:trPr>
        <w:tc>
          <w:tcPr>
            <w:tcW w:w="753" w:type="dxa"/>
            <w:vAlign w:val="center"/>
          </w:tcPr>
          <w:p w14:paraId="4557F72C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7.5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5AB220A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7E9CC14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EAF8341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Need</w:t>
            </w: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 for digital developmental screening</w:t>
            </w:r>
          </w:p>
        </w:tc>
      </w:tr>
      <w:tr w:rsidR="002A4912" w:rsidRPr="004C7948" w14:paraId="596E901B" w14:textId="77777777" w:rsidTr="001169C4">
        <w:trPr>
          <w:trHeight w:val="96"/>
        </w:trPr>
        <w:tc>
          <w:tcPr>
            <w:tcW w:w="753" w:type="dxa"/>
            <w:vAlign w:val="center"/>
          </w:tcPr>
          <w:p w14:paraId="75EE620D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8.0</w:t>
            </w:r>
          </w:p>
        </w:tc>
        <w:tc>
          <w:tcPr>
            <w:tcW w:w="8663" w:type="dxa"/>
            <w:gridSpan w:val="4"/>
            <w:vAlign w:val="center"/>
          </w:tcPr>
          <w:p w14:paraId="55347B64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ASP pathway-specific recommendation</w:t>
            </w:r>
          </w:p>
        </w:tc>
      </w:tr>
      <w:tr w:rsidR="002A4912" w:rsidRPr="004C7948" w14:paraId="4112D944" w14:textId="77777777" w:rsidTr="001169C4">
        <w:trPr>
          <w:trHeight w:val="358"/>
        </w:trPr>
        <w:tc>
          <w:tcPr>
            <w:tcW w:w="753" w:type="dxa"/>
            <w:vAlign w:val="center"/>
          </w:tcPr>
          <w:p w14:paraId="019B416A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8.1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3C293EAC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15562B0C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14:paraId="25BE3325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 xml:space="preserve">In-clinic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administration support</w:t>
            </w:r>
          </w:p>
        </w:tc>
        <w:tc>
          <w:tcPr>
            <w:tcW w:w="3884" w:type="dxa"/>
            <w:shd w:val="clear" w:color="auto" w:fill="000000" w:themeFill="text1"/>
            <w:vAlign w:val="center"/>
          </w:tcPr>
          <w:p w14:paraId="0CBCC65F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2A4912" w:rsidRPr="004C7948" w14:paraId="5CB87CC4" w14:textId="77777777" w:rsidTr="001169C4">
        <w:trPr>
          <w:trHeight w:val="169"/>
        </w:trPr>
        <w:tc>
          <w:tcPr>
            <w:tcW w:w="753" w:type="dxa"/>
            <w:vAlign w:val="center"/>
          </w:tcPr>
          <w:p w14:paraId="0B25ECBC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9.0</w:t>
            </w:r>
          </w:p>
        </w:tc>
        <w:tc>
          <w:tcPr>
            <w:tcW w:w="8663" w:type="dxa"/>
            <w:gridSpan w:val="4"/>
            <w:vAlign w:val="center"/>
          </w:tcPr>
          <w:p w14:paraId="48F79268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pathway-specific </w:t>
            </w:r>
            <w:r w:rsidRPr="004C7948">
              <w:rPr>
                <w:rFonts w:ascii="Times New Roman" w:eastAsiaTheme="minorEastAsia" w:hAnsi="Times New Roman"/>
                <w:b/>
                <w:sz w:val="24"/>
                <w:szCs w:val="24"/>
              </w:rPr>
              <w:t>recommendation</w:t>
            </w:r>
          </w:p>
        </w:tc>
      </w:tr>
      <w:tr w:rsidR="002A4912" w:rsidRPr="004C7948" w14:paraId="31AAAAC3" w14:textId="77777777" w:rsidTr="001169C4">
        <w:trPr>
          <w:trHeight w:val="338"/>
        </w:trPr>
        <w:tc>
          <w:tcPr>
            <w:tcW w:w="753" w:type="dxa"/>
            <w:vAlign w:val="center"/>
          </w:tcPr>
          <w:p w14:paraId="2C975501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C7948">
              <w:rPr>
                <w:rFonts w:ascii="Times New Roman" w:eastAsiaTheme="minorEastAsia" w:hAnsi="Times New Roman"/>
                <w:sz w:val="24"/>
                <w:szCs w:val="24"/>
              </w:rPr>
              <w:t>9.1</w:t>
            </w:r>
          </w:p>
        </w:tc>
        <w:tc>
          <w:tcPr>
            <w:tcW w:w="927" w:type="dxa"/>
            <w:shd w:val="clear" w:color="auto" w:fill="000000" w:themeFill="text1"/>
            <w:vAlign w:val="center"/>
          </w:tcPr>
          <w:p w14:paraId="44A4CD1F" w14:textId="77777777" w:rsidR="002A4912" w:rsidRPr="004C7948" w:rsidRDefault="002A4912" w:rsidP="001169C4">
            <w:pPr>
              <w:spacing w:before="0"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223" w:type="dxa"/>
            <w:shd w:val="clear" w:color="auto" w:fill="000000" w:themeFill="text1"/>
            <w:vAlign w:val="center"/>
          </w:tcPr>
          <w:p w14:paraId="015DFC3A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9" w:type="dxa"/>
            <w:shd w:val="clear" w:color="auto" w:fill="000000" w:themeFill="text1"/>
            <w:vAlign w:val="center"/>
          </w:tcPr>
          <w:p w14:paraId="0DA1E802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14:paraId="174E4B47" w14:textId="77777777" w:rsidR="002A4912" w:rsidRPr="004C7948" w:rsidRDefault="002A4912" w:rsidP="001169C4">
            <w:pPr>
              <w:spacing w:before="0"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Need for a quick-reference parental/caregiver information</w:t>
            </w:r>
          </w:p>
        </w:tc>
      </w:tr>
    </w:tbl>
    <w:p w14:paraId="7B7B8C2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12"/>
    <w:rsid w:val="002A491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56020"/>
  <w15:chartTrackingRefBased/>
  <w15:docId w15:val="{2A80FF2D-311C-4873-8167-5D06A78D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912"/>
    <w:pPr>
      <w:spacing w:before="240" w:after="240" w:line="360" w:lineRule="auto"/>
    </w:pPr>
    <w:rPr>
      <w:rFonts w:cs="Times New Roman"/>
      <w:color w:val="000000" w:themeColor="text1"/>
      <w:kern w:val="24"/>
      <w:szCs w:val="20"/>
      <w:lang w:val="en-AU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91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1301</Characters>
  <Application>Microsoft Office Word</Application>
  <DocSecurity>0</DocSecurity>
  <Lines>10</Lines>
  <Paragraphs>3</Paragraphs>
  <ScaleCrop>false</ScaleCrop>
  <Company>Springer Nature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2023-01-04T11:12:00Z</dcterms:created>
  <dcterms:modified xsi:type="dcterms:W3CDTF">2023-01-04T11:12:00Z</dcterms:modified>
</cp:coreProperties>
</file>