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D6CDC" w:rsidRDefault="002D6CDC" w:rsidP="002D6CDC">
      <w:pPr>
        <w:pStyle w:val="BodyText"/>
        <w:ind w:left="111"/>
        <w:rPr>
          <w:sz w:val="20"/>
        </w:rPr>
      </w:pPr>
      <w:r>
        <w:rPr>
          <w:noProof/>
          <w:sz w:val="20"/>
        </w:rPr>
        <w:drawing>
          <wp:inline distT="0" distB="0" distL="0" distR="0" wp14:anchorId="42BE29EF" wp14:editId="145B85ED">
            <wp:extent cx="5913253" cy="814730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253" cy="814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CDC" w:rsidRDefault="002D6CDC" w:rsidP="002D6CDC">
      <w:pPr>
        <w:pStyle w:val="BodyText"/>
        <w:spacing w:before="7"/>
        <w:rPr>
          <w:sz w:val="10"/>
        </w:rPr>
      </w:pPr>
    </w:p>
    <w:p w:rsidR="002D6CDC" w:rsidRDefault="002D6CDC" w:rsidP="002D6CDC">
      <w:pPr>
        <w:pStyle w:val="BodyText"/>
        <w:spacing w:before="55" w:line="259" w:lineRule="auto"/>
        <w:ind w:left="111" w:right="110"/>
        <w:jc w:val="both"/>
      </w:pPr>
      <w:r>
        <w:rPr>
          <w:b/>
          <w:i/>
          <w:position w:val="2"/>
        </w:rPr>
        <w:lastRenderedPageBreak/>
        <w:t>Table 1</w:t>
      </w:r>
      <w:r>
        <w:rPr>
          <w:b/>
          <w:position w:val="2"/>
        </w:rPr>
        <w:t xml:space="preserve">: </w:t>
      </w:r>
      <w:r>
        <w:rPr>
          <w:position w:val="2"/>
        </w:rPr>
        <w:t>Compounds identified in the primary screen with IC</w:t>
      </w:r>
      <w:r>
        <w:rPr>
          <w:sz w:val="14"/>
        </w:rPr>
        <w:t xml:space="preserve">50 </w:t>
      </w:r>
      <w:r>
        <w:rPr>
          <w:position w:val="2"/>
        </w:rPr>
        <w:t>&lt;20 µM (plus alisporivir). The IC</w:t>
      </w:r>
      <w:r>
        <w:rPr>
          <w:sz w:val="14"/>
        </w:rPr>
        <w:t xml:space="preserve">50 </w:t>
      </w:r>
      <w:r>
        <w:rPr>
          <w:position w:val="2"/>
        </w:rPr>
        <w:t>and CC</w:t>
      </w:r>
      <w:r>
        <w:rPr>
          <w:sz w:val="14"/>
        </w:rPr>
        <w:t xml:space="preserve">50 </w:t>
      </w:r>
      <w:r>
        <w:rPr>
          <w:position w:val="2"/>
        </w:rPr>
        <w:t>calculated from 3 independent measurements. Cytotoxicity index (CI) = (IC</w:t>
      </w:r>
      <w:r>
        <w:rPr>
          <w:sz w:val="14"/>
        </w:rPr>
        <w:t xml:space="preserve">50 </w:t>
      </w:r>
      <w:r>
        <w:rPr>
          <w:position w:val="2"/>
        </w:rPr>
        <w:t>/ CC</w:t>
      </w:r>
      <w:r>
        <w:rPr>
          <w:sz w:val="14"/>
        </w:rPr>
        <w:t>50</w:t>
      </w:r>
      <w:r>
        <w:rPr>
          <w:position w:val="2"/>
        </w:rPr>
        <w:t xml:space="preserve">). Corresponding dose </w:t>
      </w:r>
      <w:r>
        <w:t xml:space="preserve">response curves are shown in Figure S4. Target and Clinical Phase annotation from </w:t>
      </w:r>
      <w:hyperlink r:id="rId5">
        <w:r>
          <w:rPr>
            <w:color w:val="1154CC"/>
            <w:u w:val="single" w:color="1154CC"/>
          </w:rPr>
          <w:t>https://clue.io/repurposing</w:t>
        </w:r>
      </w:hyperlink>
      <w:r>
        <w:rPr>
          <w:color w:val="1154CC"/>
          <w:u w:val="single" w:color="1154CC"/>
        </w:rPr>
        <w:t>(</w:t>
      </w:r>
      <w:r>
        <w:rPr>
          <w:i/>
          <w:color w:val="1154CC"/>
          <w:u w:val="single" w:color="1154CC"/>
        </w:rPr>
        <w:t>4</w:t>
      </w:r>
      <w:r>
        <w:rPr>
          <w:color w:val="1154CC"/>
          <w:u w:val="single" w:color="1154CC"/>
        </w:rPr>
        <w:t>)</w:t>
      </w:r>
      <w:r>
        <w:t>. ‡ Reported in clinicaltrial.gov or suggested in Li et al.(</w:t>
      </w:r>
      <w:r>
        <w:rPr>
          <w:i/>
        </w:rPr>
        <w:t>2</w:t>
      </w:r>
      <w:r>
        <w:t>)</w:t>
      </w:r>
    </w:p>
    <w:p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CDC"/>
    <w:rsid w:val="002D6CD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BAC315-2846-4247-B5B1-DD7001A56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D6CD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de-DE" w:eastAsia="de-DE" w:bidi="de-DE"/>
    </w:rPr>
  </w:style>
  <w:style w:type="character" w:customStyle="1" w:styleId="BodyTextChar">
    <w:name w:val="Body Text Char"/>
    <w:basedOn w:val="DefaultParagraphFont"/>
    <w:link w:val="BodyText"/>
    <w:uiPriority w:val="1"/>
    <w:rsid w:val="002D6CDC"/>
    <w:rPr>
      <w:rFonts w:ascii="Calibri" w:eastAsia="Calibri" w:hAnsi="Calibri" w:cs="Calibri"/>
      <w:lang w:val="de-DE" w:eastAsia="de-DE" w:bidi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lue.io/repurposin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2020-04-20T15:13:00Z</dcterms:created>
  <dcterms:modified xsi:type="dcterms:W3CDTF">2020-04-20T15:13:00Z</dcterms:modified>
</cp:coreProperties>
</file>