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6A8" w:rsidRPr="00B172DF" w:rsidRDefault="000F76A8" w:rsidP="000F76A8">
      <w:pPr>
        <w:spacing w:line="480" w:lineRule="auto"/>
      </w:pPr>
      <w:bookmarkStart w:id="0" w:name="_GoBack"/>
      <w:bookmarkEnd w:id="0"/>
      <w:r>
        <w:rPr>
          <w:b/>
        </w:rPr>
        <w:t xml:space="preserve">Supplemental Figure 1: </w:t>
      </w:r>
      <w:r w:rsidRPr="00B172DF">
        <w:rPr>
          <w:b/>
          <w:i/>
        </w:rPr>
        <w:t>AC100861.1</w:t>
      </w:r>
      <w:r>
        <w:rPr>
          <w:b/>
        </w:rPr>
        <w:t xml:space="preserve"> and </w:t>
      </w:r>
      <w:r w:rsidRPr="00B172DF">
        <w:rPr>
          <w:b/>
          <w:i/>
        </w:rPr>
        <w:t>TNFRSF10A</w:t>
      </w:r>
      <w:r>
        <w:rPr>
          <w:b/>
        </w:rPr>
        <w:t xml:space="preserve"> transcripts possess sequence homology. </w:t>
      </w:r>
      <w:r>
        <w:t xml:space="preserve">Pairwise sequence alignment of </w:t>
      </w:r>
      <w:r w:rsidRPr="00B172DF">
        <w:rPr>
          <w:i/>
        </w:rPr>
        <w:t>AC100861.1</w:t>
      </w:r>
      <w:r>
        <w:t xml:space="preserve"> and </w:t>
      </w:r>
      <w:r w:rsidRPr="00B172DF">
        <w:rPr>
          <w:i/>
        </w:rPr>
        <w:t>TNFRSF10A</w:t>
      </w:r>
      <w:r>
        <w:rPr>
          <w:b/>
        </w:rPr>
        <w:t xml:space="preserve"> </w:t>
      </w:r>
      <w:r>
        <w:t xml:space="preserve">was conducted using the EMBOSS Water alignment tool, revealing 43.1% similarity. Teal regions highlight areas of homology between the </w:t>
      </w:r>
      <w:r w:rsidRPr="00B172DF">
        <w:rPr>
          <w:i/>
        </w:rPr>
        <w:t>AC100861.1</w:t>
      </w:r>
      <w:r>
        <w:t xml:space="preserve"> and </w:t>
      </w:r>
      <w:r w:rsidRPr="00B172DF">
        <w:rPr>
          <w:i/>
        </w:rPr>
        <w:t>TNFRSF10A</w:t>
      </w:r>
      <w:r>
        <w:t xml:space="preserve"> transcripts. </w:t>
      </w:r>
    </w:p>
    <w:p w:rsidR="000F76A8" w:rsidRPr="00B172DF" w:rsidRDefault="000F76A8" w:rsidP="000F76A8">
      <w:pPr>
        <w:spacing w:line="480" w:lineRule="auto"/>
      </w:pPr>
      <w:r>
        <w:rPr>
          <w:b/>
        </w:rPr>
        <w:t xml:space="preserve">Supplemental Figure 2: Cell death analysis of </w:t>
      </w:r>
      <w:proofErr w:type="spellStart"/>
      <w:r>
        <w:rPr>
          <w:b/>
        </w:rPr>
        <w:t>tunicamycin</w:t>
      </w:r>
      <w:proofErr w:type="spellEnd"/>
      <w:r>
        <w:rPr>
          <w:b/>
        </w:rPr>
        <w:t xml:space="preserve"> treatment of ARPE-19 cells. </w:t>
      </w:r>
      <w:r>
        <w:t xml:space="preserve">Images of ARPE-19 cells subjected to varying amounts of </w:t>
      </w:r>
      <w:proofErr w:type="spellStart"/>
      <w:r>
        <w:t>tunicamycin</w:t>
      </w:r>
      <w:proofErr w:type="spellEnd"/>
      <w:r>
        <w:t xml:space="preserve"> (</w:t>
      </w:r>
      <w:r w:rsidRPr="00B172DF">
        <w:rPr>
          <w:b/>
        </w:rPr>
        <w:t>A</w:t>
      </w:r>
      <w:r>
        <w:t>) and DMSO (</w:t>
      </w:r>
      <w:r w:rsidRPr="00B172DF">
        <w:rPr>
          <w:b/>
        </w:rPr>
        <w:t>B</w:t>
      </w:r>
      <w:r>
        <w:t xml:space="preserve">) for 24 hours as indicated. Mass cell death is noticeable at the 50 </w:t>
      </w:r>
      <w:r>
        <w:rPr>
          <w:rFonts w:cstheme="minorHAnsi"/>
        </w:rPr>
        <w:t>µ</w:t>
      </w:r>
      <w:r>
        <w:t xml:space="preserve">g/mL, 100 </w:t>
      </w:r>
      <w:r>
        <w:rPr>
          <w:rFonts w:cstheme="minorHAnsi"/>
        </w:rPr>
        <w:t>µ</w:t>
      </w:r>
      <w:r>
        <w:t xml:space="preserve">g/mL, and 200 </w:t>
      </w:r>
      <w:r>
        <w:rPr>
          <w:rFonts w:cstheme="minorHAnsi"/>
        </w:rPr>
        <w:t>µ</w:t>
      </w:r>
      <w:r>
        <w:t xml:space="preserve">g/mL concentrations of </w:t>
      </w:r>
      <w:proofErr w:type="spellStart"/>
      <w:r>
        <w:t>tunicamycin</w:t>
      </w:r>
      <w:proofErr w:type="spellEnd"/>
      <w:r>
        <w:t xml:space="preserve">. Scale bar indicates 200 </w:t>
      </w:r>
      <w:r>
        <w:rPr>
          <w:rFonts w:cstheme="minorHAnsi"/>
        </w:rPr>
        <w:t>µ</w:t>
      </w:r>
      <w:r>
        <w:t>m.</w:t>
      </w:r>
    </w:p>
    <w:p w:rsidR="0001410D" w:rsidRDefault="000F76A8" w:rsidP="000F76A8">
      <w:pPr>
        <w:spacing w:line="480" w:lineRule="auto"/>
      </w:pPr>
      <w:r>
        <w:rPr>
          <w:b/>
        </w:rPr>
        <w:t>Supplemental Figure 3: PKCA expression is slightly altered upon</w:t>
      </w:r>
      <w:r w:rsidRPr="00AA09B6">
        <w:rPr>
          <w:b/>
        </w:rPr>
        <w:t xml:space="preserve"> </w:t>
      </w:r>
      <w:r w:rsidRPr="00E9429E">
        <w:rPr>
          <w:b/>
          <w:i/>
        </w:rPr>
        <w:t>AC100861.1</w:t>
      </w:r>
      <w:r w:rsidRPr="00AA09B6">
        <w:rPr>
          <w:b/>
        </w:rPr>
        <w:t xml:space="preserve"> and </w:t>
      </w:r>
      <w:r w:rsidRPr="00E9429E">
        <w:rPr>
          <w:b/>
          <w:i/>
        </w:rPr>
        <w:t>TNFRSF10A</w:t>
      </w:r>
      <w:r w:rsidRPr="00AA09B6">
        <w:rPr>
          <w:b/>
        </w:rPr>
        <w:t xml:space="preserve"> dysregulation.</w:t>
      </w:r>
      <w:r>
        <w:t xml:space="preserve"> </w:t>
      </w:r>
      <w:r w:rsidRPr="006E0B9E">
        <w:t>Graph indicates the expression level changes (compared to control) in ARPE-19 cells transfected with</w:t>
      </w:r>
      <w:r w:rsidRPr="00B52D8E">
        <w:t xml:space="preserve">: siRNA targeting </w:t>
      </w:r>
      <w:r w:rsidRPr="00A62455">
        <w:rPr>
          <w:i/>
        </w:rPr>
        <w:t>AC100861.1</w:t>
      </w:r>
      <w:r w:rsidRPr="00A62455">
        <w:t xml:space="preserve"> (AC</w:t>
      </w:r>
      <w:r>
        <w:t>100861.1</w:t>
      </w:r>
      <w:r w:rsidRPr="00A62455">
        <w:t xml:space="preserve">-KD), siRNA targeting </w:t>
      </w:r>
      <w:r w:rsidRPr="00A62455">
        <w:rPr>
          <w:i/>
        </w:rPr>
        <w:t>TNFRSF10A</w:t>
      </w:r>
      <w:r w:rsidRPr="00A62455">
        <w:t xml:space="preserve"> (TNFR</w:t>
      </w:r>
      <w:r>
        <w:t>SF10A</w:t>
      </w:r>
      <w:r w:rsidRPr="00A62455">
        <w:t xml:space="preserve">-KD), </w:t>
      </w:r>
      <w:r w:rsidRPr="00A62455">
        <w:rPr>
          <w:i/>
        </w:rPr>
        <w:t>AC100861.1</w:t>
      </w:r>
      <w:r w:rsidRPr="00A62455">
        <w:t xml:space="preserve"> overexpression vector (AC</w:t>
      </w:r>
      <w:r>
        <w:t>100861.1</w:t>
      </w:r>
      <w:r w:rsidRPr="00A62455">
        <w:t xml:space="preserve">-OE), and </w:t>
      </w:r>
      <w:r w:rsidRPr="00A62455">
        <w:rPr>
          <w:i/>
        </w:rPr>
        <w:t>TNFRSF10A</w:t>
      </w:r>
      <w:r w:rsidRPr="00A62455">
        <w:t xml:space="preserve"> overexpression vector (TNFR</w:t>
      </w:r>
      <w:r>
        <w:t>SF10A</w:t>
      </w:r>
      <w:r w:rsidRPr="00A62455">
        <w:t xml:space="preserve">-OE). Expression levels of </w:t>
      </w:r>
      <w:r w:rsidRPr="00B172DF">
        <w:rPr>
          <w:i/>
        </w:rPr>
        <w:t>PKCA</w:t>
      </w:r>
      <w:r w:rsidRPr="006E0B9E">
        <w:t xml:space="preserve"> were measured by RT-qPCR. </w:t>
      </w:r>
      <w:r>
        <w:t xml:space="preserve">Gray dotted line corresponds to fold change = 1. For all samples, N = 3. </w:t>
      </w:r>
      <w:r w:rsidRPr="006E0B9E">
        <w:t>Error bars indicate the standard error of mean.</w:t>
      </w:r>
    </w:p>
    <w:sectPr w:rsidR="000141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909" w:rsidRDefault="00F46909" w:rsidP="000F76A8">
      <w:pPr>
        <w:spacing w:after="0" w:line="240" w:lineRule="auto"/>
      </w:pPr>
      <w:r>
        <w:separator/>
      </w:r>
    </w:p>
  </w:endnote>
  <w:endnote w:type="continuationSeparator" w:id="0">
    <w:p w:rsidR="00F46909" w:rsidRDefault="00F46909" w:rsidP="000F7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6A8" w:rsidRDefault="000F76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6A8" w:rsidRDefault="000F76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6A8" w:rsidRDefault="000F76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909" w:rsidRDefault="00F46909" w:rsidP="000F76A8">
      <w:pPr>
        <w:spacing w:after="0" w:line="240" w:lineRule="auto"/>
      </w:pPr>
      <w:r>
        <w:separator/>
      </w:r>
    </w:p>
  </w:footnote>
  <w:footnote w:type="continuationSeparator" w:id="0">
    <w:p w:rsidR="00F46909" w:rsidRDefault="00F46909" w:rsidP="000F7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6A8" w:rsidRDefault="000F76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6A8" w:rsidRDefault="000F76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6A8" w:rsidRDefault="000F76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A8"/>
    <w:rsid w:val="000F76A8"/>
    <w:rsid w:val="00C11443"/>
    <w:rsid w:val="00C32D4F"/>
    <w:rsid w:val="00F4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B4E9EF"/>
  <w15:chartTrackingRefBased/>
  <w15:docId w15:val="{5954C1A8-452C-4F9C-84B2-0F5EF876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6A8"/>
  </w:style>
  <w:style w:type="paragraph" w:styleId="Footer">
    <w:name w:val="footer"/>
    <w:basedOn w:val="Normal"/>
    <w:link w:val="FooterChar"/>
    <w:uiPriority w:val="99"/>
    <w:unhideWhenUsed/>
    <w:rsid w:val="000F7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6A8"/>
  </w:style>
  <w:style w:type="character" w:styleId="LineNumber">
    <w:name w:val="line number"/>
    <w:basedOn w:val="DefaultParagraphFont"/>
    <w:uiPriority w:val="99"/>
    <w:semiHidden/>
    <w:unhideWhenUsed/>
    <w:rsid w:val="000F7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</dc:creator>
  <cp:keywords/>
  <dc:description/>
  <cp:lastModifiedBy>Tad</cp:lastModifiedBy>
  <cp:revision>1</cp:revision>
  <dcterms:created xsi:type="dcterms:W3CDTF">2022-12-13T14:55:00Z</dcterms:created>
  <dcterms:modified xsi:type="dcterms:W3CDTF">2022-12-13T14:57:00Z</dcterms:modified>
</cp:coreProperties>
</file>