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BBD4E" w14:textId="77777777" w:rsidR="005C15F7" w:rsidRPr="00662E5E" w:rsidRDefault="005C15F7" w:rsidP="005C15F7">
      <w:pPr>
        <w:spacing w:line="240" w:lineRule="auto"/>
        <w:rPr>
          <w:rFonts w:ascii="CMU Sans Serif" w:hAnsi="CMU Sans Serif" w:cs="CMU Sans Serif"/>
          <w:b/>
          <w:i/>
          <w:color w:val="262626"/>
          <w:lang w:val="en-GB"/>
        </w:rPr>
      </w:pPr>
      <w:r w:rsidRPr="00662E5E">
        <w:rPr>
          <w:rFonts w:ascii="CMU Sans Serif" w:hAnsi="CMU Sans Serif" w:cs="CMU Sans Serif"/>
          <w:b/>
          <w:i/>
          <w:color w:val="262626"/>
          <w:lang w:val="en-GB"/>
        </w:rPr>
        <w:t>Table S1. P2Y</w:t>
      </w:r>
      <w:r w:rsidRPr="00662E5E">
        <w:rPr>
          <w:rFonts w:ascii="CMU Sans Serif" w:hAnsi="CMU Sans Serif" w:cs="CMU Sans Serif"/>
          <w:b/>
          <w:i/>
          <w:color w:val="262626"/>
          <w:vertAlign w:val="subscript"/>
          <w:lang w:val="en-GB"/>
        </w:rPr>
        <w:t>12</w:t>
      </w:r>
      <w:r w:rsidRPr="00662E5E">
        <w:rPr>
          <w:rFonts w:ascii="CMU Sans Serif" w:hAnsi="CMU Sans Serif" w:cs="CMU Sans Serif"/>
          <w:b/>
          <w:i/>
          <w:color w:val="262626"/>
          <w:lang w:val="en-GB"/>
        </w:rPr>
        <w:t xml:space="preserve"> Inhibitor and triple antithrombotic therapy in the overall population and by group.</w:t>
      </w:r>
    </w:p>
    <w:p w14:paraId="78DA5C15" w14:textId="77777777" w:rsidR="005C15F7" w:rsidRPr="00662E5E" w:rsidRDefault="005C15F7" w:rsidP="005C15F7">
      <w:pPr>
        <w:spacing w:line="240" w:lineRule="auto"/>
        <w:rPr>
          <w:rFonts w:ascii="CMU Sans Serif" w:hAnsi="CMU Sans Serif" w:cs="CMU Sans Serif"/>
          <w:b/>
          <w:i/>
          <w:color w:val="262626"/>
          <w:lang w:val="en-GB"/>
        </w:rPr>
      </w:pPr>
    </w:p>
    <w:tbl>
      <w:tblPr>
        <w:tblStyle w:val="Grigliatabella"/>
        <w:tblW w:w="10962" w:type="dxa"/>
        <w:tblInd w:w="-670" w:type="dxa"/>
        <w:tblLook w:val="04A0" w:firstRow="1" w:lastRow="0" w:firstColumn="1" w:lastColumn="0" w:noHBand="0" w:noVBand="1"/>
      </w:tblPr>
      <w:tblGrid>
        <w:gridCol w:w="3330"/>
        <w:gridCol w:w="1843"/>
        <w:gridCol w:w="1984"/>
        <w:gridCol w:w="2126"/>
        <w:gridCol w:w="1679"/>
      </w:tblGrid>
      <w:tr w:rsidR="005C15F7" w:rsidRPr="00662E5E" w14:paraId="32067819" w14:textId="77777777" w:rsidTr="009D49F2">
        <w:trPr>
          <w:trHeight w:val="491"/>
        </w:trPr>
        <w:tc>
          <w:tcPr>
            <w:tcW w:w="33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6C0B907B" w14:textId="77777777" w:rsidR="005C15F7" w:rsidRPr="00662E5E" w:rsidRDefault="005C15F7" w:rsidP="009D49F2">
            <w:pPr>
              <w:spacing w:line="276" w:lineRule="auto"/>
              <w:rPr>
                <w:rFonts w:ascii="CMU Sans Serif" w:hAnsi="CMU Sans Serif" w:cs="CMU Sans Serif"/>
                <w:b/>
                <w:i/>
                <w:color w:val="262626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12B2AC75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/>
                <w:i/>
                <w:lang w:val="en-GB"/>
              </w:rPr>
            </w:pPr>
            <w:r w:rsidRPr="00662E5E">
              <w:rPr>
                <w:rFonts w:ascii="CMU Sans Serif" w:hAnsi="CMU Sans Serif" w:cs="CMU Sans Serif"/>
                <w:b/>
                <w:i/>
                <w:lang w:val="en-GB"/>
              </w:rPr>
              <w:t>Overall</w:t>
            </w:r>
          </w:p>
          <w:p w14:paraId="6B8EBC06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/>
                <w:i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i/>
                <w:lang w:val="en-GB"/>
              </w:rPr>
              <w:t>(n=686)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5DD022DF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/>
                <w:i/>
                <w:lang w:val="en-GB"/>
              </w:rPr>
            </w:pPr>
            <w:r w:rsidRPr="00662E5E">
              <w:rPr>
                <w:rFonts w:ascii="CMU Sans Serif" w:hAnsi="CMU Sans Serif" w:cs="CMU Sans Serif"/>
                <w:b/>
                <w:i/>
                <w:lang w:val="en-GB"/>
              </w:rPr>
              <w:t>Non Cangrelor</w:t>
            </w:r>
          </w:p>
          <w:p w14:paraId="14D6A60C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/>
                <w:i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bCs/>
                <w:i/>
                <w:lang w:val="en-GB"/>
              </w:rPr>
              <w:t>(n=488)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09ACD675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/>
                <w:bCs/>
                <w:i/>
                <w:lang w:val="en-GB"/>
              </w:rPr>
            </w:pPr>
            <w:r w:rsidRPr="00662E5E">
              <w:rPr>
                <w:rFonts w:ascii="CMU Sans Serif" w:hAnsi="CMU Sans Serif" w:cs="CMU Sans Serif"/>
                <w:b/>
                <w:bCs/>
                <w:i/>
                <w:lang w:val="en-GB"/>
              </w:rPr>
              <w:t>Cangrelor</w:t>
            </w:r>
          </w:p>
          <w:p w14:paraId="46ABED8B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/>
                <w:i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i/>
                <w:lang w:val="en-GB"/>
              </w:rPr>
              <w:t>(n=198)</w:t>
            </w:r>
          </w:p>
        </w:tc>
        <w:tc>
          <w:tcPr>
            <w:tcW w:w="1679" w:type="dxa"/>
            <w:tcBorders>
              <w:top w:val="single" w:sz="4" w:space="0" w:color="FFFFFF" w:themeColor="background1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FFFFFF" w:themeColor="background1"/>
            </w:tcBorders>
            <w:vAlign w:val="center"/>
          </w:tcPr>
          <w:p w14:paraId="4CC4B953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/>
                <w:i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b/>
                <w:i/>
                <w:lang w:val="en-GB"/>
              </w:rPr>
              <w:t>P</w:t>
            </w:r>
          </w:p>
        </w:tc>
      </w:tr>
      <w:tr w:rsidR="005C15F7" w:rsidRPr="00662E5E" w14:paraId="7C24C0D6" w14:textId="77777777" w:rsidTr="009D49F2">
        <w:trPr>
          <w:trHeight w:val="241"/>
        </w:trPr>
        <w:tc>
          <w:tcPr>
            <w:tcW w:w="3330" w:type="dxa"/>
            <w:tcBorders>
              <w:top w:val="single" w:sz="4" w:space="0" w:color="E7E6E6" w:themeColor="background2"/>
              <w:left w:val="single" w:sz="4" w:space="0" w:color="FFFFFF" w:themeColor="background1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3D3A33D8" w14:textId="77777777" w:rsidR="005C15F7" w:rsidRPr="00662E5E" w:rsidRDefault="005C15F7" w:rsidP="009D49F2">
            <w:pPr>
              <w:spacing w:line="276" w:lineRule="auto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lang w:val="en-GB"/>
              </w:rPr>
              <w:t>Ticagrelor</w:t>
            </w:r>
          </w:p>
        </w:tc>
        <w:tc>
          <w:tcPr>
            <w:tcW w:w="184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7CE3BA5C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  <w:t>481 (70.1%)</w:t>
            </w:r>
          </w:p>
        </w:tc>
        <w:tc>
          <w:tcPr>
            <w:tcW w:w="19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477153E8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  <w:t>364 (74.6%)</w:t>
            </w:r>
          </w:p>
        </w:tc>
        <w:tc>
          <w:tcPr>
            <w:tcW w:w="212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61ACC81E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  <w:t>117 (59.1%)</w:t>
            </w:r>
          </w:p>
        </w:tc>
        <w:tc>
          <w:tcPr>
            <w:tcW w:w="167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FFFFFF" w:themeColor="background1"/>
            </w:tcBorders>
            <w:vAlign w:val="center"/>
          </w:tcPr>
          <w:p w14:paraId="3C8602C3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  <w:t>&lt;0.001</w:t>
            </w:r>
          </w:p>
        </w:tc>
      </w:tr>
      <w:tr w:rsidR="005C15F7" w:rsidRPr="00662E5E" w14:paraId="394FCCD6" w14:textId="77777777" w:rsidTr="009D49F2">
        <w:trPr>
          <w:trHeight w:val="241"/>
        </w:trPr>
        <w:tc>
          <w:tcPr>
            <w:tcW w:w="3330" w:type="dxa"/>
            <w:tcBorders>
              <w:top w:val="single" w:sz="4" w:space="0" w:color="E7E6E6" w:themeColor="background2"/>
              <w:left w:val="single" w:sz="4" w:space="0" w:color="FFFFFF" w:themeColor="background1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2906D551" w14:textId="77777777" w:rsidR="005C15F7" w:rsidRPr="00662E5E" w:rsidRDefault="005C15F7" w:rsidP="009D49F2">
            <w:pPr>
              <w:spacing w:line="276" w:lineRule="auto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lang w:val="en-GB"/>
              </w:rPr>
              <w:t>Prasugrel</w:t>
            </w:r>
          </w:p>
        </w:tc>
        <w:tc>
          <w:tcPr>
            <w:tcW w:w="184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06325CC5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  <w:t>48 (7.0%)</w:t>
            </w:r>
          </w:p>
        </w:tc>
        <w:tc>
          <w:tcPr>
            <w:tcW w:w="19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551DAAF6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  <w:t>25 (5.1%)</w:t>
            </w:r>
          </w:p>
        </w:tc>
        <w:tc>
          <w:tcPr>
            <w:tcW w:w="212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6E347E73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  <w:t>23 (11.6%)</w:t>
            </w:r>
          </w:p>
        </w:tc>
        <w:tc>
          <w:tcPr>
            <w:tcW w:w="167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FFFFFF" w:themeColor="background1"/>
            </w:tcBorders>
            <w:vAlign w:val="center"/>
          </w:tcPr>
          <w:p w14:paraId="6EE3EEDF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  <w:t>0.003</w:t>
            </w:r>
          </w:p>
        </w:tc>
      </w:tr>
      <w:tr w:rsidR="005C15F7" w:rsidRPr="00662E5E" w14:paraId="0389CF97" w14:textId="77777777" w:rsidTr="009D49F2">
        <w:trPr>
          <w:trHeight w:val="250"/>
        </w:trPr>
        <w:tc>
          <w:tcPr>
            <w:tcW w:w="3330" w:type="dxa"/>
            <w:tcBorders>
              <w:top w:val="single" w:sz="4" w:space="0" w:color="E7E6E6" w:themeColor="background2"/>
              <w:left w:val="single" w:sz="4" w:space="0" w:color="FFFFFF" w:themeColor="background1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4571EFE7" w14:textId="77777777" w:rsidR="005C15F7" w:rsidRPr="00662E5E" w:rsidRDefault="005C15F7" w:rsidP="009D49F2">
            <w:pPr>
              <w:spacing w:line="276" w:lineRule="auto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lang w:val="en-GB"/>
              </w:rPr>
              <w:t>Clopidogrel</w:t>
            </w:r>
          </w:p>
        </w:tc>
        <w:tc>
          <w:tcPr>
            <w:tcW w:w="184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3F0D59AB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  <w:t xml:space="preserve">157 (22.9%)  </w:t>
            </w:r>
          </w:p>
        </w:tc>
        <w:tc>
          <w:tcPr>
            <w:tcW w:w="19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7E35CC69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  <w:t>99 (20.3%)</w:t>
            </w:r>
          </w:p>
        </w:tc>
        <w:tc>
          <w:tcPr>
            <w:tcW w:w="212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70EFC96F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  <w:t>58 (29.3%)</w:t>
            </w:r>
          </w:p>
        </w:tc>
        <w:tc>
          <w:tcPr>
            <w:tcW w:w="167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FFFFFF" w:themeColor="background1"/>
            </w:tcBorders>
            <w:vAlign w:val="center"/>
          </w:tcPr>
          <w:p w14:paraId="3A0F99BE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  <w:t>0.011</w:t>
            </w:r>
          </w:p>
        </w:tc>
      </w:tr>
      <w:tr w:rsidR="005C15F7" w:rsidRPr="00662E5E" w14:paraId="5C3EEAA7" w14:textId="77777777" w:rsidTr="009D49F2">
        <w:trPr>
          <w:trHeight w:val="482"/>
        </w:trPr>
        <w:tc>
          <w:tcPr>
            <w:tcW w:w="3330" w:type="dxa"/>
            <w:tcBorders>
              <w:top w:val="single" w:sz="4" w:space="0" w:color="E7E6E6" w:themeColor="background2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E7E6E6" w:themeColor="background2"/>
            </w:tcBorders>
            <w:vAlign w:val="center"/>
          </w:tcPr>
          <w:p w14:paraId="58ED84DB" w14:textId="77777777" w:rsidR="005C15F7" w:rsidRPr="00662E5E" w:rsidRDefault="005C15F7" w:rsidP="009D49F2">
            <w:pPr>
              <w:spacing w:line="276" w:lineRule="auto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262626"/>
                <w:lang w:val="en-GB"/>
              </w:rPr>
              <w:t>Triple antithrombotic therapy</w:t>
            </w:r>
          </w:p>
        </w:tc>
        <w:tc>
          <w:tcPr>
            <w:tcW w:w="1843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FFFFFF" w:themeColor="background1"/>
              <w:right w:val="single" w:sz="4" w:space="0" w:color="E7E6E6" w:themeColor="background2"/>
            </w:tcBorders>
            <w:vAlign w:val="center"/>
          </w:tcPr>
          <w:p w14:paraId="2B0EBDD2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262626"/>
                <w:lang w:val="en-GB"/>
              </w:rPr>
              <w:t>81 (11.8%)</w:t>
            </w:r>
          </w:p>
        </w:tc>
        <w:tc>
          <w:tcPr>
            <w:tcW w:w="198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FFFFFF" w:themeColor="background1"/>
              <w:right w:val="single" w:sz="4" w:space="0" w:color="E7E6E6" w:themeColor="background2"/>
            </w:tcBorders>
            <w:vAlign w:val="center"/>
          </w:tcPr>
          <w:p w14:paraId="6F94E938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262626"/>
                <w:lang w:val="en-GB"/>
              </w:rPr>
              <w:t>27 (13.6%)</w:t>
            </w:r>
          </w:p>
        </w:tc>
        <w:tc>
          <w:tcPr>
            <w:tcW w:w="2126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FFFFFF" w:themeColor="background1"/>
              <w:right w:val="single" w:sz="4" w:space="0" w:color="E7E6E6" w:themeColor="background2"/>
            </w:tcBorders>
            <w:vAlign w:val="center"/>
          </w:tcPr>
          <w:p w14:paraId="3EC3F192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262626"/>
                <w:lang w:val="en-GB"/>
              </w:rPr>
              <w:t>54 (11.1%)</w:t>
            </w:r>
          </w:p>
        </w:tc>
        <w:tc>
          <w:tcPr>
            <w:tcW w:w="1679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173AFD" w14:textId="77777777" w:rsidR="005C15F7" w:rsidRPr="00662E5E" w:rsidRDefault="005C15F7" w:rsidP="009D49F2">
            <w:pPr>
              <w:spacing w:line="276" w:lineRule="auto"/>
              <w:jc w:val="center"/>
              <w:rPr>
                <w:rFonts w:ascii="CMU Sans Serif" w:hAnsi="CMU Sans Serif" w:cs="CMU Sans Serif"/>
                <w:bCs/>
                <w:iCs/>
                <w:color w:val="262626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262626"/>
                <w:lang w:val="en-GB"/>
              </w:rPr>
              <w:t>0.344</w:t>
            </w:r>
          </w:p>
        </w:tc>
      </w:tr>
    </w:tbl>
    <w:p w14:paraId="74BCF47D" w14:textId="77777777" w:rsidR="005C15F7" w:rsidRPr="00662E5E" w:rsidRDefault="005C15F7" w:rsidP="005C15F7">
      <w:pPr>
        <w:spacing w:line="240" w:lineRule="auto"/>
        <w:rPr>
          <w:rFonts w:ascii="CMU Sans Serif" w:hAnsi="CMU Sans Serif" w:cs="CMU Sans Serif"/>
          <w:color w:val="262626"/>
          <w:lang w:val="en-GB"/>
        </w:rPr>
      </w:pPr>
    </w:p>
    <w:p w14:paraId="0FFC47DD" w14:textId="77777777" w:rsidR="005C15F7" w:rsidRPr="00662E5E" w:rsidRDefault="005C15F7" w:rsidP="005C15F7">
      <w:pPr>
        <w:spacing w:line="240" w:lineRule="auto"/>
        <w:rPr>
          <w:rFonts w:ascii="CMU Sans Serif" w:hAnsi="CMU Sans Serif" w:cs="CMU Sans Serif"/>
          <w:color w:val="262626"/>
          <w:lang w:val="en-GB"/>
        </w:rPr>
      </w:pPr>
      <w:r w:rsidRPr="00662E5E">
        <w:rPr>
          <w:rFonts w:ascii="CMU Sans Serif" w:hAnsi="CMU Sans Serif" w:cs="CMU Sans Serif"/>
          <w:color w:val="262626"/>
          <w:lang w:val="en-GB"/>
        </w:rPr>
        <w:t>Values are expressed as n (%).</w:t>
      </w:r>
    </w:p>
    <w:p w14:paraId="5C5DA4DA" w14:textId="77777777" w:rsidR="005C15F7" w:rsidRPr="00662E5E" w:rsidRDefault="005C15F7" w:rsidP="005C15F7">
      <w:pPr>
        <w:spacing w:after="160" w:line="259" w:lineRule="auto"/>
        <w:rPr>
          <w:rFonts w:ascii="CMU Sans Serif" w:hAnsi="CMU Sans Serif" w:cs="CMU Sans Serif"/>
          <w:b/>
          <w:i/>
          <w:sz w:val="28"/>
          <w:szCs w:val="28"/>
          <w:u w:val="single"/>
          <w:lang w:val="en-GB"/>
        </w:rPr>
      </w:pPr>
    </w:p>
    <w:p w14:paraId="0F8A288C" w14:textId="77777777" w:rsidR="005C15F7" w:rsidRPr="00662E5E" w:rsidRDefault="005C15F7" w:rsidP="005C15F7">
      <w:pPr>
        <w:spacing w:after="160" w:line="259" w:lineRule="auto"/>
        <w:jc w:val="left"/>
        <w:rPr>
          <w:rFonts w:ascii="CMU Sans Serif" w:hAnsi="CMU Sans Serif" w:cs="CMU Sans Serif"/>
          <w:b/>
          <w:i/>
          <w:lang w:val="en-GB"/>
        </w:rPr>
      </w:pPr>
    </w:p>
    <w:p w14:paraId="4242452C" w14:textId="77777777" w:rsidR="005C15F7" w:rsidRPr="00662E5E" w:rsidRDefault="005C15F7" w:rsidP="005C15F7">
      <w:pPr>
        <w:spacing w:after="160" w:line="259" w:lineRule="auto"/>
        <w:jc w:val="left"/>
        <w:rPr>
          <w:rFonts w:ascii="CMU Sans Serif" w:hAnsi="CMU Sans Serif" w:cs="CMU Sans Serif"/>
          <w:b/>
          <w:i/>
          <w:lang w:val="en-GB"/>
        </w:rPr>
      </w:pPr>
      <w:r w:rsidRPr="00662E5E">
        <w:rPr>
          <w:rFonts w:ascii="CMU Sans Serif" w:hAnsi="CMU Sans Serif" w:cs="CMU Sans Serif"/>
          <w:b/>
          <w:i/>
          <w:lang w:val="en-GB"/>
        </w:rPr>
        <w:br w:type="page"/>
      </w:r>
    </w:p>
    <w:p w14:paraId="03647950" w14:textId="77777777" w:rsidR="005C15F7" w:rsidRPr="00662E5E" w:rsidRDefault="005C15F7" w:rsidP="005C15F7">
      <w:pPr>
        <w:spacing w:after="160" w:line="259" w:lineRule="auto"/>
        <w:jc w:val="left"/>
        <w:rPr>
          <w:rFonts w:ascii="CMU Sans Serif" w:hAnsi="CMU Sans Serif" w:cs="CMU Sans Serif"/>
          <w:lang w:val="en-US"/>
        </w:rPr>
      </w:pPr>
      <w:r w:rsidRPr="00662E5E">
        <w:rPr>
          <w:rFonts w:ascii="CMU Sans Serif" w:hAnsi="CMU Sans Serif" w:cs="CMU Sans Serif"/>
          <w:b/>
          <w:i/>
          <w:lang w:val="en-GB"/>
        </w:rPr>
        <w:lastRenderedPageBreak/>
        <w:t>Table S2. Baseline characteristics of the PS matched population</w:t>
      </w:r>
    </w:p>
    <w:tbl>
      <w:tblPr>
        <w:tblW w:w="9496" w:type="dxa"/>
        <w:tblInd w:w="-43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236"/>
        <w:gridCol w:w="1113"/>
        <w:gridCol w:w="817"/>
        <w:gridCol w:w="1230"/>
        <w:gridCol w:w="1003"/>
        <w:gridCol w:w="1230"/>
        <w:gridCol w:w="916"/>
        <w:gridCol w:w="951"/>
      </w:tblGrid>
      <w:tr w:rsidR="005C15F7" w:rsidRPr="00662E5E" w14:paraId="2EF9B9AE" w14:textId="77777777" w:rsidTr="009D49F2">
        <w:trPr>
          <w:trHeight w:val="607"/>
        </w:trPr>
        <w:tc>
          <w:tcPr>
            <w:tcW w:w="223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08E9AC0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i/>
                <w:lang w:val="en-GB"/>
              </w:rPr>
            </w:pPr>
          </w:p>
        </w:tc>
        <w:tc>
          <w:tcPr>
            <w:tcW w:w="1113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9D3836E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b/>
                <w:i/>
                <w:lang w:val="en-GB"/>
              </w:rPr>
            </w:pPr>
            <w:r w:rsidRPr="00662E5E">
              <w:rPr>
                <w:rFonts w:ascii="CMU Sans Serif" w:hAnsi="CMU Sans Serif" w:cs="CMU Sans Serif"/>
                <w:b/>
                <w:i/>
                <w:lang w:val="en-GB"/>
              </w:rPr>
              <w:t>Overall</w:t>
            </w:r>
          </w:p>
          <w:p w14:paraId="0265D7F9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i/>
                <w:lang w:val="en-GB"/>
              </w:rPr>
            </w:pPr>
            <w:r w:rsidRPr="00662E5E">
              <w:rPr>
                <w:rFonts w:ascii="CMU Sans Serif" w:hAnsi="CMU Sans Serif" w:cs="CMU Sans Serif"/>
                <w:i/>
                <w:lang w:val="en-GB"/>
              </w:rPr>
              <w:t>(n=356)</w:t>
            </w:r>
          </w:p>
        </w:tc>
        <w:tc>
          <w:tcPr>
            <w:tcW w:w="8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</w:tcPr>
          <w:p w14:paraId="181B2A1A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b/>
                <w:bCs/>
                <w:i/>
                <w:lang w:val="en-GB"/>
              </w:rPr>
            </w:pPr>
          </w:p>
          <w:p w14:paraId="652AD53A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b/>
                <w:bCs/>
                <w:i/>
                <w:lang w:val="en-GB"/>
              </w:rPr>
            </w:pPr>
          </w:p>
        </w:tc>
        <w:tc>
          <w:tcPr>
            <w:tcW w:w="12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43023D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b/>
                <w:bCs/>
                <w:i/>
                <w:lang w:val="en-GB"/>
              </w:rPr>
            </w:pPr>
            <w:r w:rsidRPr="00662E5E">
              <w:rPr>
                <w:rFonts w:ascii="CMU Sans Serif" w:hAnsi="CMU Sans Serif" w:cs="CMU Sans Serif"/>
                <w:b/>
                <w:bCs/>
                <w:i/>
                <w:lang w:val="en-GB"/>
              </w:rPr>
              <w:t>Cangrelor</w:t>
            </w:r>
          </w:p>
          <w:p w14:paraId="20B9B4C8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i/>
                <w:lang w:val="en-GB"/>
              </w:rPr>
            </w:pPr>
            <w:r w:rsidRPr="00662E5E">
              <w:rPr>
                <w:rFonts w:ascii="CMU Sans Serif" w:hAnsi="CMU Sans Serif" w:cs="CMU Sans Serif"/>
                <w:i/>
                <w:lang w:val="en-GB"/>
              </w:rPr>
              <w:t>(n=178)</w:t>
            </w:r>
          </w:p>
        </w:tc>
        <w:tc>
          <w:tcPr>
            <w:tcW w:w="100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</w:tcPr>
          <w:p w14:paraId="0F590F3C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b/>
                <w:i/>
                <w:lang w:val="en-GB"/>
              </w:rPr>
            </w:pPr>
          </w:p>
        </w:tc>
        <w:tc>
          <w:tcPr>
            <w:tcW w:w="1230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66AA3B93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b/>
                <w:i/>
                <w:lang w:val="en-GB"/>
              </w:rPr>
            </w:pPr>
            <w:r w:rsidRPr="00662E5E">
              <w:rPr>
                <w:rFonts w:ascii="CMU Sans Serif" w:hAnsi="CMU Sans Serif" w:cs="CMU Sans Serif"/>
                <w:b/>
                <w:i/>
                <w:lang w:val="en-GB"/>
              </w:rPr>
              <w:t>Non Cangrelor</w:t>
            </w:r>
          </w:p>
          <w:p w14:paraId="2BBC5AE2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b/>
                <w:i/>
                <w:lang w:val="en-GB"/>
              </w:rPr>
            </w:pPr>
            <w:r w:rsidRPr="00662E5E">
              <w:rPr>
                <w:rFonts w:ascii="CMU Sans Serif" w:hAnsi="CMU Sans Serif" w:cs="CMU Sans Serif"/>
                <w:bCs/>
                <w:i/>
                <w:lang w:val="en-GB"/>
              </w:rPr>
              <w:t>(n=178)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</w:tcPr>
          <w:p w14:paraId="73F759D4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b/>
                <w:i/>
                <w:lang w:val="en-GB"/>
              </w:rPr>
            </w:pPr>
          </w:p>
        </w:tc>
        <w:tc>
          <w:tcPr>
            <w:tcW w:w="951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3E1006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b/>
                <w:i/>
                <w:lang w:val="en-GB"/>
              </w:rPr>
            </w:pPr>
            <w:r w:rsidRPr="00662E5E">
              <w:rPr>
                <w:rFonts w:ascii="CMU Sans Serif" w:hAnsi="CMU Sans Serif" w:cs="CMU Sans Serif"/>
                <w:b/>
                <w:i/>
                <w:lang w:val="en-GB"/>
              </w:rPr>
              <w:t>P</w:t>
            </w:r>
          </w:p>
        </w:tc>
      </w:tr>
      <w:tr w:rsidR="005C15F7" w:rsidRPr="00662E5E" w14:paraId="16337D1E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3D5519A9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Age &gt;75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04C62CE2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1B48E54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(30.3)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C4F725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D4A1CFD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(29.2)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6F46C184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56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87ADA38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(31.5)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125428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0.645</w:t>
            </w:r>
          </w:p>
        </w:tc>
      </w:tr>
      <w:tr w:rsidR="005C15F7" w:rsidRPr="00662E5E" w14:paraId="2093E2D2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053A1AB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36DF8AF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68.2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1CEA2A11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±11.5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E5C9582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68.3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0E07312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±11.2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DAB4105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68.2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DEA4199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±11.7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E349D2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0.846</w:t>
            </w:r>
          </w:p>
        </w:tc>
      </w:tr>
      <w:tr w:rsidR="005C15F7" w:rsidRPr="00662E5E" w14:paraId="408277C0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64714A8F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Female sex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69463999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80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61C80C4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(22.5)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84C568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695F754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(23.6)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23E3578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37962246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(21.3)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AD9D91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0.612</w:t>
            </w:r>
          </w:p>
        </w:tc>
      </w:tr>
      <w:tr w:rsidR="005C15F7" w:rsidRPr="00662E5E" w14:paraId="6E5D0E85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6838E3CE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STEMI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6988349E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95788FC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(56.5)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2F017E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C58FF5D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(56.2)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4D495C4A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126663FE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(56.7)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16CA55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0.915</w:t>
            </w:r>
          </w:p>
        </w:tc>
      </w:tr>
      <w:tr w:rsidR="005C15F7" w:rsidRPr="00662E5E" w14:paraId="64EAFD97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302F709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Diabetes Mellitus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23CBCB58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75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C44B5DA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(21.1)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3015698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7563DC5B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(21.3)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30998C8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7236DEBC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(20.8)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0BC756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0.897</w:t>
            </w:r>
          </w:p>
        </w:tc>
      </w:tr>
      <w:tr w:rsidR="005C15F7" w:rsidRPr="00662E5E" w14:paraId="01B98CC8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60F7169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Arterial Iperthension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97E7DAC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4A7EF9F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(77.0)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9A0932E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03B458C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(78.7)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CE7CCD3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3A980A4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(75.3)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B8B9B8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0.450</w:t>
            </w:r>
          </w:p>
        </w:tc>
      </w:tr>
      <w:tr w:rsidR="005C15F7" w:rsidRPr="00662E5E" w14:paraId="64BFB012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65A8C54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Dislypidemia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AC64AC9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42FCA73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(66.3)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87677EA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73E3398D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(69.7)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6F23C5A3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A620250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(62.9)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FF99E5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0.175</w:t>
            </w:r>
          </w:p>
        </w:tc>
      </w:tr>
      <w:tr w:rsidR="005C15F7" w:rsidRPr="00662E5E" w14:paraId="723AB751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8D28020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Smoker status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2E8A2072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40B8092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(33.1)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501BA2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440F157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(34.8)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0A776822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56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1E28571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(31.5)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261686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0.499</w:t>
            </w:r>
          </w:p>
        </w:tc>
      </w:tr>
      <w:tr w:rsidR="005C15F7" w:rsidRPr="00662E5E" w14:paraId="47692E54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19797CF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Familiar history of CAD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FA7C3EE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64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214523C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(18.0)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A39A4C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1F630890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(19.7)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54C4392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9C9136A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(16.3)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FAA3C2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0.408</w:t>
            </w:r>
          </w:p>
        </w:tc>
      </w:tr>
      <w:tr w:rsidR="005C15F7" w:rsidRPr="00662E5E" w14:paraId="1ADE151D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9233917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Obesity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4751E266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65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B6741FE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(18.3)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5B6612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4678E3D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(19.7)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23C8A1DD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62F65DBF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(16.9)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7746A6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0.493</w:t>
            </w:r>
          </w:p>
        </w:tc>
      </w:tr>
      <w:tr w:rsidR="005C15F7" w:rsidRPr="00662E5E" w14:paraId="3C9D2D8F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4DCC5F6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Previous PCI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4A352B2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62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78A858D1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(17.4)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64482D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3B31E919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(14.0)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04C83C94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10C89ABD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(20.8)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AE4F523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0.094</w:t>
            </w:r>
          </w:p>
        </w:tc>
      </w:tr>
      <w:tr w:rsidR="005C15F7" w:rsidRPr="00662E5E" w14:paraId="7CBBADD9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74E9ABE0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Previous CABG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4373A3EA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6642571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(6.7)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FD4D4D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328B3001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(5.6)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20BD7693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1F7AA192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(7.9)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953269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0.398</w:t>
            </w:r>
          </w:p>
        </w:tc>
      </w:tr>
      <w:tr w:rsidR="005C15F7" w:rsidRPr="00662E5E" w14:paraId="02D567C1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7095784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Prior revascularization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4C6F3C31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75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62650A73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(21.1)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4ED822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0C681F1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(18.0)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A73E27B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43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6AC439AF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(24.2)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E5E6D7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0.153</w:t>
            </w:r>
          </w:p>
        </w:tc>
      </w:tr>
      <w:tr w:rsidR="005C15F7" w:rsidRPr="00662E5E" w14:paraId="2A3C80B4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FF9F994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Prior AMI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43E891E3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C318A41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(15.2)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391C2D2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9EBB8A6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(11.2)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3178149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7C7A436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(19.1)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F38B86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b/>
                <w:bCs/>
                <w:color w:val="000000"/>
                <w:sz w:val="22"/>
                <w:szCs w:val="22"/>
              </w:rPr>
              <w:t>0.039</w:t>
            </w:r>
          </w:p>
        </w:tc>
      </w:tr>
      <w:tr w:rsidR="005C15F7" w:rsidRPr="00662E5E" w14:paraId="7E4B50AD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6E2237E1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Prior bleeding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1C69F50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BDA7B2F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(1.7)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B4799C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61AA5712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(2.8)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EDB420D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1C81D7DF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(0.6)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43561C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0.107</w:t>
            </w:r>
          </w:p>
        </w:tc>
      </w:tr>
      <w:tr w:rsidR="005C15F7" w:rsidRPr="00662E5E" w14:paraId="2AAE0360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A62FB41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Prior Stroke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24DB093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697BC793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(1.1)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A439E1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34D40A8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(0.6)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5B657A7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F4D8DB7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(1.7)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427C78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0.311</w:t>
            </w:r>
          </w:p>
        </w:tc>
      </w:tr>
      <w:tr w:rsidR="005C15F7" w:rsidRPr="00662E5E" w14:paraId="189174A5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70C45669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PAD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733E07F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C3846C5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(6.7)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5FFDD36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73D6652A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(7.9)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02F3E28A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6146795C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(5.6)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AAA539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0.398</w:t>
            </w:r>
          </w:p>
        </w:tc>
      </w:tr>
      <w:tr w:rsidR="005C15F7" w:rsidRPr="00662E5E" w14:paraId="1E810389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1F3497DD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  <w:lang w:val="en-US"/>
              </w:rPr>
              <w:t>Prior (30 days) major trauma or surgery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FB2BC6C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6F34B7C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(2.8)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A39C20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65A96DC9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(1.1)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2FE5A318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17AE98DA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(4.5)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2AA177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0.054</w:t>
            </w:r>
          </w:p>
        </w:tc>
      </w:tr>
      <w:tr w:rsidR="005C15F7" w:rsidRPr="00662E5E" w14:paraId="72226C44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671662D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CKD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769AA28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76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BB1AA42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(21.3)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DD64C4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7D6F9548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(23.0)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CBEE271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201E97D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(19.7)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670B1F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0.438</w:t>
            </w:r>
          </w:p>
        </w:tc>
      </w:tr>
      <w:tr w:rsidR="005C15F7" w:rsidRPr="00662E5E" w14:paraId="695F04E4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DA072E7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LVEF &lt; 30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7F64C7AE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84D4E27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(8.1)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8BC1665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2B3ED91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(7.9)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BADBB73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32FD1A92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(8.4)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F12D2E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0.846</w:t>
            </w:r>
          </w:p>
        </w:tc>
      </w:tr>
      <w:tr w:rsidR="005C15F7" w:rsidRPr="00662E5E" w14:paraId="55CF58E2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7D4B8E18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NIV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69724CE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7F6BD6DD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(4.5)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1EC8EE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30F3AFD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(3.4)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A56BE4D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CCF40E7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(5.6)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F9A8DA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0.306</w:t>
            </w:r>
          </w:p>
        </w:tc>
      </w:tr>
      <w:tr w:rsidR="005C15F7" w:rsidRPr="00662E5E" w14:paraId="29C2AAA6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E91BDF5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sz w:val="22"/>
                <w:szCs w:val="22"/>
              </w:rPr>
              <w:t>High-risk clinical profile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08310A0B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C5AF7A6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(15.7)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8DB893A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92C3B75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(16.3)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00F1B2A0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35E63AA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(15.2)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224BCB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0.771</w:t>
            </w:r>
          </w:p>
        </w:tc>
      </w:tr>
      <w:tr w:rsidR="005C15F7" w:rsidRPr="00662E5E" w14:paraId="48919AAB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C197E78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OTI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6915851A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79A02988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(8.1)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66469D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3EAFA06B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(9.0)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72AA093A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030E68B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(7.3)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090855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0.561</w:t>
            </w:r>
          </w:p>
        </w:tc>
      </w:tr>
      <w:tr w:rsidR="005C15F7" w:rsidRPr="00662E5E" w14:paraId="78704A75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14E768AB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Inotropes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0CA713BC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0ACBBD6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(9.3)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AEBE7B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33CE684D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(10.7)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0841B7B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371EF86E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(7.9)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2D5706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0.361</w:t>
            </w:r>
          </w:p>
        </w:tc>
      </w:tr>
      <w:tr w:rsidR="005C15F7" w:rsidRPr="00662E5E" w14:paraId="534CE5F9" w14:textId="77777777" w:rsidTr="009D49F2">
        <w:trPr>
          <w:trHeight w:val="293"/>
        </w:trPr>
        <w:tc>
          <w:tcPr>
            <w:tcW w:w="223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6E55D13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CCA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28304B0A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17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FBB8DC1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(10.4)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3A1E20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03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5A27284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(10.7)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440FF0F8" w14:textId="77777777" w:rsidR="005C15F7" w:rsidRPr="00662E5E" w:rsidRDefault="005C15F7" w:rsidP="009D49F2">
            <w:pPr>
              <w:spacing w:line="240" w:lineRule="auto"/>
              <w:jc w:val="right"/>
              <w:rPr>
                <w:rFonts w:ascii="CMU Sans Serif" w:hAnsi="CMU Sans Serif" w:cs="CMU Sans Serif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1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329C2AB8" w14:textId="77777777" w:rsidR="005C15F7" w:rsidRPr="00662E5E" w:rsidRDefault="005C15F7" w:rsidP="009D49F2">
            <w:pPr>
              <w:spacing w:line="240" w:lineRule="auto"/>
              <w:jc w:val="left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(10.1)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1F9968" w14:textId="77777777" w:rsidR="005C15F7" w:rsidRPr="00662E5E" w:rsidRDefault="005C15F7" w:rsidP="009D49F2">
            <w:pPr>
              <w:spacing w:line="240" w:lineRule="auto"/>
              <w:jc w:val="center"/>
              <w:rPr>
                <w:rFonts w:ascii="CMU Sans Serif" w:hAnsi="CMU Sans Serif" w:cs="CMU Sans Serif"/>
                <w:highlight w:val="yellow"/>
                <w:lang w:val="en-GB"/>
              </w:rPr>
            </w:pPr>
            <w:r w:rsidRPr="00662E5E">
              <w:rPr>
                <w:rFonts w:ascii="CMU Sans Serif" w:hAnsi="CMU Sans Serif" w:cs="CMU Sans Serif"/>
                <w:color w:val="000000"/>
                <w:sz w:val="22"/>
                <w:szCs w:val="22"/>
              </w:rPr>
              <w:t>0.862</w:t>
            </w:r>
          </w:p>
        </w:tc>
      </w:tr>
    </w:tbl>
    <w:p w14:paraId="481F6E54" w14:textId="77777777" w:rsidR="005C15F7" w:rsidRPr="00662E5E" w:rsidRDefault="005C15F7" w:rsidP="005C15F7">
      <w:pPr>
        <w:spacing w:after="160" w:line="259" w:lineRule="auto"/>
        <w:jc w:val="left"/>
        <w:rPr>
          <w:rFonts w:ascii="CMU Sans Serif" w:hAnsi="CMU Sans Serif" w:cs="CMU Sans Serif"/>
        </w:rPr>
      </w:pPr>
    </w:p>
    <w:p w14:paraId="78D8636E" w14:textId="77777777" w:rsidR="005C15F7" w:rsidRPr="00662E5E" w:rsidRDefault="005C15F7" w:rsidP="005C15F7">
      <w:pPr>
        <w:spacing w:line="240" w:lineRule="auto"/>
        <w:rPr>
          <w:rFonts w:ascii="CMU Sans Serif" w:hAnsi="CMU Sans Serif" w:cs="CMU Sans Serif"/>
          <w:color w:val="262626"/>
          <w:lang w:val="en-GB"/>
        </w:rPr>
      </w:pPr>
      <w:r w:rsidRPr="00662E5E">
        <w:rPr>
          <w:rFonts w:ascii="CMU Sans Serif" w:hAnsi="CMU Sans Serif" w:cs="CMU Sans Serif"/>
          <w:color w:val="262626"/>
          <w:lang w:val="en-GB"/>
        </w:rPr>
        <w:t>Values are expressed as mean±SD or n (%).</w:t>
      </w:r>
    </w:p>
    <w:p w14:paraId="206B67C7" w14:textId="77777777" w:rsidR="005C15F7" w:rsidRPr="00662E5E" w:rsidRDefault="005C15F7" w:rsidP="005C15F7">
      <w:pPr>
        <w:spacing w:line="240" w:lineRule="auto"/>
        <w:rPr>
          <w:rFonts w:ascii="CMU Sans Serif" w:hAnsi="CMU Sans Serif" w:cs="CMU Sans Serif"/>
          <w:color w:val="262626"/>
          <w:lang w:val="en-GB"/>
        </w:rPr>
      </w:pPr>
    </w:p>
    <w:p w14:paraId="6198CD89" w14:textId="3D342B33" w:rsidR="00DF0A9E" w:rsidRPr="00662E5E" w:rsidRDefault="005C15F7" w:rsidP="005C15F7">
      <w:pPr>
        <w:spacing w:line="240" w:lineRule="auto"/>
        <w:rPr>
          <w:rFonts w:ascii="CMU Sans Serif" w:hAnsi="CMU Sans Serif" w:cs="CMU Sans Serif"/>
          <w:color w:val="262626"/>
          <w:lang w:val="en-GB"/>
        </w:rPr>
      </w:pPr>
      <w:r w:rsidRPr="00662E5E">
        <w:rPr>
          <w:rFonts w:ascii="CMU Sans Serif" w:hAnsi="CMU Sans Serif" w:cs="CMU Sans Serif"/>
          <w:color w:val="262626"/>
          <w:lang w:val="en-GB"/>
        </w:rPr>
        <w:t>STEMI, ST elevation myocardial infarction, CAD: coronary artery disease; PCI, percutaneous coronary intervention; CABG, coronary artery bypass grafting; AMI, acute myocardial infarction, PAD, peripheral artery disease; CKD; chronic kidney disease; OTI, orotracheal intubation; CCA, cardiocirculatory arrest; LVEF: left ventricular ejection fraction.</w:t>
      </w:r>
    </w:p>
    <w:sectPr w:rsidR="00DF0A9E" w:rsidRPr="00662E5E" w:rsidSect="00FA2B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MU Sans Serif">
    <w:panose1 w:val="02000603000000000000"/>
    <w:charset w:val="00"/>
    <w:family w:val="auto"/>
    <w:pitch w:val="variable"/>
    <w:sig w:usb0="E10002FF" w:usb1="5201E9EB" w:usb2="00020004" w:usb3="00000000" w:csb0="000001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5F7"/>
    <w:rsid w:val="00107D60"/>
    <w:rsid w:val="005C15F7"/>
    <w:rsid w:val="00662E5E"/>
    <w:rsid w:val="00DF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55DC"/>
  <w15:chartTrackingRefBased/>
  <w15:docId w15:val="{4879E56D-19DD-4DA9-A7AD-27A6A626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15F7"/>
    <w:pPr>
      <w:spacing w:after="0" w:line="48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C15F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Napoli</dc:creator>
  <cp:keywords/>
  <dc:description/>
  <cp:lastModifiedBy>Gianluigi Napoli</cp:lastModifiedBy>
  <cp:revision>2</cp:revision>
  <dcterms:created xsi:type="dcterms:W3CDTF">2022-09-29T10:38:00Z</dcterms:created>
  <dcterms:modified xsi:type="dcterms:W3CDTF">2022-12-19T12:06:00Z</dcterms:modified>
</cp:coreProperties>
</file>