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CD8527" w14:textId="77777777" w:rsidR="007D12D8" w:rsidRPr="00194DCA" w:rsidRDefault="007D12D8" w:rsidP="007D12D8">
      <w:pPr>
        <w:spacing w:line="480" w:lineRule="auto"/>
        <w:rPr>
          <w:sz w:val="24"/>
          <w:szCs w:val="24"/>
        </w:rPr>
      </w:pPr>
      <w:r w:rsidRPr="004E6F05">
        <w:rPr>
          <w:b/>
          <w:bCs/>
          <w:sz w:val="24"/>
          <w:szCs w:val="24"/>
        </w:rPr>
        <w:t>Graphical abstract</w:t>
      </w:r>
    </w:p>
    <w:p w14:paraId="0879EA5C" w14:textId="1C8E00A1" w:rsidR="007D12D8" w:rsidRDefault="007D12D8" w:rsidP="007D12D8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78CF631" wp14:editId="527639A3">
            <wp:extent cx="3238500" cy="18002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EA55D" w14:textId="48207FF2" w:rsidR="002F0F5E" w:rsidRDefault="007D12D8" w:rsidP="007D12D8">
      <w:r w:rsidRPr="002A671E">
        <w:rPr>
          <w:sz w:val="24"/>
          <w:szCs w:val="24"/>
        </w:rPr>
        <w:t xml:space="preserve">The </w:t>
      </w:r>
      <w:r>
        <w:rPr>
          <w:rFonts w:hint="eastAsia"/>
          <w:sz w:val="24"/>
          <w:szCs w:val="24"/>
        </w:rPr>
        <w:t>authors</w:t>
      </w:r>
      <w:r w:rsidRPr="002A671E">
        <w:rPr>
          <w:sz w:val="24"/>
          <w:szCs w:val="24"/>
        </w:rPr>
        <w:t xml:space="preserve"> found that</w:t>
      </w:r>
      <w:r>
        <w:rPr>
          <w:sz w:val="24"/>
          <w:szCs w:val="24"/>
        </w:rPr>
        <w:t xml:space="preserve"> HP-</w:t>
      </w:r>
      <w:r>
        <w:rPr>
          <w:rFonts w:ascii="Symbol" w:hAnsi="Symbol"/>
          <w:sz w:val="24"/>
          <w:szCs w:val="24"/>
        </w:rPr>
        <w:t></w:t>
      </w:r>
      <w:r>
        <w:rPr>
          <w:sz w:val="24"/>
          <w:szCs w:val="24"/>
        </w:rPr>
        <w:t>-CD inhibits proliferation and metastasis of TNBC via reducing cholesterol levels. HP-</w:t>
      </w:r>
      <w:r>
        <w:rPr>
          <w:rFonts w:ascii="Symbol" w:hAnsi="Symbol"/>
          <w:sz w:val="24"/>
          <w:szCs w:val="24"/>
        </w:rPr>
        <w:t></w:t>
      </w:r>
      <w:r>
        <w:rPr>
          <w:sz w:val="24"/>
          <w:szCs w:val="24"/>
        </w:rPr>
        <w:t>-CD promotes T cell recruitment to the TME and improves CD8</w:t>
      </w:r>
      <w:r>
        <w:rPr>
          <w:sz w:val="24"/>
          <w:szCs w:val="24"/>
          <w:vertAlign w:val="superscript"/>
        </w:rPr>
        <w:t>+</w:t>
      </w:r>
      <w:r>
        <w:rPr>
          <w:sz w:val="24"/>
          <w:szCs w:val="24"/>
        </w:rPr>
        <w:t xml:space="preserve"> T cell exhaustion. Additionally, HP-</w:t>
      </w:r>
      <w:r>
        <w:rPr>
          <w:rFonts w:ascii="Symbol" w:hAnsi="Symbol"/>
          <w:sz w:val="24"/>
          <w:szCs w:val="24"/>
        </w:rPr>
        <w:t></w:t>
      </w:r>
      <w:r>
        <w:rPr>
          <w:sz w:val="24"/>
          <w:szCs w:val="24"/>
        </w:rPr>
        <w:t>-CD inhibits TAMs accumulation.</w:t>
      </w:r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2D8"/>
    <w:rsid w:val="0021090F"/>
    <w:rsid w:val="003A76DF"/>
    <w:rsid w:val="007D12D8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078B3"/>
  <w15:chartTrackingRefBased/>
  <w15:docId w15:val="{0B64F631-775B-4CAB-BEDD-4E81DB26F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2D8"/>
    <w:pPr>
      <w:widowControl w:val="0"/>
      <w:spacing w:after="0" w:line="300" w:lineRule="auto"/>
      <w:jc w:val="both"/>
    </w:pPr>
    <w:rPr>
      <w:rFonts w:ascii="Times New Roman" w:eastAsia="SimSun" w:hAnsi="Times New Roman" w:cs="Times New Roman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>Springer Nature</Company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2023-01-03T09:07:00Z</dcterms:created>
  <dcterms:modified xsi:type="dcterms:W3CDTF">2023-01-03T09:07:00Z</dcterms:modified>
</cp:coreProperties>
</file>