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6A4" w:rsidRPr="00383C36" w:rsidRDefault="007526A4" w:rsidP="009C64EB">
      <w:pPr>
        <w:spacing w:line="480" w:lineRule="auto"/>
        <w:outlineLvl w:val="0"/>
        <w:rPr>
          <w:rFonts w:ascii="Arial" w:hAnsi="Arial" w:cs="Arial"/>
          <w:b/>
          <w:sz w:val="24"/>
          <w:szCs w:val="24"/>
        </w:rPr>
      </w:pPr>
      <w:r w:rsidRPr="00383C36">
        <w:rPr>
          <w:rFonts w:ascii="Arial" w:hAnsi="Arial" w:cs="Arial"/>
          <w:b/>
          <w:sz w:val="24"/>
          <w:szCs w:val="24"/>
        </w:rPr>
        <w:t>NK cell</w:t>
      </w:r>
      <w:r w:rsidR="00947406" w:rsidRPr="00383C36">
        <w:rPr>
          <w:rFonts w:ascii="Arial" w:hAnsi="Arial" w:cs="Arial"/>
          <w:b/>
          <w:sz w:val="24"/>
          <w:szCs w:val="24"/>
        </w:rPr>
        <w:t>s</w:t>
      </w:r>
      <w:r w:rsidRPr="00383C36">
        <w:rPr>
          <w:rFonts w:ascii="Arial" w:hAnsi="Arial" w:cs="Arial"/>
          <w:b/>
          <w:sz w:val="24"/>
          <w:szCs w:val="24"/>
        </w:rPr>
        <w:t xml:space="preserve"> encapsulated in micro</w:t>
      </w:r>
      <w:r w:rsidR="00947406" w:rsidRPr="00383C36">
        <w:rPr>
          <w:rFonts w:ascii="Arial" w:hAnsi="Arial" w:cs="Arial"/>
          <w:b/>
          <w:sz w:val="24"/>
          <w:szCs w:val="24"/>
        </w:rPr>
        <w:t>/macro</w:t>
      </w:r>
      <w:r w:rsidRPr="00383C36">
        <w:rPr>
          <w:rFonts w:ascii="Arial" w:hAnsi="Arial" w:cs="Arial"/>
          <w:b/>
          <w:sz w:val="24"/>
          <w:szCs w:val="24"/>
        </w:rPr>
        <w:t>pore-forming hydrogel via 3D bioprinting for tumor immunotherapy</w:t>
      </w:r>
    </w:p>
    <w:p w:rsidR="005A4D8E" w:rsidRPr="00383C36" w:rsidRDefault="00F936AD" w:rsidP="007526A4">
      <w:pPr>
        <w:spacing w:line="480" w:lineRule="auto"/>
        <w:jc w:val="left"/>
        <w:rPr>
          <w:rFonts w:ascii="Arial" w:hAnsi="Arial" w:cs="Arial"/>
          <w:sz w:val="24"/>
          <w:szCs w:val="24"/>
          <w:vertAlign w:val="superscript"/>
        </w:rPr>
      </w:pPr>
      <w:r w:rsidRPr="00383C36">
        <w:rPr>
          <w:rFonts w:ascii="Arial" w:hAnsi="Arial" w:cs="Arial"/>
          <w:sz w:val="24"/>
          <w:szCs w:val="24"/>
        </w:rPr>
        <w:t>Da</w:t>
      </w:r>
      <w:r w:rsidR="00F5643A" w:rsidRPr="00383C36">
        <w:rPr>
          <w:rFonts w:ascii="Arial" w:hAnsi="Arial" w:cs="Arial"/>
          <w:sz w:val="24"/>
          <w:szCs w:val="24"/>
        </w:rPr>
        <w:t>h</w:t>
      </w:r>
      <w:r w:rsidRPr="00383C36">
        <w:rPr>
          <w:rFonts w:ascii="Arial" w:hAnsi="Arial" w:cs="Arial"/>
          <w:sz w:val="24"/>
          <w:szCs w:val="24"/>
        </w:rPr>
        <w:t>ong Kim, Seona Jo, Dong</w:t>
      </w:r>
      <w:r w:rsidR="007526A4" w:rsidRPr="00383C36">
        <w:rPr>
          <w:rFonts w:ascii="Arial" w:hAnsi="Arial" w:cs="Arial"/>
          <w:sz w:val="24"/>
          <w:szCs w:val="24"/>
        </w:rPr>
        <w:t>Jin Lee, Seok-Min Kim, Ji Min Seok, Seon Ju Yeo, Jun Hee Lee, Jae Jong Lee, Kangwon Lee, Tae-Don Kim</w:t>
      </w:r>
      <w:r w:rsidR="007526A4" w:rsidRPr="00383C36">
        <w:rPr>
          <w:rFonts w:ascii="Arial" w:hAnsi="Arial" w:cs="Arial"/>
          <w:sz w:val="24"/>
          <w:szCs w:val="24"/>
          <w:vertAlign w:val="superscript"/>
        </w:rPr>
        <w:t>†</w:t>
      </w:r>
      <w:r w:rsidR="007526A4" w:rsidRPr="00383C36">
        <w:rPr>
          <w:rFonts w:ascii="Arial" w:hAnsi="Arial" w:cs="Arial"/>
          <w:sz w:val="24"/>
          <w:szCs w:val="24"/>
        </w:rPr>
        <w:t>, and Su A Park</w:t>
      </w:r>
      <w:r w:rsidR="007526A4" w:rsidRPr="00383C36">
        <w:rPr>
          <w:rFonts w:ascii="Arial" w:hAnsi="Arial" w:cs="Arial"/>
          <w:sz w:val="24"/>
          <w:szCs w:val="24"/>
          <w:vertAlign w:val="superscript"/>
        </w:rPr>
        <w:t>†</w:t>
      </w:r>
    </w:p>
    <w:p w:rsidR="007526A4" w:rsidRPr="005A4D8E" w:rsidRDefault="005A4D8E" w:rsidP="005A4D8E">
      <w:pPr>
        <w:widowControl/>
        <w:wordWrap/>
        <w:autoSpaceDE/>
        <w:autoSpaceDN/>
        <w:spacing w:after="160" w:line="259" w:lineRule="auto"/>
        <w:rPr>
          <w:rFonts w:ascii="Timees New Roman" w:hAnsi="Timees New Roman" w:cs="Times New Roman" w:hint="eastAsia"/>
          <w:sz w:val="24"/>
          <w:szCs w:val="24"/>
          <w:vertAlign w:val="superscript"/>
        </w:rPr>
      </w:pPr>
      <w:r>
        <w:rPr>
          <w:rFonts w:ascii="Timees New Roman" w:hAnsi="Timees New Roman" w:cs="Times New Roman" w:hint="eastAsia"/>
          <w:sz w:val="24"/>
          <w:szCs w:val="24"/>
          <w:vertAlign w:val="superscript"/>
        </w:rPr>
        <w:br w:type="page"/>
      </w:r>
    </w:p>
    <w:p w:rsidR="00060316" w:rsidRDefault="005A4D8E" w:rsidP="00200120">
      <w:pPr>
        <w:spacing w:line="480" w:lineRule="auto"/>
        <w:jc w:val="center"/>
      </w:pPr>
      <w:r w:rsidRPr="005A4D8E">
        <w:rPr>
          <w:rFonts w:ascii="Times New Roman" w:hAnsi="Times New Roman" w:cs="Times New Roman"/>
          <w:noProof/>
          <w:sz w:val="24"/>
          <w:szCs w:val="24"/>
          <w:lang w:bidi="ar-SA"/>
        </w:rPr>
        <w:lastRenderedPageBreak/>
        <w:drawing>
          <wp:inline distT="0" distB="0" distL="0" distR="0" wp14:anchorId="413B9975" wp14:editId="729FAD75">
            <wp:extent cx="5490476" cy="6715462"/>
            <wp:effectExtent l="0" t="0" r="0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0476" cy="6715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120" w:rsidRPr="00383C36" w:rsidRDefault="000D3C03" w:rsidP="009618A3">
      <w:pPr>
        <w:widowControl/>
        <w:wordWrap/>
        <w:autoSpaceDE/>
        <w:autoSpaceDN/>
        <w:spacing w:after="160" w:line="259" w:lineRule="auto"/>
        <w:rPr>
          <w:rFonts w:ascii="Arial" w:hAnsi="Arial" w:cs="Arial"/>
          <w:sz w:val="24"/>
          <w:szCs w:val="24"/>
        </w:rPr>
      </w:pPr>
      <w:r w:rsidRPr="00383C36">
        <w:rPr>
          <w:rFonts w:ascii="Arial" w:hAnsi="Arial" w:cs="Arial"/>
          <w:b/>
          <w:sz w:val="24"/>
          <w:szCs w:val="24"/>
        </w:rPr>
        <w:t xml:space="preserve">Supplementary </w:t>
      </w:r>
      <w:r w:rsidR="00270C48" w:rsidRPr="00383C36">
        <w:rPr>
          <w:rFonts w:ascii="Arial" w:hAnsi="Arial" w:cs="Arial"/>
          <w:b/>
          <w:sz w:val="24"/>
          <w:szCs w:val="24"/>
        </w:rPr>
        <w:t>F</w:t>
      </w:r>
      <w:r w:rsidR="005A4D8E" w:rsidRPr="00383C36">
        <w:rPr>
          <w:rFonts w:ascii="Arial" w:hAnsi="Arial" w:cs="Arial"/>
          <w:b/>
          <w:sz w:val="24"/>
          <w:szCs w:val="24"/>
        </w:rPr>
        <w:t>ig</w:t>
      </w:r>
      <w:r w:rsidR="00FC4717" w:rsidRPr="00383C36">
        <w:rPr>
          <w:rFonts w:ascii="Arial" w:hAnsi="Arial" w:cs="Arial"/>
          <w:b/>
          <w:sz w:val="24"/>
          <w:szCs w:val="24"/>
        </w:rPr>
        <w:t>. 1</w:t>
      </w:r>
      <w:r w:rsidR="005A4D8E" w:rsidRPr="00383C36">
        <w:rPr>
          <w:rFonts w:ascii="Arial" w:hAnsi="Arial" w:cs="Arial"/>
          <w:b/>
          <w:sz w:val="24"/>
          <w:szCs w:val="24"/>
        </w:rPr>
        <w:t xml:space="preserve"> </w:t>
      </w:r>
      <w:r w:rsidR="005A4D8E" w:rsidRPr="00383C36">
        <w:rPr>
          <w:rFonts w:ascii="Arial" w:hAnsi="Arial" w:cs="Arial"/>
          <w:sz w:val="24"/>
          <w:szCs w:val="24"/>
        </w:rPr>
        <w:t xml:space="preserve">Comparison of proliferation, viability and cytotoxicity according to NK92 cell density cultured in two-dimensions. </w:t>
      </w:r>
      <w:r w:rsidR="005A4D8E" w:rsidRPr="00383C36">
        <w:rPr>
          <w:rFonts w:ascii="Arial" w:hAnsi="Arial" w:cs="Arial"/>
          <w:b/>
          <w:sz w:val="24"/>
          <w:szCs w:val="24"/>
        </w:rPr>
        <w:t>(a)</w:t>
      </w:r>
      <w:r w:rsidR="005A4D8E" w:rsidRPr="00383C36">
        <w:rPr>
          <w:rFonts w:ascii="Arial" w:hAnsi="Arial" w:cs="Arial"/>
          <w:sz w:val="24"/>
          <w:szCs w:val="24"/>
        </w:rPr>
        <w:t xml:space="preserve"> Cell number of NK92 cell according to density. The higher the cell density, the higher the rate of increase. </w:t>
      </w:r>
      <w:r w:rsidR="005A4D8E" w:rsidRPr="00383C36">
        <w:rPr>
          <w:rFonts w:ascii="Arial" w:hAnsi="Arial" w:cs="Arial"/>
          <w:b/>
          <w:sz w:val="24"/>
          <w:szCs w:val="24"/>
        </w:rPr>
        <w:t>(b)</w:t>
      </w:r>
      <w:r w:rsidR="005A4D8E" w:rsidRPr="00383C36">
        <w:rPr>
          <w:rFonts w:ascii="Arial" w:hAnsi="Arial" w:cs="Arial"/>
          <w:sz w:val="24"/>
          <w:szCs w:val="24"/>
        </w:rPr>
        <w:t xml:space="preserve"> Cell proliferation folds of NK92 cell. </w:t>
      </w:r>
      <w:r w:rsidR="005A4D8E" w:rsidRPr="00383C36">
        <w:rPr>
          <w:rFonts w:ascii="Arial" w:hAnsi="Arial" w:cs="Arial"/>
          <w:b/>
          <w:sz w:val="24"/>
          <w:szCs w:val="24"/>
        </w:rPr>
        <w:t>(c)</w:t>
      </w:r>
      <w:r w:rsidR="005A4D8E" w:rsidRPr="00383C36">
        <w:rPr>
          <w:rFonts w:ascii="Arial" w:hAnsi="Arial" w:cs="Arial"/>
          <w:sz w:val="24"/>
          <w:szCs w:val="24"/>
        </w:rPr>
        <w:t xml:space="preserve"> Cell apoptosis and death on the day 5. </w:t>
      </w:r>
      <w:r w:rsidR="005A4D8E" w:rsidRPr="00383C36">
        <w:rPr>
          <w:rFonts w:ascii="Arial" w:hAnsi="Arial" w:cs="Arial"/>
          <w:b/>
          <w:sz w:val="24"/>
          <w:szCs w:val="24"/>
        </w:rPr>
        <w:t>(d)</w:t>
      </w:r>
      <w:r w:rsidR="005A4D8E" w:rsidRPr="00383C36">
        <w:rPr>
          <w:rFonts w:ascii="Arial" w:hAnsi="Arial" w:cs="Arial"/>
          <w:sz w:val="24"/>
          <w:szCs w:val="24"/>
        </w:rPr>
        <w:t xml:space="preserve"> NK92 cell lytic activity based on Calcein-AM cytotoxicity assay on day 3 and 5 at and E:T ratio of 2:1 and 1:1.</w:t>
      </w:r>
    </w:p>
    <w:p w:rsidR="005A4D8E" w:rsidRDefault="00200120" w:rsidP="00200120">
      <w:pPr>
        <w:widowControl/>
        <w:wordWrap/>
        <w:autoSpaceDE/>
        <w:autoSpaceDN/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noProof/>
          <w:lang w:bidi="ar-SA"/>
        </w:rPr>
        <w:lastRenderedPageBreak/>
        <w:drawing>
          <wp:inline distT="0" distB="0" distL="0" distR="0" wp14:anchorId="1B59F371" wp14:editId="280EE2D1">
            <wp:extent cx="5105583" cy="7367411"/>
            <wp:effectExtent l="0" t="0" r="0" b="508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583" cy="7367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120" w:rsidRPr="00A331C4" w:rsidRDefault="004221B2" w:rsidP="00200120">
      <w:pPr>
        <w:widowControl/>
        <w:wordWrap/>
        <w:autoSpaceDE/>
        <w:autoSpaceDN/>
        <w:spacing w:after="160" w:line="259" w:lineRule="auto"/>
        <w:rPr>
          <w:rFonts w:ascii="Arial" w:hAnsi="Arial" w:cs="Arial"/>
          <w:sz w:val="24"/>
          <w:szCs w:val="24"/>
        </w:rPr>
      </w:pPr>
      <w:r w:rsidRPr="00A331C4">
        <w:rPr>
          <w:rFonts w:ascii="Arial" w:hAnsi="Arial" w:cs="Arial"/>
          <w:b/>
          <w:sz w:val="24"/>
          <w:szCs w:val="24"/>
        </w:rPr>
        <w:t>Supplementary Fig</w:t>
      </w:r>
      <w:r w:rsidR="00FC4717" w:rsidRPr="00A331C4">
        <w:rPr>
          <w:rFonts w:ascii="Arial" w:hAnsi="Arial" w:cs="Arial"/>
          <w:b/>
          <w:sz w:val="24"/>
          <w:szCs w:val="24"/>
        </w:rPr>
        <w:t>.</w:t>
      </w:r>
      <w:r w:rsidRPr="00A331C4">
        <w:rPr>
          <w:rFonts w:ascii="Arial" w:hAnsi="Arial" w:cs="Arial"/>
          <w:b/>
          <w:sz w:val="24"/>
          <w:szCs w:val="24"/>
        </w:rPr>
        <w:t xml:space="preserve"> 2</w:t>
      </w:r>
      <w:r w:rsidR="00FC4717" w:rsidRPr="00A331C4">
        <w:rPr>
          <w:rFonts w:ascii="Arial" w:hAnsi="Arial" w:cs="Arial"/>
          <w:sz w:val="24"/>
          <w:szCs w:val="24"/>
        </w:rPr>
        <w:t xml:space="preserve"> </w:t>
      </w:r>
      <w:r w:rsidR="00200120" w:rsidRPr="00A331C4">
        <w:rPr>
          <w:rFonts w:ascii="Arial" w:hAnsi="Arial" w:cs="Arial"/>
          <w:sz w:val="24"/>
          <w:szCs w:val="24"/>
        </w:rPr>
        <w:t xml:space="preserve">Printing conditions of ALG and ALG/GEL-2 groups related to pressure and printing feed rate. ALG groups were printed at 300 mm/min at 60 kPa of pressure and ALG/GEL-2 group were </w:t>
      </w:r>
      <w:r w:rsidR="00A86335" w:rsidRPr="00A331C4">
        <w:rPr>
          <w:rFonts w:ascii="Arial" w:hAnsi="Arial" w:cs="Arial"/>
          <w:sz w:val="24"/>
          <w:szCs w:val="24"/>
        </w:rPr>
        <w:t>printed at 300 mm/min at 70 kPa. Scale bar = 400</w:t>
      </w:r>
      <w:r w:rsidR="00A86335" w:rsidRPr="00A331C4">
        <w:rPr>
          <w:rFonts w:ascii="Arial" w:hAnsi="Arial" w:cs="Arial"/>
        </w:rPr>
        <w:t xml:space="preserve"> </w:t>
      </w:r>
      <w:r w:rsidR="00A86335" w:rsidRPr="00A331C4">
        <w:rPr>
          <w:rFonts w:ascii="Arial" w:hAnsi="Arial" w:cs="Arial"/>
          <w:sz w:val="24"/>
          <w:szCs w:val="24"/>
        </w:rPr>
        <w:t>µm</w:t>
      </w:r>
      <w:r w:rsidR="00AF2045" w:rsidRPr="00A331C4">
        <w:rPr>
          <w:rFonts w:ascii="Arial" w:hAnsi="Arial" w:cs="Arial"/>
          <w:sz w:val="24"/>
          <w:szCs w:val="24"/>
        </w:rPr>
        <w:t>.</w:t>
      </w:r>
    </w:p>
    <w:p w:rsidR="00200120" w:rsidRDefault="00200120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00120" w:rsidRPr="00200120" w:rsidRDefault="00200120" w:rsidP="00200120">
      <w:pPr>
        <w:widowControl/>
        <w:wordWrap/>
        <w:autoSpaceDE/>
        <w:autoSpaceDN/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bidi="ar-SA"/>
        </w:rPr>
        <w:lastRenderedPageBreak/>
        <w:drawing>
          <wp:inline distT="0" distB="0" distL="0" distR="0" wp14:anchorId="1EC0B4AB" wp14:editId="70E0CFE4">
            <wp:extent cx="5070806" cy="7166344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3326" cy="7169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9B0" w:rsidRPr="00A331C4" w:rsidRDefault="00270C48" w:rsidP="00200120">
      <w:pPr>
        <w:widowControl/>
        <w:wordWrap/>
        <w:autoSpaceDE/>
        <w:autoSpaceDN/>
        <w:spacing w:after="160" w:line="259" w:lineRule="auto"/>
        <w:rPr>
          <w:rFonts w:ascii="Arial" w:hAnsi="Arial" w:cs="Arial"/>
          <w:sz w:val="24"/>
          <w:szCs w:val="24"/>
        </w:rPr>
      </w:pPr>
      <w:r w:rsidRPr="00A331C4">
        <w:rPr>
          <w:rFonts w:ascii="Arial" w:hAnsi="Arial" w:cs="Arial"/>
          <w:b/>
          <w:sz w:val="24"/>
          <w:szCs w:val="24"/>
        </w:rPr>
        <w:t xml:space="preserve">Supplementary </w:t>
      </w:r>
      <w:r w:rsidR="004F12D3" w:rsidRPr="00A331C4">
        <w:rPr>
          <w:rFonts w:ascii="Arial" w:hAnsi="Arial" w:cs="Arial"/>
          <w:b/>
          <w:sz w:val="24"/>
          <w:szCs w:val="24"/>
        </w:rPr>
        <w:t>Fig.</w:t>
      </w:r>
      <w:r w:rsidRPr="00A331C4">
        <w:rPr>
          <w:rFonts w:ascii="Arial" w:hAnsi="Arial" w:cs="Arial"/>
          <w:b/>
          <w:sz w:val="24"/>
          <w:szCs w:val="24"/>
        </w:rPr>
        <w:t xml:space="preserve"> 3</w:t>
      </w:r>
      <w:r w:rsidR="00200120" w:rsidRPr="00A331C4">
        <w:rPr>
          <w:rFonts w:ascii="Arial" w:hAnsi="Arial" w:cs="Arial"/>
          <w:sz w:val="24"/>
          <w:szCs w:val="24"/>
        </w:rPr>
        <w:t xml:space="preserve"> ED</w:t>
      </w:r>
      <w:r w:rsidR="00833353" w:rsidRPr="00A331C4">
        <w:rPr>
          <w:rFonts w:ascii="Arial" w:hAnsi="Arial" w:cs="Arial"/>
          <w:sz w:val="24"/>
          <w:szCs w:val="24"/>
        </w:rPr>
        <w:t>TA</w:t>
      </w:r>
      <w:r w:rsidR="00200120" w:rsidRPr="00A331C4">
        <w:rPr>
          <w:rFonts w:ascii="Arial" w:hAnsi="Arial" w:cs="Arial"/>
          <w:sz w:val="24"/>
          <w:szCs w:val="24"/>
        </w:rPr>
        <w:t xml:space="preserve"> concentration test for cell viability and alginate degradation.</w:t>
      </w:r>
      <w:r w:rsidR="00200120" w:rsidRPr="00A331C4">
        <w:rPr>
          <w:rFonts w:ascii="Arial" w:hAnsi="Arial" w:cs="Arial"/>
          <w:b/>
          <w:sz w:val="24"/>
          <w:szCs w:val="24"/>
        </w:rPr>
        <w:t xml:space="preserve"> (a)</w:t>
      </w:r>
      <w:r w:rsidR="00200120" w:rsidRPr="00A331C4">
        <w:rPr>
          <w:rFonts w:ascii="Arial" w:hAnsi="Arial" w:cs="Arial"/>
          <w:sz w:val="24"/>
          <w:szCs w:val="24"/>
        </w:rPr>
        <w:t xml:space="preserve"> Representative microscopic image of formation of NK92 cell clusters and viability related to cell condition according to EDTA concentrations. NK92 cells tend not to maint</w:t>
      </w:r>
      <w:r w:rsidR="009C7600" w:rsidRPr="00A331C4">
        <w:rPr>
          <w:rFonts w:ascii="Arial" w:hAnsi="Arial" w:cs="Arial"/>
          <w:sz w:val="24"/>
          <w:szCs w:val="24"/>
        </w:rPr>
        <w:t>ain cell clusters over 8mM.</w:t>
      </w:r>
      <w:r w:rsidR="00755A67" w:rsidRPr="00A331C4">
        <w:rPr>
          <w:rFonts w:ascii="Arial" w:hAnsi="Arial" w:cs="Arial"/>
          <w:sz w:val="24"/>
          <w:szCs w:val="24"/>
        </w:rPr>
        <w:t xml:space="preserve"> Scale bar = </w:t>
      </w:r>
      <w:r w:rsidR="00C0226C" w:rsidRPr="00A331C4">
        <w:rPr>
          <w:rFonts w:ascii="Arial" w:hAnsi="Arial" w:cs="Arial"/>
          <w:sz w:val="24"/>
          <w:szCs w:val="24"/>
        </w:rPr>
        <w:t>100 µm</w:t>
      </w:r>
      <w:r w:rsidR="00384129" w:rsidRPr="00A331C4">
        <w:rPr>
          <w:rFonts w:ascii="Arial" w:hAnsi="Arial" w:cs="Arial"/>
          <w:sz w:val="24"/>
          <w:szCs w:val="24"/>
        </w:rPr>
        <w:t>.</w:t>
      </w:r>
      <w:r w:rsidR="009C7600" w:rsidRPr="00A331C4">
        <w:rPr>
          <w:rFonts w:ascii="Arial" w:hAnsi="Arial" w:cs="Arial"/>
          <w:sz w:val="24"/>
          <w:szCs w:val="24"/>
        </w:rPr>
        <w:t xml:space="preserve"> </w:t>
      </w:r>
      <w:r w:rsidR="009C7600" w:rsidRPr="00A331C4">
        <w:rPr>
          <w:rFonts w:ascii="Arial" w:hAnsi="Arial" w:cs="Arial"/>
          <w:b/>
          <w:sz w:val="24"/>
          <w:szCs w:val="24"/>
        </w:rPr>
        <w:t>(b)</w:t>
      </w:r>
      <w:r w:rsidR="00200120" w:rsidRPr="00A331C4">
        <w:rPr>
          <w:rFonts w:ascii="Arial" w:hAnsi="Arial" w:cs="Arial"/>
          <w:sz w:val="24"/>
          <w:szCs w:val="24"/>
        </w:rPr>
        <w:t xml:space="preserve"> Degradation of 3% alginate hydrogel for 3D encapsulated NK92 cells preparation. 8</w:t>
      </w:r>
      <w:r w:rsidR="00135B10" w:rsidRPr="00A331C4">
        <w:rPr>
          <w:rFonts w:ascii="Arial" w:hAnsi="Arial" w:cs="Arial"/>
          <w:sz w:val="24"/>
          <w:szCs w:val="24"/>
        </w:rPr>
        <w:t xml:space="preserve"> </w:t>
      </w:r>
      <w:r w:rsidR="00200120" w:rsidRPr="00A331C4">
        <w:rPr>
          <w:rFonts w:ascii="Arial" w:hAnsi="Arial" w:cs="Arial"/>
          <w:sz w:val="24"/>
          <w:szCs w:val="24"/>
        </w:rPr>
        <w:t>mM EDTA concentration were used for hydrogel degradation.</w:t>
      </w:r>
      <w:r w:rsidR="0002406D" w:rsidRPr="00A331C4">
        <w:rPr>
          <w:rFonts w:ascii="Arial" w:hAnsi="Arial" w:cs="Arial"/>
          <w:sz w:val="24"/>
          <w:szCs w:val="24"/>
        </w:rPr>
        <w:t xml:space="preserve"> Scale bar = 1mm</w:t>
      </w:r>
      <w:r w:rsidR="00384129" w:rsidRPr="00A331C4">
        <w:rPr>
          <w:rFonts w:ascii="Arial" w:hAnsi="Arial" w:cs="Arial"/>
          <w:sz w:val="24"/>
          <w:szCs w:val="24"/>
        </w:rPr>
        <w:t>.</w:t>
      </w:r>
      <w:r w:rsidR="00A86335" w:rsidRPr="00A331C4">
        <w:rPr>
          <w:rFonts w:ascii="Arial" w:hAnsi="Arial" w:cs="Arial"/>
          <w:sz w:val="24"/>
          <w:szCs w:val="24"/>
        </w:rPr>
        <w:t xml:space="preserve"> </w:t>
      </w:r>
    </w:p>
    <w:p w:rsidR="001049B0" w:rsidRPr="009E61CE" w:rsidRDefault="001049B0">
      <w:pPr>
        <w:widowControl/>
        <w:wordWrap/>
        <w:autoSpaceDE/>
        <w:autoSpaceDN/>
        <w:spacing w:after="160" w:line="259" w:lineRule="auto"/>
        <w:rPr>
          <w:rFonts w:ascii="Arial" w:hAnsi="Arial" w:cs="Arial"/>
          <w:sz w:val="24"/>
          <w:szCs w:val="24"/>
        </w:rPr>
      </w:pPr>
      <w:r w:rsidRPr="009E61CE">
        <w:rPr>
          <w:rFonts w:ascii="Arial" w:hAnsi="Arial" w:cs="Arial"/>
          <w:noProof/>
          <w:lang w:bidi="ar-SA"/>
        </w:rPr>
        <w:lastRenderedPageBreak/>
        <w:drawing>
          <wp:inline distT="0" distB="0" distL="0" distR="0" wp14:anchorId="460ABA2A" wp14:editId="72164135">
            <wp:extent cx="5731348" cy="3458845"/>
            <wp:effectExtent l="0" t="0" r="3175" b="8255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348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9B0" w:rsidRPr="009E61CE" w:rsidRDefault="00BD0191">
      <w:pPr>
        <w:widowControl/>
        <w:wordWrap/>
        <w:autoSpaceDE/>
        <w:autoSpaceDN/>
        <w:spacing w:after="160" w:line="259" w:lineRule="auto"/>
        <w:rPr>
          <w:rFonts w:ascii="Arial" w:hAnsi="Arial" w:cs="Arial"/>
          <w:sz w:val="24"/>
          <w:szCs w:val="24"/>
        </w:rPr>
      </w:pPr>
      <w:r w:rsidRPr="009E61CE">
        <w:rPr>
          <w:rFonts w:ascii="Arial" w:hAnsi="Arial" w:cs="Arial"/>
          <w:b/>
          <w:sz w:val="24"/>
          <w:szCs w:val="24"/>
        </w:rPr>
        <w:t>Supplementary Fig</w:t>
      </w:r>
      <w:r w:rsidR="00CC0904" w:rsidRPr="009E61CE">
        <w:rPr>
          <w:rFonts w:ascii="Arial" w:hAnsi="Arial" w:cs="Arial"/>
          <w:b/>
          <w:sz w:val="24"/>
          <w:szCs w:val="24"/>
        </w:rPr>
        <w:t>.</w:t>
      </w:r>
      <w:r w:rsidRPr="009E61CE">
        <w:rPr>
          <w:rFonts w:ascii="Arial" w:hAnsi="Arial" w:cs="Arial"/>
          <w:b/>
          <w:sz w:val="24"/>
          <w:szCs w:val="24"/>
        </w:rPr>
        <w:t xml:space="preserve"> 4</w:t>
      </w:r>
      <w:r w:rsidR="001049B0" w:rsidRPr="009E61CE">
        <w:rPr>
          <w:rFonts w:ascii="Arial" w:hAnsi="Arial" w:cs="Arial"/>
          <w:b/>
          <w:sz w:val="24"/>
          <w:szCs w:val="24"/>
        </w:rPr>
        <w:t xml:space="preserve"> </w:t>
      </w:r>
      <w:r w:rsidR="001049B0" w:rsidRPr="009E61CE">
        <w:rPr>
          <w:rFonts w:ascii="Arial" w:hAnsi="Arial" w:cs="Arial"/>
          <w:sz w:val="24"/>
          <w:szCs w:val="24"/>
        </w:rPr>
        <w:t>Concentration of calcium chloride for alginate crosslinking. When ALG and ALG/GEL-2 groups were crosslinked by 3% CaCl</w:t>
      </w:r>
      <w:r w:rsidR="001049B0" w:rsidRPr="009E61CE">
        <w:rPr>
          <w:rFonts w:ascii="Arial" w:hAnsi="Arial" w:cs="Arial"/>
          <w:sz w:val="24"/>
          <w:szCs w:val="24"/>
          <w:vertAlign w:val="subscript"/>
        </w:rPr>
        <w:t>2</w:t>
      </w:r>
      <w:r w:rsidR="001049B0" w:rsidRPr="009E61CE">
        <w:rPr>
          <w:rFonts w:ascii="Arial" w:hAnsi="Arial" w:cs="Arial"/>
          <w:sz w:val="24"/>
          <w:szCs w:val="24"/>
        </w:rPr>
        <w:t>, NK92 cells were released out by hydrogel degradation on day 5.</w:t>
      </w:r>
      <w:r w:rsidR="006F4252" w:rsidRPr="009E61CE">
        <w:rPr>
          <w:rFonts w:ascii="Arial" w:hAnsi="Arial" w:cs="Arial"/>
          <w:sz w:val="24"/>
          <w:szCs w:val="24"/>
        </w:rPr>
        <w:t xml:space="preserve"> Scale bar = 500 µm</w:t>
      </w:r>
      <w:r w:rsidR="00E607D1" w:rsidRPr="009E61CE">
        <w:rPr>
          <w:rFonts w:ascii="Arial" w:hAnsi="Arial" w:cs="Arial"/>
          <w:sz w:val="24"/>
          <w:szCs w:val="24"/>
        </w:rPr>
        <w:t>.</w:t>
      </w:r>
    </w:p>
    <w:p w:rsidR="001049B0" w:rsidRDefault="001049B0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049B0" w:rsidRDefault="001049B0" w:rsidP="001049B0">
      <w:pPr>
        <w:widowControl/>
        <w:wordWrap/>
        <w:autoSpaceDE/>
        <w:autoSpaceDN/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bidi="ar-SA"/>
        </w:rPr>
        <w:lastRenderedPageBreak/>
        <w:drawing>
          <wp:inline distT="0" distB="0" distL="0" distR="0" wp14:anchorId="0D72B402" wp14:editId="652B0AF0">
            <wp:extent cx="5029200" cy="4290923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39907" cy="4300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B35" w:rsidRPr="009E61CE" w:rsidRDefault="00292B2E" w:rsidP="001049B0">
      <w:pPr>
        <w:widowControl/>
        <w:wordWrap/>
        <w:autoSpaceDE/>
        <w:autoSpaceDN/>
        <w:spacing w:after="160" w:line="259" w:lineRule="auto"/>
        <w:rPr>
          <w:rFonts w:ascii="Arial" w:hAnsi="Arial" w:cs="Arial"/>
          <w:sz w:val="24"/>
          <w:szCs w:val="24"/>
        </w:rPr>
      </w:pPr>
      <w:r w:rsidRPr="009E61CE">
        <w:rPr>
          <w:rFonts w:ascii="Arial" w:hAnsi="Arial" w:cs="Arial"/>
          <w:b/>
          <w:sz w:val="24"/>
          <w:szCs w:val="24"/>
        </w:rPr>
        <w:t>Supplementary Fig</w:t>
      </w:r>
      <w:r w:rsidR="00866289" w:rsidRPr="009E61CE">
        <w:rPr>
          <w:rFonts w:ascii="Arial" w:hAnsi="Arial" w:cs="Arial"/>
          <w:b/>
          <w:sz w:val="24"/>
          <w:szCs w:val="24"/>
        </w:rPr>
        <w:t>.</w:t>
      </w:r>
      <w:r w:rsidRPr="009E61CE">
        <w:rPr>
          <w:rFonts w:ascii="Arial" w:hAnsi="Arial" w:cs="Arial"/>
          <w:b/>
          <w:sz w:val="24"/>
          <w:szCs w:val="24"/>
        </w:rPr>
        <w:t xml:space="preserve"> 5</w:t>
      </w:r>
      <w:r w:rsidR="00866289" w:rsidRPr="009E61CE">
        <w:rPr>
          <w:rFonts w:ascii="Arial" w:hAnsi="Arial" w:cs="Arial"/>
          <w:b/>
          <w:sz w:val="24"/>
          <w:szCs w:val="24"/>
        </w:rPr>
        <w:t xml:space="preserve"> </w:t>
      </w:r>
      <w:r w:rsidR="001049B0" w:rsidRPr="009E61CE">
        <w:rPr>
          <w:rFonts w:ascii="Arial" w:hAnsi="Arial" w:cs="Arial"/>
          <w:sz w:val="24"/>
          <w:szCs w:val="24"/>
        </w:rPr>
        <w:t>Expression of activating receptors at 3D cultured zEGFR-CAR NK cells</w:t>
      </w:r>
      <w:r w:rsidR="007F15AC" w:rsidRPr="009E61CE">
        <w:rPr>
          <w:rFonts w:ascii="Arial" w:hAnsi="Arial" w:cs="Arial"/>
          <w:sz w:val="24"/>
          <w:szCs w:val="24"/>
        </w:rPr>
        <w:t xml:space="preserve"> (</w:t>
      </w:r>
      <w:r w:rsidR="00092BBC" w:rsidRPr="009E61CE">
        <w:rPr>
          <w:rFonts w:ascii="Arial" w:hAnsi="Arial" w:cs="Arial"/>
          <w:sz w:val="24"/>
          <w:szCs w:val="24"/>
        </w:rPr>
        <w:t xml:space="preserve">gray: </w:t>
      </w:r>
      <w:r w:rsidR="006B5C95" w:rsidRPr="009E61CE">
        <w:rPr>
          <w:rFonts w:ascii="Arial" w:hAnsi="Arial" w:cs="Arial"/>
          <w:sz w:val="24"/>
          <w:szCs w:val="24"/>
        </w:rPr>
        <w:t xml:space="preserve">2D cultured zEGFR-CAR NK cell, </w:t>
      </w:r>
      <w:r w:rsidR="00C20CEC" w:rsidRPr="009E61CE">
        <w:rPr>
          <w:rFonts w:ascii="Arial" w:hAnsi="Arial" w:cs="Arial"/>
          <w:sz w:val="24"/>
          <w:szCs w:val="24"/>
        </w:rPr>
        <w:t>r</w:t>
      </w:r>
      <w:r w:rsidR="007F15AC" w:rsidRPr="009E61CE">
        <w:rPr>
          <w:rFonts w:ascii="Arial" w:hAnsi="Arial" w:cs="Arial"/>
          <w:sz w:val="24"/>
          <w:szCs w:val="24"/>
        </w:rPr>
        <w:t>ed</w:t>
      </w:r>
      <w:r w:rsidR="006B5C95" w:rsidRPr="009E61CE">
        <w:rPr>
          <w:rFonts w:ascii="Arial" w:hAnsi="Arial" w:cs="Arial"/>
          <w:sz w:val="24"/>
          <w:szCs w:val="24"/>
        </w:rPr>
        <w:t>: 3D cultured zEGFR-CAR NK cell</w:t>
      </w:r>
      <w:r w:rsidR="007F15AC" w:rsidRPr="009E61CE">
        <w:rPr>
          <w:rFonts w:ascii="Arial" w:hAnsi="Arial" w:cs="Arial"/>
          <w:sz w:val="24"/>
          <w:szCs w:val="24"/>
        </w:rPr>
        <w:t>)</w:t>
      </w:r>
      <w:r w:rsidR="001049B0" w:rsidRPr="009E61CE">
        <w:rPr>
          <w:rFonts w:ascii="Arial" w:hAnsi="Arial" w:cs="Arial"/>
          <w:sz w:val="24"/>
          <w:szCs w:val="24"/>
        </w:rPr>
        <w:t xml:space="preserve">. </w:t>
      </w:r>
    </w:p>
    <w:p w:rsidR="00056B35" w:rsidRDefault="00056B35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049B0" w:rsidRPr="00154DE1" w:rsidRDefault="00292B2E" w:rsidP="001049B0">
      <w:pPr>
        <w:widowControl/>
        <w:wordWrap/>
        <w:autoSpaceDE/>
        <w:autoSpaceDN/>
        <w:spacing w:after="160" w:line="259" w:lineRule="auto"/>
        <w:rPr>
          <w:rFonts w:ascii="Arial" w:hAnsi="Arial" w:cs="Arial"/>
          <w:sz w:val="24"/>
          <w:szCs w:val="24"/>
        </w:rPr>
      </w:pPr>
      <w:bookmarkStart w:id="0" w:name="_GoBack"/>
      <w:r w:rsidRPr="00154DE1">
        <w:rPr>
          <w:rFonts w:ascii="Arial" w:hAnsi="Arial" w:cs="Arial"/>
          <w:b/>
          <w:sz w:val="24"/>
          <w:szCs w:val="24"/>
        </w:rPr>
        <w:lastRenderedPageBreak/>
        <w:t>Supplementary Table 1</w:t>
      </w:r>
      <w:r w:rsidR="00056B35" w:rsidRPr="00154DE1">
        <w:rPr>
          <w:rFonts w:ascii="Arial" w:hAnsi="Arial" w:cs="Arial"/>
          <w:b/>
          <w:sz w:val="24"/>
          <w:szCs w:val="24"/>
        </w:rPr>
        <w:t>.</w:t>
      </w:r>
      <w:r w:rsidR="00056B35" w:rsidRPr="00154DE1">
        <w:rPr>
          <w:rFonts w:ascii="Arial" w:hAnsi="Arial" w:cs="Arial"/>
          <w:sz w:val="24"/>
          <w:szCs w:val="24"/>
        </w:rPr>
        <w:t xml:space="preserve"> </w:t>
      </w:r>
      <w:bookmarkEnd w:id="0"/>
      <w:r w:rsidR="00056B35" w:rsidRPr="00154DE1">
        <w:rPr>
          <w:rFonts w:ascii="Arial" w:hAnsi="Arial" w:cs="Arial"/>
          <w:sz w:val="24"/>
          <w:szCs w:val="24"/>
        </w:rPr>
        <w:t>Gene specific primer sequences for qRT-PCR.</w:t>
      </w:r>
    </w:p>
    <w:p w:rsidR="00200120" w:rsidRPr="001049B0" w:rsidRDefault="00056B35" w:rsidP="00200120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bidi="ar-SA"/>
        </w:rPr>
        <w:drawing>
          <wp:inline distT="0" distB="0" distL="0" distR="0" wp14:anchorId="76609FBA" wp14:editId="7557CB29">
            <wp:extent cx="5731510" cy="6516370"/>
            <wp:effectExtent l="0" t="0" r="254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51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0120" w:rsidRPr="001049B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914" w:rsidRDefault="00A57914" w:rsidP="00947406">
      <w:pPr>
        <w:spacing w:after="0" w:line="240" w:lineRule="auto"/>
      </w:pPr>
      <w:r>
        <w:separator/>
      </w:r>
    </w:p>
  </w:endnote>
  <w:endnote w:type="continuationSeparator" w:id="0">
    <w:p w:rsidR="00A57914" w:rsidRDefault="00A57914" w:rsidP="00947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es New Roma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914" w:rsidRDefault="00A57914" w:rsidP="00947406">
      <w:pPr>
        <w:spacing w:after="0" w:line="240" w:lineRule="auto"/>
      </w:pPr>
      <w:r>
        <w:separator/>
      </w:r>
    </w:p>
  </w:footnote>
  <w:footnote w:type="continuationSeparator" w:id="0">
    <w:p w:rsidR="00A57914" w:rsidRDefault="00A57914" w:rsidP="009474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6A4"/>
    <w:rsid w:val="0002406D"/>
    <w:rsid w:val="00056B35"/>
    <w:rsid w:val="00060316"/>
    <w:rsid w:val="00092BBC"/>
    <w:rsid w:val="000D3B47"/>
    <w:rsid w:val="000D3C03"/>
    <w:rsid w:val="001049B0"/>
    <w:rsid w:val="00135B10"/>
    <w:rsid w:val="00154DE1"/>
    <w:rsid w:val="00181C34"/>
    <w:rsid w:val="00200120"/>
    <w:rsid w:val="00264CD5"/>
    <w:rsid w:val="00270C48"/>
    <w:rsid w:val="00292B2E"/>
    <w:rsid w:val="002B320D"/>
    <w:rsid w:val="002C58A4"/>
    <w:rsid w:val="0034682E"/>
    <w:rsid w:val="00361866"/>
    <w:rsid w:val="0036258D"/>
    <w:rsid w:val="00383C36"/>
    <w:rsid w:val="00384129"/>
    <w:rsid w:val="003E69A0"/>
    <w:rsid w:val="004221B2"/>
    <w:rsid w:val="00451A7B"/>
    <w:rsid w:val="004E1A26"/>
    <w:rsid w:val="004F12D3"/>
    <w:rsid w:val="005A4D8E"/>
    <w:rsid w:val="005B17C4"/>
    <w:rsid w:val="006B5C95"/>
    <w:rsid w:val="006F4252"/>
    <w:rsid w:val="00745173"/>
    <w:rsid w:val="007526A4"/>
    <w:rsid w:val="00755A67"/>
    <w:rsid w:val="007F15AC"/>
    <w:rsid w:val="00833353"/>
    <w:rsid w:val="00866289"/>
    <w:rsid w:val="00947406"/>
    <w:rsid w:val="009618A3"/>
    <w:rsid w:val="00961F92"/>
    <w:rsid w:val="009C64EB"/>
    <w:rsid w:val="009C7600"/>
    <w:rsid w:val="009E61CE"/>
    <w:rsid w:val="00A331C4"/>
    <w:rsid w:val="00A57914"/>
    <w:rsid w:val="00A86335"/>
    <w:rsid w:val="00AF2045"/>
    <w:rsid w:val="00B8315A"/>
    <w:rsid w:val="00BD0191"/>
    <w:rsid w:val="00BF5B0F"/>
    <w:rsid w:val="00C0226C"/>
    <w:rsid w:val="00C20CEC"/>
    <w:rsid w:val="00CC0904"/>
    <w:rsid w:val="00E034AE"/>
    <w:rsid w:val="00E607D1"/>
    <w:rsid w:val="00F22AA4"/>
    <w:rsid w:val="00F5643A"/>
    <w:rsid w:val="00F936AD"/>
    <w:rsid w:val="00FC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78CBB6B-75EF-4AE6-B933-58B566C9F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6A4"/>
    <w:pPr>
      <w:widowControl w:val="0"/>
      <w:wordWrap w:val="0"/>
      <w:autoSpaceDE w:val="0"/>
      <w:autoSpaceDN w:val="0"/>
      <w:spacing w:after="200" w:line="276" w:lineRule="auto"/>
    </w:pPr>
    <w:rPr>
      <w:lang w:bidi="si-L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740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47406"/>
    <w:rPr>
      <w:lang w:bidi="si-LK"/>
    </w:rPr>
  </w:style>
  <w:style w:type="paragraph" w:styleId="a4">
    <w:name w:val="footer"/>
    <w:basedOn w:val="a"/>
    <w:link w:val="Char0"/>
    <w:uiPriority w:val="99"/>
    <w:unhideWhenUsed/>
    <w:rsid w:val="0094740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47406"/>
    <w:rPr>
      <w:lang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7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Dahong Kim</dc:creator>
  <cp:keywords/>
  <dc:description/>
  <cp:lastModifiedBy>Dahong Kim</cp:lastModifiedBy>
  <cp:revision>46</cp:revision>
  <dcterms:created xsi:type="dcterms:W3CDTF">2022-06-21T07:09:00Z</dcterms:created>
  <dcterms:modified xsi:type="dcterms:W3CDTF">2022-12-08T10:23:00Z</dcterms:modified>
</cp:coreProperties>
</file>