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8FE8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 w:rsidRPr="008C0AB5">
        <w:rPr>
          <w:rFonts w:ascii="Arial" w:hAnsi="Arial" w:cs="Arial"/>
          <w:b/>
          <w:bCs/>
          <w:color w:val="000000" w:themeColor="text1"/>
          <w:sz w:val="24"/>
        </w:rPr>
        <w:t>Fig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S</w:t>
      </w:r>
      <w:proofErr w:type="gramStart"/>
      <w:r w:rsidRPr="008C0AB5">
        <w:rPr>
          <w:rFonts w:ascii="Arial" w:hAnsi="Arial" w:cs="Arial"/>
          <w:b/>
          <w:bCs/>
          <w:color w:val="000000" w:themeColor="text1"/>
          <w:sz w:val="24"/>
        </w:rPr>
        <w:t>1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 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WWC</w:t>
      </w:r>
      <w:proofErr w:type="gram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proteins regulate protein stability of </w:t>
      </w:r>
      <w:proofErr w:type="spellStart"/>
      <w:r w:rsidRPr="008C0AB5">
        <w:rPr>
          <w:rFonts w:ascii="Arial" w:hAnsi="Arial" w:cs="Arial"/>
          <w:b/>
          <w:bCs/>
          <w:color w:val="000000" w:themeColor="text1"/>
          <w:sz w:val="24"/>
        </w:rPr>
        <w:t>Motins</w:t>
      </w:r>
      <w:proofErr w:type="spellEnd"/>
      <w:r w:rsidRPr="008C0AB5">
        <w:rPr>
          <w:rFonts w:ascii="Arial" w:hAnsi="Arial" w:cs="Arial"/>
          <w:b/>
          <w:bCs/>
          <w:color w:val="000000" w:themeColor="text1"/>
          <w:sz w:val="24"/>
        </w:rPr>
        <w:t>.</w:t>
      </w:r>
    </w:p>
    <w:p w14:paraId="5B9A6117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(A and B) </w:t>
      </w:r>
      <w:proofErr w:type="spellStart"/>
      <w:proofErr w:type="gramStart"/>
      <w:r w:rsidRPr="008C0AB5">
        <w:rPr>
          <w:rFonts w:ascii="Arial" w:hAnsi="Arial" w:cs="Arial"/>
          <w:color w:val="000000" w:themeColor="text1"/>
          <w:sz w:val="24"/>
        </w:rPr>
        <w:t>Motins</w:t>
      </w:r>
      <w:proofErr w:type="spellEnd"/>
      <w:proofErr w:type="gramEnd"/>
      <w:r w:rsidRPr="008C0AB5">
        <w:rPr>
          <w:rFonts w:ascii="Arial" w:hAnsi="Arial" w:cs="Arial"/>
          <w:color w:val="000000" w:themeColor="text1"/>
          <w:sz w:val="24"/>
        </w:rPr>
        <w:t xml:space="preserve"> protein levels are decreased in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WWC1/2/3</w:t>
      </w:r>
      <w:r w:rsidRPr="008C0AB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tKO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SH-SY5Y cells. Protein expression was determined by immunoblotting (A) and quantified (B).</w:t>
      </w:r>
    </w:p>
    <w:p w14:paraId="4C8B96D5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(C) Ectopic WWC rescues the expression of AMOTp130 in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WWC1/2/3</w:t>
      </w:r>
      <w:r w:rsidRPr="008C0AB5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tKO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HEK293A cells.</w:t>
      </w:r>
    </w:p>
    <w:p w14:paraId="7827313C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 w:rsidRPr="008C0AB5">
        <w:rPr>
          <w:rFonts w:ascii="Arial" w:hAnsi="Arial" w:cs="Arial"/>
          <w:b/>
          <w:bCs/>
          <w:color w:val="000000" w:themeColor="text1"/>
          <w:sz w:val="24"/>
        </w:rPr>
        <w:t>Fig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S</w:t>
      </w:r>
      <w:proofErr w:type="gramStart"/>
      <w:r w:rsidRPr="008C0AB5">
        <w:rPr>
          <w:rFonts w:ascii="Arial" w:hAnsi="Arial" w:cs="Arial"/>
          <w:b/>
          <w:bCs/>
          <w:color w:val="000000" w:themeColor="text1"/>
          <w:sz w:val="24"/>
        </w:rPr>
        <w:t>2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 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WW</w:t>
      </w:r>
      <w:proofErr w:type="gram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domain-</w:t>
      </w:r>
      <w:proofErr w:type="spellStart"/>
      <w:r w:rsidRPr="008C0AB5">
        <w:rPr>
          <w:rFonts w:ascii="Arial" w:hAnsi="Arial" w:cs="Arial"/>
          <w:b/>
          <w:bCs/>
          <w:color w:val="000000" w:themeColor="text1"/>
          <w:sz w:val="24"/>
        </w:rPr>
        <w:t>PPxY</w:t>
      </w:r>
      <w:proofErr w:type="spell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interaction is essential for the stabilization of </w:t>
      </w:r>
      <w:proofErr w:type="spellStart"/>
      <w:r w:rsidRPr="008C0AB5">
        <w:rPr>
          <w:rFonts w:ascii="Arial" w:hAnsi="Arial" w:cs="Arial"/>
          <w:b/>
          <w:bCs/>
          <w:color w:val="000000" w:themeColor="text1"/>
          <w:sz w:val="24"/>
        </w:rPr>
        <w:t>Motins</w:t>
      </w:r>
      <w:proofErr w:type="spellEnd"/>
      <w:r w:rsidRPr="008C0AB5">
        <w:rPr>
          <w:rFonts w:ascii="Arial" w:hAnsi="Arial" w:cs="Arial"/>
          <w:b/>
          <w:bCs/>
          <w:color w:val="000000" w:themeColor="text1"/>
          <w:sz w:val="24"/>
        </w:rPr>
        <w:t>.</w:t>
      </w:r>
    </w:p>
    <w:p w14:paraId="1298B0C7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>(A-C) Interaction of AMOTp130 with WWC1, WWC2, and WWC3. HEK293A cells were co-transfected with the indicated plasmids. Cell lysates were subjected to immunoprecipitation and immunoblotting.</w:t>
      </w:r>
    </w:p>
    <w:p w14:paraId="06C27E04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>(D and E) C2-like domain and PDZ-binding domain in WWC1 are not required for stabilization of AMOTp130. WWC1 truncations and WT WWC1 were expressed in HEK293A cells and immunoprecipitated with FLAG-beads. Bound AMOTp130 (MYC tagged or endogenous, D and E respectively) was analyzed by immunoblotting.</w:t>
      </w:r>
    </w:p>
    <w:p w14:paraId="6E690A03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>(F) Patient-derived WWC1 mutant (W88C) binds to AMOTp130 weakly. WT WWC1 and WWC1 W88C were expressed in HEK293A cells, and whole cell lysates were subjected to immunoprecipitation and immunoblotting.</w:t>
      </w:r>
    </w:p>
    <w:p w14:paraId="1335CE64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 w:rsidRPr="008C0AB5">
        <w:rPr>
          <w:rFonts w:ascii="Arial" w:hAnsi="Arial" w:cs="Arial"/>
          <w:b/>
          <w:bCs/>
          <w:color w:val="000000" w:themeColor="text1"/>
          <w:sz w:val="24"/>
        </w:rPr>
        <w:t>Fig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S</w:t>
      </w:r>
      <w:proofErr w:type="gramStart"/>
      <w:r w:rsidRPr="008C0AB5">
        <w:rPr>
          <w:rFonts w:ascii="Arial" w:hAnsi="Arial" w:cs="Arial"/>
          <w:b/>
          <w:bCs/>
          <w:color w:val="000000" w:themeColor="text1"/>
          <w:sz w:val="24"/>
        </w:rPr>
        <w:t>3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 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WWC</w:t>
      </w:r>
      <w:proofErr w:type="gram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proteins recruit USP9X to deubiquitinate and stabilize </w:t>
      </w:r>
      <w:proofErr w:type="spellStart"/>
      <w:r w:rsidRPr="008C0AB5">
        <w:rPr>
          <w:rFonts w:ascii="Arial" w:hAnsi="Arial" w:cs="Arial"/>
          <w:b/>
          <w:bCs/>
          <w:color w:val="000000" w:themeColor="text1"/>
          <w:sz w:val="24"/>
        </w:rPr>
        <w:t>Motins</w:t>
      </w:r>
      <w:proofErr w:type="spell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</w:p>
    <w:p w14:paraId="123B886E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lastRenderedPageBreak/>
        <w:t xml:space="preserve">USP9X regulate protein stability of AMOTp130. Whole-cell lysates from WT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USP9X</w:t>
      </w:r>
      <w:r w:rsidRPr="008C0AB5">
        <w:rPr>
          <w:rFonts w:ascii="Arial" w:hAnsi="Arial" w:cs="Arial"/>
          <w:color w:val="000000" w:themeColor="text1"/>
          <w:sz w:val="24"/>
        </w:rPr>
        <w:t xml:space="preserve"> </w:t>
      </w:r>
      <w:proofErr w:type="gramStart"/>
      <w:r w:rsidRPr="008C0AB5">
        <w:rPr>
          <w:rFonts w:ascii="Arial" w:hAnsi="Arial" w:cs="Arial"/>
          <w:color w:val="000000" w:themeColor="text1"/>
          <w:sz w:val="24"/>
        </w:rPr>
        <w:t>KO  HEK</w:t>
      </w:r>
      <w:proofErr w:type="gramEnd"/>
      <w:r w:rsidRPr="008C0AB5">
        <w:rPr>
          <w:rFonts w:ascii="Arial" w:hAnsi="Arial" w:cs="Arial"/>
          <w:color w:val="000000" w:themeColor="text1"/>
          <w:sz w:val="24"/>
        </w:rPr>
        <w:t>293A cells treated with cycloheximide (CHX; 100 mg/mL for 2 to 10 h) were subjected to immunoblotting.</w:t>
      </w:r>
    </w:p>
    <w:p w14:paraId="71295990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 w:rsidRPr="008C0AB5">
        <w:rPr>
          <w:rFonts w:ascii="Arial" w:hAnsi="Arial" w:cs="Arial"/>
          <w:b/>
          <w:bCs/>
          <w:color w:val="000000" w:themeColor="text1"/>
          <w:sz w:val="24"/>
        </w:rPr>
        <w:t>Fig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S</w:t>
      </w:r>
      <w:proofErr w:type="gramStart"/>
      <w:r w:rsidRPr="008C0AB5">
        <w:rPr>
          <w:rFonts w:ascii="Arial" w:hAnsi="Arial" w:cs="Arial"/>
          <w:b/>
          <w:bCs/>
          <w:color w:val="000000" w:themeColor="text1"/>
          <w:sz w:val="24"/>
        </w:rPr>
        <w:t>4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 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WWC</w:t>
      </w:r>
      <w:proofErr w:type="gram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proteins regulate </w:t>
      </w:r>
      <w:proofErr w:type="spellStart"/>
      <w:r w:rsidRPr="008C0AB5">
        <w:rPr>
          <w:rFonts w:ascii="Arial" w:hAnsi="Arial" w:cs="Arial"/>
          <w:b/>
          <w:bCs/>
          <w:color w:val="000000" w:themeColor="text1"/>
          <w:sz w:val="24"/>
        </w:rPr>
        <w:t>Motin</w:t>
      </w:r>
      <w:proofErr w:type="spell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stability in mouse brain.</w:t>
      </w:r>
    </w:p>
    <w:p w14:paraId="5A5DD9B4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>(A) Representative immunoblot analysis of WWC proteins expression in different brain areas. “OB”: olfactory bulbs; “St”: striatum; “Hippo”: hippocampus; “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Cx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>”: cortex; “Th”: thalamus; “Mb”: midbrain; “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Cb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>”: cerebellum.</w:t>
      </w:r>
    </w:p>
    <w:p w14:paraId="5D75B9E9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(B) WWC proteins expression increases during neuronal development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in vitro</w:t>
      </w:r>
      <w:r w:rsidRPr="008C0AB5">
        <w:rPr>
          <w:rFonts w:ascii="Arial" w:hAnsi="Arial" w:cs="Arial"/>
          <w:color w:val="000000" w:themeColor="text1"/>
          <w:sz w:val="24"/>
        </w:rPr>
        <w:t>. Cell lysates from primary cultured cortical neurons on the indicated days in vitro (DIV) were analyzed by immunoblotting.</w:t>
      </w:r>
    </w:p>
    <w:p w14:paraId="086A1297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(C and D) Expression of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Motins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and WWC1/2 in PSD. Immunoblotting analysis of WWC proteins and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Motins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in postsynaptic density isolated from cortex (C) and hippocampus (D), respectively. “</w:t>
      </w:r>
      <w:proofErr w:type="gramStart"/>
      <w:r w:rsidRPr="008C0AB5">
        <w:rPr>
          <w:rFonts w:ascii="Arial" w:hAnsi="Arial" w:cs="Arial"/>
          <w:color w:val="000000" w:themeColor="text1"/>
          <w:sz w:val="24"/>
        </w:rPr>
        <w:t>Total”=</w:t>
      </w:r>
      <w:proofErr w:type="gramEnd"/>
      <w:r w:rsidRPr="008C0AB5">
        <w:rPr>
          <w:rFonts w:ascii="Arial" w:hAnsi="Arial" w:cs="Arial"/>
          <w:color w:val="000000" w:themeColor="text1"/>
          <w:sz w:val="24"/>
        </w:rPr>
        <w:t xml:space="preserve"> without fractionation; “Non-PSD”=non postsynaptic density; “PSD”= postsynaptic density.</w:t>
      </w:r>
    </w:p>
    <w:p w14:paraId="6857D064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(E) Smaller brain associated with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color w:val="000000" w:themeColor="text1"/>
          <w:sz w:val="24"/>
        </w:rPr>
        <w:t xml:space="preserve"> deletion. Whole brain weight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(n=8-16)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Nes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(n=3-11) mice at different ages.</w:t>
      </w:r>
    </w:p>
    <w:p w14:paraId="0BE28C9C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(F) Smaller body associated with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color w:val="000000" w:themeColor="text1"/>
          <w:sz w:val="24"/>
        </w:rPr>
        <w:t xml:space="preserve"> deletion. Body weight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(n=6)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Nes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(n=5) mice at different ages.</w:t>
      </w:r>
    </w:p>
    <w:p w14:paraId="0D38EEF4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(G and H) Validation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color w:val="000000" w:themeColor="text1"/>
          <w:sz w:val="24"/>
        </w:rPr>
        <w:t xml:space="preserve">-knockout efficiency in cortex (G) and hippocampus (H) from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Nes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mice by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qRT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-PCR.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, n=4;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Nes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>, n=3.</w:t>
      </w:r>
    </w:p>
    <w:p w14:paraId="166460D0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 w:rsidRPr="008C0AB5">
        <w:rPr>
          <w:rFonts w:ascii="Arial" w:hAnsi="Arial" w:cs="Arial"/>
          <w:b/>
          <w:bCs/>
          <w:color w:val="000000" w:themeColor="text1"/>
          <w:sz w:val="24"/>
        </w:rPr>
        <w:t>Fig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S</w:t>
      </w:r>
      <w:proofErr w:type="gramStart"/>
      <w:r w:rsidRPr="008C0AB5">
        <w:rPr>
          <w:rFonts w:ascii="Arial" w:hAnsi="Arial" w:cs="Arial"/>
          <w:b/>
          <w:bCs/>
          <w:color w:val="000000" w:themeColor="text1"/>
          <w:sz w:val="24"/>
        </w:rPr>
        <w:t>5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  </w:t>
      </w:r>
      <w:r w:rsidRPr="008C0AB5">
        <w:rPr>
          <w:rFonts w:ascii="Arial" w:hAnsi="Arial" w:cs="Arial"/>
          <w:b/>
          <w:bCs/>
          <w:i/>
          <w:iCs/>
          <w:color w:val="000000" w:themeColor="text1"/>
          <w:sz w:val="24"/>
        </w:rPr>
        <w:t>Wwc</w:t>
      </w:r>
      <w:proofErr w:type="gramEnd"/>
      <w:r w:rsidRPr="008C0AB5">
        <w:rPr>
          <w:rFonts w:ascii="Arial" w:hAnsi="Arial" w:cs="Arial"/>
          <w:b/>
          <w:bCs/>
          <w:i/>
          <w:iCs/>
          <w:color w:val="000000" w:themeColor="text1"/>
          <w:sz w:val="24"/>
        </w:rPr>
        <w:t>1/2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deficiency in neuron leads to cognitive dysfunction.</w:t>
      </w:r>
    </w:p>
    <w:p w14:paraId="23E2B872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lastRenderedPageBreak/>
        <w:t xml:space="preserve">(A) Body weight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(n=5)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(n=5) mice at different ages.</w:t>
      </w:r>
    </w:p>
    <w:p w14:paraId="4BCABFAF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(B) Whole brain weight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(n=8-16)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(n=3-9) mice at different ages.</w:t>
      </w:r>
    </w:p>
    <w:p w14:paraId="3C288759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(C) Hematoxylin-eosin staining of sagittal sections of the whole brain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mice at P21. Scale bar, 600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μm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>.</w:t>
      </w:r>
    </w:p>
    <w:p w14:paraId="79DD34F3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(D) Quantification of thickness of neocortex for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mice at P0.</w:t>
      </w:r>
    </w:p>
    <w:p w14:paraId="36454364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(E) Representative images of P0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and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cortices stained for SATB2, CTIP2 and TBR1. Scale bar, 25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μm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>.</w:t>
      </w:r>
    </w:p>
    <w:p w14:paraId="1A372993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(F) Representative traces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mice and their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littermates in the open-field arena. The shaded area represents central area in the open field.</w:t>
      </w:r>
    </w:p>
    <w:p w14:paraId="5142A280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(G-I) Quantification of the total distance (G), time in center (H), and velocity (I) in the open field test.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, n=19;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>, n=16.</w:t>
      </w:r>
    </w:p>
    <w:p w14:paraId="0460E7E3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(J) Representative tracing heatmap analysis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mice and their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littermates in elevated plus maze test.</w:t>
      </w:r>
    </w:p>
    <w:p w14:paraId="14ACABB6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(K) Quantification of total time spent in the closed arms and open arms of the elevated plus maze test.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, n=12;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>, n=8.</w:t>
      </w:r>
    </w:p>
    <w:p w14:paraId="3F441A18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(L) Quantification of total immobile time in the tail suspension test.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, n=10;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>, n=7.</w:t>
      </w:r>
    </w:p>
    <w:p w14:paraId="32A9CE4E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lastRenderedPageBreak/>
        <w:t xml:space="preserve">(M) Quantification of the latency to fall in the rotarod test.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, n=10;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</w:t>
      </w:r>
      <w:proofErr w:type="gramStart"/>
      <w:r w:rsidRPr="008C0AB5">
        <w:rPr>
          <w:rFonts w:ascii="Arial" w:hAnsi="Arial" w:cs="Arial"/>
          <w:color w:val="000000" w:themeColor="text1"/>
          <w:sz w:val="24"/>
          <w:vertAlign w:val="superscript"/>
        </w:rPr>
        <w:t>cKO</w:t>
      </w:r>
      <w:r w:rsidRPr="008C0AB5">
        <w:rPr>
          <w:rFonts w:ascii="Arial" w:hAnsi="Arial" w:cs="Arial"/>
          <w:color w:val="000000" w:themeColor="text1"/>
          <w:sz w:val="24"/>
        </w:rPr>
        <w:t xml:space="preserve"> ,</w:t>
      </w:r>
      <w:proofErr w:type="gramEnd"/>
      <w:r w:rsidRPr="008C0AB5">
        <w:rPr>
          <w:rFonts w:ascii="Arial" w:hAnsi="Arial" w:cs="Arial"/>
          <w:color w:val="000000" w:themeColor="text1"/>
          <w:sz w:val="24"/>
        </w:rPr>
        <w:t xml:space="preserve"> n=8.</w:t>
      </w:r>
    </w:p>
    <w:p w14:paraId="000C5332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 w:rsidRPr="008C0AB5">
        <w:rPr>
          <w:rFonts w:ascii="Arial" w:hAnsi="Arial" w:cs="Arial"/>
          <w:b/>
          <w:bCs/>
          <w:color w:val="000000" w:themeColor="text1"/>
          <w:sz w:val="24"/>
        </w:rPr>
        <w:t>Fig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S</w:t>
      </w:r>
      <w:proofErr w:type="gramStart"/>
      <w:r w:rsidRPr="008C0AB5">
        <w:rPr>
          <w:rFonts w:ascii="Arial" w:hAnsi="Arial" w:cs="Arial"/>
          <w:b/>
          <w:bCs/>
          <w:color w:val="000000" w:themeColor="text1"/>
          <w:sz w:val="24"/>
        </w:rPr>
        <w:t>6</w:t>
      </w:r>
      <w:r>
        <w:rPr>
          <w:rFonts w:ascii="Arial" w:hAnsi="Arial" w:cs="Arial"/>
          <w:b/>
          <w:bCs/>
          <w:color w:val="000000" w:themeColor="text1"/>
          <w:sz w:val="24"/>
        </w:rPr>
        <w:t xml:space="preserve">  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>Ectopic</w:t>
      </w:r>
      <w:proofErr w:type="gramEnd"/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expression of AMOTp130 ameliorates cognitive impairment in </w:t>
      </w:r>
      <w:r w:rsidRPr="008C0AB5">
        <w:rPr>
          <w:rFonts w:ascii="Arial" w:hAnsi="Arial" w:cs="Arial"/>
          <w:b/>
          <w:bCs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b/>
          <w:bCs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b/>
          <w:bCs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b/>
          <w:bCs/>
          <w:color w:val="000000" w:themeColor="text1"/>
          <w:sz w:val="24"/>
        </w:rPr>
        <w:t xml:space="preserve"> mice.</w:t>
      </w:r>
    </w:p>
    <w:p w14:paraId="73E056EA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(A) Representative images taken from mice harvested 2 weeks after injection with AAV2/9-Syn-ZSGreen (1.0×10^8 particles/hemisphere). Images of hippocampus (upper), cortex (middle) and cerebellum (lower) were shown. Viral transduction was visualized by native GFP fluorescence. Scale bar, </w:t>
      </w:r>
      <w:r>
        <w:rPr>
          <w:rFonts w:ascii="Arial" w:hAnsi="Arial" w:cs="Arial"/>
          <w:color w:val="000000" w:themeColor="text1"/>
          <w:sz w:val="24"/>
        </w:rPr>
        <w:t>3</w:t>
      </w:r>
      <w:r w:rsidRPr="008C0AB5">
        <w:rPr>
          <w:rFonts w:ascii="Arial" w:hAnsi="Arial" w:cs="Arial"/>
          <w:color w:val="000000" w:themeColor="text1"/>
          <w:sz w:val="24"/>
        </w:rPr>
        <w:t xml:space="preserve">0 </w:t>
      </w:r>
      <w:proofErr w:type="spellStart"/>
      <w:r w:rsidRPr="008C0AB5">
        <w:rPr>
          <w:rFonts w:ascii="Arial" w:hAnsi="Arial" w:cs="Arial"/>
          <w:color w:val="000000" w:themeColor="text1"/>
          <w:sz w:val="24"/>
        </w:rPr>
        <w:t>μm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>.</w:t>
      </w:r>
    </w:p>
    <w:p w14:paraId="0073403B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>(B and C) Validation of neuronal transduction upon intracerebroventricular AAV2/9 injection of the neonatal mouse brain. Immunoblotting analysis of cortex (B) and hippocampus (C) were performed using anti-FLAG antibody.</w:t>
      </w:r>
    </w:p>
    <w:p w14:paraId="6073C3DD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(D) Body weight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mice injected with AAV2/9-vector (n=6) or AAV2/9-AMOT (n=9);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were injected with AAV2/9-vector (n=7) or AAV2/9-AMOT (n=12) at different ages.</w:t>
      </w:r>
    </w:p>
    <w:p w14:paraId="542DEA79" w14:textId="77777777" w:rsidR="00E2693C" w:rsidRPr="008C0AB5" w:rsidRDefault="00E2693C" w:rsidP="00E2693C">
      <w:pPr>
        <w:spacing w:line="480" w:lineRule="auto"/>
        <w:jc w:val="both"/>
        <w:rPr>
          <w:rFonts w:ascii="Arial" w:hAnsi="Arial" w:cs="Arial"/>
          <w:color w:val="000000" w:themeColor="text1"/>
          <w:sz w:val="24"/>
        </w:rPr>
      </w:pPr>
      <w:r w:rsidRPr="008C0AB5">
        <w:rPr>
          <w:rFonts w:ascii="Arial" w:hAnsi="Arial" w:cs="Arial"/>
          <w:color w:val="000000" w:themeColor="text1"/>
          <w:sz w:val="24"/>
        </w:rPr>
        <w:t xml:space="preserve">(E) Brain weight of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fl/</w:t>
      </w:r>
      <w:proofErr w:type="spellStart"/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fl</w:t>
      </w:r>
      <w:proofErr w:type="spellEnd"/>
      <w:r w:rsidRPr="008C0AB5">
        <w:rPr>
          <w:rFonts w:ascii="Arial" w:hAnsi="Arial" w:cs="Arial"/>
          <w:color w:val="000000" w:themeColor="text1"/>
          <w:sz w:val="24"/>
        </w:rPr>
        <w:t xml:space="preserve"> mice injected with AAV2/9-vector (n=8) or AAV2/9-AMOT (n=7); </w:t>
      </w:r>
      <w:r w:rsidRPr="008C0AB5">
        <w:rPr>
          <w:rFonts w:ascii="Arial" w:hAnsi="Arial" w:cs="Arial"/>
          <w:i/>
          <w:iCs/>
          <w:color w:val="000000" w:themeColor="text1"/>
          <w:sz w:val="24"/>
        </w:rPr>
        <w:t>Wwc1/2</w:t>
      </w:r>
      <w:r w:rsidRPr="008C0AB5">
        <w:rPr>
          <w:rFonts w:ascii="Arial" w:hAnsi="Arial" w:cs="Arial"/>
          <w:i/>
          <w:iCs/>
          <w:color w:val="000000" w:themeColor="text1"/>
          <w:sz w:val="24"/>
          <w:vertAlign w:val="superscript"/>
        </w:rPr>
        <w:t>Syn</w:t>
      </w:r>
      <w:r w:rsidRPr="008C0AB5">
        <w:rPr>
          <w:rFonts w:ascii="Arial" w:hAnsi="Arial" w:cs="Arial"/>
          <w:color w:val="000000" w:themeColor="text1"/>
          <w:sz w:val="24"/>
          <w:vertAlign w:val="superscript"/>
        </w:rPr>
        <w:t>-cKO</w:t>
      </w:r>
      <w:r w:rsidRPr="008C0AB5">
        <w:rPr>
          <w:rFonts w:ascii="Arial" w:hAnsi="Arial" w:cs="Arial"/>
          <w:color w:val="000000" w:themeColor="text1"/>
          <w:sz w:val="24"/>
        </w:rPr>
        <w:t xml:space="preserve"> were injected with AAV2/9-vector (n=8) or AAV2/9-AMOT (n=12) at 8W.</w:t>
      </w:r>
    </w:p>
    <w:p w14:paraId="62F42264" w14:textId="77777777" w:rsidR="00B8042C" w:rsidRPr="00E2693C" w:rsidRDefault="00B8042C"/>
    <w:sectPr w:rsidR="00B8042C" w:rsidRPr="00E26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3C"/>
    <w:rsid w:val="004B2454"/>
    <w:rsid w:val="00A412E2"/>
    <w:rsid w:val="00B8042C"/>
    <w:rsid w:val="00DB66E9"/>
    <w:rsid w:val="00E2693C"/>
    <w:rsid w:val="00E8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20CC3C"/>
  <w15:chartTrackingRefBased/>
  <w15:docId w15:val="{F7E8D8F9-510D-4C4F-A35C-DEF572D8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93C"/>
    <w:rPr>
      <w:rFonts w:ascii="Arial Unicode MS" w:eastAsia="Arial Unicode MS" w:hAnsi="宋体" w:cs="宋体"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女士</dc:creator>
  <cp:keywords/>
  <dc:description/>
  <cp:lastModifiedBy>曹 女士</cp:lastModifiedBy>
  <cp:revision>1</cp:revision>
  <dcterms:created xsi:type="dcterms:W3CDTF">2022-12-17T11:00:00Z</dcterms:created>
  <dcterms:modified xsi:type="dcterms:W3CDTF">2022-12-17T11:05:00Z</dcterms:modified>
</cp:coreProperties>
</file>