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781E" w14:textId="17D8A46A" w:rsidR="00D308A8" w:rsidRDefault="00D308A8" w:rsidP="0079409F">
      <w:pPr>
        <w:spacing w:line="360" w:lineRule="auto"/>
        <w:rPr>
          <w:b/>
        </w:rPr>
      </w:pPr>
      <w:r>
        <w:rPr>
          <w:b/>
        </w:rPr>
        <w:t>Supporting Information</w:t>
      </w:r>
    </w:p>
    <w:p w14:paraId="10E32B36" w14:textId="77777777" w:rsidR="0079409F" w:rsidRDefault="0079409F" w:rsidP="0079409F">
      <w:pPr>
        <w:spacing w:line="360" w:lineRule="auto"/>
      </w:pPr>
      <w:r>
        <w:t>In Vivo Phenotypic Validation of Adenosine Receptor-Dependent Activity of Non-adenosine Drugs</w:t>
      </w:r>
    </w:p>
    <w:p w14:paraId="75FD74BB" w14:textId="77777777" w:rsidR="0079409F" w:rsidRDefault="0079409F" w:rsidP="0079409F">
      <w:pPr>
        <w:spacing w:line="360" w:lineRule="auto"/>
      </w:pPr>
    </w:p>
    <w:p w14:paraId="17741A07" w14:textId="77777777" w:rsidR="0079409F" w:rsidRPr="00A26953" w:rsidRDefault="0079409F" w:rsidP="0079409F">
      <w:pPr>
        <w:spacing w:line="360" w:lineRule="auto"/>
      </w:pPr>
      <w:proofErr w:type="spellStart"/>
      <w:r w:rsidRPr="00787A08">
        <w:rPr>
          <w:lang w:val="en-GB"/>
        </w:rPr>
        <w:t>Cuiying</w:t>
      </w:r>
      <w:proofErr w:type="spellEnd"/>
      <w:r w:rsidRPr="00787A08">
        <w:rPr>
          <w:lang w:val="en-GB"/>
        </w:rPr>
        <w:t xml:space="preserve"> </w:t>
      </w:r>
      <w:proofErr w:type="spellStart"/>
      <w:proofErr w:type="gramStart"/>
      <w:r w:rsidRPr="00787A08">
        <w:rPr>
          <w:lang w:val="en-GB"/>
        </w:rPr>
        <w:t>Xiao</w:t>
      </w:r>
      <w:r w:rsidRPr="000A428D">
        <w:rPr>
          <w:lang w:val="en-GB"/>
        </w:rPr>
        <w:t>,</w:t>
      </w:r>
      <w:r>
        <w:rPr>
          <w:vertAlign w:val="superscript"/>
          <w:lang w:val="en-GB"/>
        </w:rPr>
        <w:t>c</w:t>
      </w:r>
      <w:proofErr w:type="spellEnd"/>
      <w:proofErr w:type="gramEnd"/>
      <w:r>
        <w:rPr>
          <w:vertAlign w:val="superscript"/>
          <w:lang w:val="en-GB"/>
        </w:rPr>
        <w:t>*</w:t>
      </w:r>
      <w:r w:rsidRPr="000A428D">
        <w:rPr>
          <w:lang w:val="en-GB"/>
        </w:rPr>
        <w:t xml:space="preserve"> </w:t>
      </w:r>
      <w:r w:rsidRPr="00A26953">
        <w:t xml:space="preserve">Oksana </w:t>
      </w:r>
      <w:proofErr w:type="spellStart"/>
      <w:r w:rsidRPr="00A26953">
        <w:t>Gavrilova,</w:t>
      </w:r>
      <w:r>
        <w:rPr>
          <w:vertAlign w:val="superscript"/>
        </w:rPr>
        <w:t>b</w:t>
      </w:r>
      <w:proofErr w:type="spellEnd"/>
      <w:r>
        <w:rPr>
          <w:vertAlign w:val="superscript"/>
        </w:rPr>
        <w:t>*</w:t>
      </w:r>
      <w:r>
        <w:t xml:space="preserve"> </w:t>
      </w:r>
      <w:proofErr w:type="spellStart"/>
      <w:r w:rsidRPr="00617ECE">
        <w:t>Naili</w:t>
      </w:r>
      <w:proofErr w:type="spellEnd"/>
      <w:r w:rsidRPr="00617ECE">
        <w:t xml:space="preserve"> Liu</w:t>
      </w:r>
      <w:r w:rsidRPr="00A26953">
        <w:rPr>
          <w:lang w:val="en-GB"/>
        </w:rPr>
        <w:t>,</w:t>
      </w:r>
      <w:r>
        <w:rPr>
          <w:vertAlign w:val="superscript"/>
          <w:lang w:val="en-GB"/>
        </w:rPr>
        <w:t>b</w:t>
      </w:r>
      <w:r w:rsidRPr="00A26953">
        <w:rPr>
          <w:lang w:val="en-GB"/>
        </w:rPr>
        <w:t xml:space="preserve"> </w:t>
      </w:r>
      <w:r>
        <w:rPr>
          <w:lang w:val="en-GB"/>
        </w:rPr>
        <w:t xml:space="preserve">Sarah A. </w:t>
      </w:r>
      <w:proofErr w:type="spellStart"/>
      <w:r>
        <w:rPr>
          <w:lang w:val="en-GB"/>
        </w:rPr>
        <w:t>Lewicki</w:t>
      </w:r>
      <w:r w:rsidRPr="000A428D">
        <w:rPr>
          <w:lang w:val="en-GB"/>
        </w:rPr>
        <w:t>,</w:t>
      </w:r>
      <w:r>
        <w:rPr>
          <w:vertAlign w:val="superscript"/>
          <w:lang w:val="en-GB"/>
        </w:rPr>
        <w:t>a</w:t>
      </w:r>
      <w:proofErr w:type="spellEnd"/>
      <w:r w:rsidRPr="000A428D">
        <w:rPr>
          <w:lang w:val="en-GB"/>
        </w:rPr>
        <w:t xml:space="preserve"> Marc L. </w:t>
      </w:r>
      <w:proofErr w:type="spellStart"/>
      <w:r w:rsidRPr="000A428D">
        <w:rPr>
          <w:lang w:val="en-GB"/>
        </w:rPr>
        <w:t>Reitman,</w:t>
      </w:r>
      <w:r>
        <w:rPr>
          <w:vertAlign w:val="superscript"/>
          <w:lang w:val="en-GB"/>
        </w:rPr>
        <w:t>c</w:t>
      </w:r>
      <w:proofErr w:type="spellEnd"/>
      <w:r w:rsidRPr="000A428D">
        <w:rPr>
          <w:lang w:val="en-GB"/>
        </w:rPr>
        <w:t xml:space="preserve"> </w:t>
      </w:r>
      <w:r w:rsidRPr="00A26953">
        <w:rPr>
          <w:lang w:val="en-GB"/>
        </w:rPr>
        <w:t xml:space="preserve">Kenneth A. </w:t>
      </w:r>
      <w:proofErr w:type="spellStart"/>
      <w:r w:rsidRPr="00A26953">
        <w:rPr>
          <w:lang w:val="en-GB"/>
        </w:rPr>
        <w:t>Jacobson</w:t>
      </w:r>
      <w:r w:rsidRPr="00A26953">
        <w:rPr>
          <w:vertAlign w:val="superscript"/>
          <w:lang w:val="en-GB"/>
        </w:rPr>
        <w:t>a</w:t>
      </w:r>
      <w:proofErr w:type="spellEnd"/>
      <w:r>
        <w:rPr>
          <w:vertAlign w:val="superscript"/>
          <w:lang w:val="en-GB"/>
        </w:rPr>
        <w:t>+</w:t>
      </w:r>
    </w:p>
    <w:p w14:paraId="5C174E31" w14:textId="77777777" w:rsidR="0079409F" w:rsidRDefault="0079409F" w:rsidP="0079409F">
      <w:pPr>
        <w:spacing w:line="360" w:lineRule="auto"/>
      </w:pPr>
    </w:p>
    <w:p w14:paraId="051F8ADE" w14:textId="77777777" w:rsidR="0079409F" w:rsidRDefault="0079409F" w:rsidP="0079409F">
      <w:pPr>
        <w:spacing w:line="360" w:lineRule="auto"/>
      </w:pPr>
    </w:p>
    <w:p w14:paraId="261F0AB1" w14:textId="77777777" w:rsidR="0079409F" w:rsidRPr="00B6382A" w:rsidRDefault="0079409F" w:rsidP="0079409F">
      <w:pPr>
        <w:spacing w:line="360" w:lineRule="auto"/>
        <w:ind w:left="90" w:hanging="90"/>
        <w:rPr>
          <w:lang w:val="en-GB"/>
        </w:rPr>
      </w:pPr>
      <w:proofErr w:type="spellStart"/>
      <w:r w:rsidRPr="00B6382A">
        <w:rPr>
          <w:vertAlign w:val="superscript"/>
          <w:lang w:val="en-GB"/>
        </w:rPr>
        <w:t>a</w:t>
      </w:r>
      <w:r w:rsidRPr="00B6382A">
        <w:rPr>
          <w:lang w:val="en-GB"/>
        </w:rPr>
        <w:t>Laboratory</w:t>
      </w:r>
      <w:proofErr w:type="spellEnd"/>
      <w:r w:rsidRPr="00B6382A">
        <w:rPr>
          <w:lang w:val="en-GB"/>
        </w:rPr>
        <w:t xml:space="preserve"> of Bioorganic Chemistry, </w:t>
      </w:r>
      <w:r>
        <w:rPr>
          <w:vertAlign w:val="superscript"/>
          <w:lang w:val="en-GB"/>
        </w:rPr>
        <w:t>b</w:t>
      </w:r>
      <w:r w:rsidRPr="00B6382A">
        <w:t>Mouse Metabolism Core,</w:t>
      </w:r>
      <w:r w:rsidRPr="00B6382A">
        <w:rPr>
          <w:lang w:val="en-GB"/>
        </w:rPr>
        <w:t xml:space="preserve"> </w:t>
      </w:r>
      <w:r>
        <w:rPr>
          <w:vertAlign w:val="superscript"/>
          <w:lang w:val="en-GB"/>
        </w:rPr>
        <w:t>c</w:t>
      </w:r>
      <w:r w:rsidRPr="00B6382A">
        <w:t>Diabetes, Endocrinology, and Obesity Branch</w:t>
      </w:r>
      <w:r w:rsidRPr="00B6382A">
        <w:rPr>
          <w:lang w:val="en-GB"/>
        </w:rPr>
        <w:t>, National Institute of Diabetes and Digestive and Kidney Disease, National Institutes of Health, 9000 Rockville Pike, Bethesda, MA, USA 20892.</w:t>
      </w:r>
    </w:p>
    <w:p w14:paraId="0FE9E9F1" w14:textId="77777777" w:rsidR="0079409F" w:rsidRDefault="0079409F" w:rsidP="0079409F">
      <w:pPr>
        <w:spacing w:line="360" w:lineRule="auto"/>
      </w:pPr>
    </w:p>
    <w:p w14:paraId="1BC07A86" w14:textId="77777777" w:rsidR="0079409F" w:rsidRDefault="0079409F" w:rsidP="0079409F">
      <w:pPr>
        <w:spacing w:line="360" w:lineRule="auto"/>
      </w:pPr>
      <w:r>
        <w:t>*These authors contributed equally</w:t>
      </w:r>
    </w:p>
    <w:p w14:paraId="6D2845A1" w14:textId="4112159D" w:rsidR="00D308A8" w:rsidRDefault="00CC3203" w:rsidP="00C53E78">
      <w:pPr>
        <w:spacing w:line="360" w:lineRule="auto"/>
        <w:rPr>
          <w:b/>
          <w:u w:val="single"/>
        </w:rPr>
      </w:pPr>
      <w:r w:rsidRPr="00C53E78">
        <w:rPr>
          <w:b/>
          <w:u w:val="single"/>
        </w:rPr>
        <w:t>Contents</w:t>
      </w:r>
      <w:r w:rsidRPr="00C53E78">
        <w:rPr>
          <w:b/>
          <w:u w:val="single"/>
        </w:rPr>
        <w:tab/>
      </w:r>
      <w:r w:rsidRPr="00C53E78">
        <w:rPr>
          <w:b/>
          <w:u w:val="single"/>
        </w:rPr>
        <w:tab/>
      </w:r>
      <w:r w:rsidRPr="00C53E78">
        <w:rPr>
          <w:b/>
          <w:u w:val="single"/>
        </w:rPr>
        <w:tab/>
      </w:r>
      <w:r w:rsidRPr="00C53E78">
        <w:rPr>
          <w:b/>
          <w:u w:val="single"/>
        </w:rPr>
        <w:tab/>
      </w:r>
      <w:r w:rsidRPr="00C53E78">
        <w:rPr>
          <w:b/>
          <w:u w:val="single"/>
        </w:rPr>
        <w:tab/>
      </w:r>
      <w:r w:rsidRPr="00C53E78">
        <w:rPr>
          <w:b/>
          <w:u w:val="single"/>
        </w:rPr>
        <w:tab/>
      </w:r>
      <w:r w:rsidRPr="00C53E78">
        <w:rPr>
          <w:b/>
          <w:u w:val="single"/>
        </w:rPr>
        <w:tab/>
      </w:r>
      <w:r w:rsidRPr="00C53E78">
        <w:rPr>
          <w:b/>
          <w:u w:val="single"/>
        </w:rPr>
        <w:tab/>
        <w:t>Page</w:t>
      </w:r>
    </w:p>
    <w:p w14:paraId="5BB77F95" w14:textId="7AD0A586" w:rsidR="00B82B6E" w:rsidRPr="00C53E78" w:rsidRDefault="00B82B6E" w:rsidP="00B82B6E">
      <w:pPr>
        <w:spacing w:line="360" w:lineRule="auto"/>
      </w:pPr>
      <w:r>
        <w:t>Table</w:t>
      </w:r>
      <w:r>
        <w:t>s S1</w:t>
      </w:r>
      <w:r w:rsidR="008D1941">
        <w:t>. H</w:t>
      </w:r>
      <w:r w:rsidR="008D1941">
        <w:t>uman A</w:t>
      </w:r>
      <w:r w:rsidR="008D1941" w:rsidRPr="00EB32EE">
        <w:rPr>
          <w:vertAlign w:val="subscript"/>
        </w:rPr>
        <w:t>2A</w:t>
      </w:r>
      <w:r w:rsidR="008D1941">
        <w:t>AR</w:t>
      </w:r>
      <w:r w:rsidR="008D1941">
        <w:t xml:space="preserve"> b</w:t>
      </w:r>
      <w:r w:rsidR="008D1941">
        <w:t>inding affinity of diverse drugs</w:t>
      </w:r>
      <w:r w:rsidR="008D1941">
        <w:t>.</w:t>
      </w:r>
      <w:r>
        <w:tab/>
      </w:r>
      <w:r>
        <w:tab/>
      </w:r>
      <w:r w:rsidR="00D0128B">
        <w:t>S2</w:t>
      </w:r>
      <w:r>
        <w:t xml:space="preserve"> – </w:t>
      </w:r>
      <w:r w:rsidR="00D0128B">
        <w:t>S3</w:t>
      </w:r>
      <w:r>
        <w:t xml:space="preserve"> </w:t>
      </w:r>
    </w:p>
    <w:p w14:paraId="21DC11A2" w14:textId="16540314" w:rsidR="006B6C0E" w:rsidRPr="00C53E78" w:rsidRDefault="006B6C0E" w:rsidP="006B6C0E">
      <w:pPr>
        <w:spacing w:line="360" w:lineRule="auto"/>
      </w:pPr>
      <w:r>
        <w:t xml:space="preserve">Tables </w:t>
      </w:r>
      <w:r>
        <w:t>S</w:t>
      </w:r>
      <w:r>
        <w:t>2</w:t>
      </w:r>
      <w:r w:rsidR="005C21BE">
        <w:t xml:space="preserve">. </w:t>
      </w:r>
      <w:r w:rsidR="005C21BE" w:rsidRPr="005C21BE">
        <w:t>Details of statistical analysis.</w:t>
      </w:r>
      <w:r>
        <w:tab/>
      </w:r>
      <w:r>
        <w:tab/>
      </w:r>
      <w:r>
        <w:tab/>
      </w:r>
      <w:r w:rsidR="005C21BE">
        <w:tab/>
      </w:r>
      <w:r w:rsidR="00D0128B">
        <w:t>S</w:t>
      </w:r>
      <w:r>
        <w:t>3</w:t>
      </w:r>
      <w:r>
        <w:t xml:space="preserve"> – </w:t>
      </w:r>
      <w:r w:rsidR="00D0128B">
        <w:t>S</w:t>
      </w:r>
      <w:r>
        <w:t>14</w:t>
      </w:r>
      <w:r>
        <w:t xml:space="preserve"> </w:t>
      </w:r>
    </w:p>
    <w:p w14:paraId="6DD40F95" w14:textId="53A01F5E" w:rsidR="00C53E78" w:rsidRDefault="00F86E6D" w:rsidP="00C53E78">
      <w:pPr>
        <w:spacing w:line="360" w:lineRule="auto"/>
      </w:pPr>
      <w:r>
        <w:t>Figures S1</w:t>
      </w:r>
      <w:r w:rsidR="005C0C7D">
        <w:t xml:space="preserve">. </w:t>
      </w:r>
      <w:r w:rsidR="005C0C7D">
        <w:t xml:space="preserve">Effects of </w:t>
      </w:r>
      <w:r w:rsidR="005C0C7D" w:rsidRPr="00055BF0">
        <w:t>cannabidiol</w:t>
      </w:r>
      <w:r w:rsidR="005C0C7D">
        <w:t xml:space="preserve">. </w:t>
      </w:r>
      <w:r>
        <w:tab/>
      </w:r>
      <w:r>
        <w:tab/>
      </w:r>
      <w:r>
        <w:tab/>
      </w:r>
      <w:r>
        <w:tab/>
      </w:r>
      <w:r>
        <w:tab/>
      </w:r>
      <w:r w:rsidR="00D0128B">
        <w:t>S</w:t>
      </w:r>
      <w:r w:rsidR="006B6C0E">
        <w:t>15</w:t>
      </w:r>
    </w:p>
    <w:p w14:paraId="40ACD1EB" w14:textId="61DF39DF" w:rsidR="00331CBC" w:rsidRDefault="00331CBC" w:rsidP="00C53E78">
      <w:pPr>
        <w:spacing w:line="360" w:lineRule="auto"/>
      </w:pPr>
      <w:r>
        <w:t>Figures S</w:t>
      </w:r>
      <w:r>
        <w:t>2</w:t>
      </w:r>
      <w:r w:rsidR="005C0C7D">
        <w:t xml:space="preserve">. </w:t>
      </w:r>
      <w:r w:rsidR="005C0C7D">
        <w:t xml:space="preserve">Effects of </w:t>
      </w:r>
      <w:proofErr w:type="spellStart"/>
      <w:r w:rsidR="005C0C7D" w:rsidRPr="00055BF0">
        <w:t>can</w:t>
      </w:r>
      <w:r w:rsidR="005C0C7D">
        <w:t>renoate</w:t>
      </w:r>
      <w:proofErr w:type="spellEnd"/>
      <w:r w:rsidR="005C0C7D">
        <w:t>.</w:t>
      </w:r>
      <w:r>
        <w:tab/>
      </w:r>
      <w:r>
        <w:tab/>
      </w:r>
      <w:r>
        <w:tab/>
      </w:r>
      <w:r>
        <w:tab/>
      </w:r>
      <w:r>
        <w:tab/>
        <w:t>S15</w:t>
      </w:r>
    </w:p>
    <w:p w14:paraId="6DEF67E7" w14:textId="0CFCAC0B" w:rsidR="00331CBC" w:rsidRDefault="00331CBC" w:rsidP="00331CBC">
      <w:pPr>
        <w:spacing w:line="360" w:lineRule="auto"/>
      </w:pPr>
      <w:r>
        <w:t>Figures S</w:t>
      </w:r>
      <w:r>
        <w:t>3</w:t>
      </w:r>
      <w:r w:rsidR="005C0C7D">
        <w:t xml:space="preserve">. </w:t>
      </w:r>
      <w:r w:rsidR="005C0C7D">
        <w:t>Effects of sildenafil.</w:t>
      </w:r>
      <w:r>
        <w:tab/>
      </w:r>
      <w:r>
        <w:tab/>
      </w:r>
      <w:r>
        <w:tab/>
      </w:r>
      <w:r>
        <w:tab/>
      </w:r>
      <w:r>
        <w:tab/>
        <w:t>S15</w:t>
      </w:r>
    </w:p>
    <w:p w14:paraId="1471E89B" w14:textId="221E124E" w:rsidR="00331CBC" w:rsidRPr="00C53E78" w:rsidRDefault="00331CBC" w:rsidP="00331CBC">
      <w:pPr>
        <w:spacing w:line="360" w:lineRule="auto"/>
      </w:pPr>
      <w:r>
        <w:t>Figures S</w:t>
      </w:r>
      <w:r>
        <w:t>4</w:t>
      </w:r>
      <w:r w:rsidR="005C0C7D">
        <w:t xml:space="preserve">. </w:t>
      </w:r>
      <w:r w:rsidR="005C0C7D">
        <w:t>Effects of ketamine.</w:t>
      </w:r>
      <w:r>
        <w:tab/>
      </w:r>
      <w:r>
        <w:tab/>
      </w:r>
      <w:r>
        <w:tab/>
      </w:r>
      <w:r>
        <w:tab/>
      </w:r>
      <w:r>
        <w:tab/>
        <w:t>S15 – S1</w:t>
      </w:r>
      <w:r w:rsidR="001944E1">
        <w:t>6</w:t>
      </w:r>
      <w:r>
        <w:t xml:space="preserve"> </w:t>
      </w:r>
    </w:p>
    <w:p w14:paraId="756398E7" w14:textId="013B3A40" w:rsidR="00331CBC" w:rsidRPr="00C53E78" w:rsidRDefault="00331CBC" w:rsidP="00331CBC">
      <w:pPr>
        <w:spacing w:line="360" w:lineRule="auto"/>
      </w:pPr>
      <w:r>
        <w:t>Figures S5</w:t>
      </w:r>
      <w:r w:rsidR="005C0C7D">
        <w:t xml:space="preserve">. </w:t>
      </w:r>
      <w:r w:rsidR="005C0C7D">
        <w:t xml:space="preserve">Effects of </w:t>
      </w:r>
      <w:r w:rsidR="005C0C7D">
        <w:t>ethanol</w:t>
      </w:r>
      <w:r w:rsidR="005C0C7D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S17  </w:t>
      </w:r>
    </w:p>
    <w:p w14:paraId="654A7B28" w14:textId="77777777" w:rsidR="00331CBC" w:rsidRPr="00C53E78" w:rsidRDefault="00331CBC" w:rsidP="00C53E78">
      <w:pPr>
        <w:spacing w:line="360" w:lineRule="auto"/>
      </w:pPr>
    </w:p>
    <w:p w14:paraId="3DBFF234" w14:textId="77777777" w:rsidR="00CC3203" w:rsidRDefault="00CC3203" w:rsidP="00EC22B2">
      <w:pPr>
        <w:spacing w:line="360" w:lineRule="auto"/>
        <w:ind w:hanging="450"/>
        <w:rPr>
          <w:b/>
        </w:rPr>
      </w:pPr>
    </w:p>
    <w:p w14:paraId="28D2645B" w14:textId="77777777" w:rsidR="00B82B6E" w:rsidRDefault="00B82B6E">
      <w:pPr>
        <w:rPr>
          <w:b/>
        </w:rPr>
      </w:pPr>
      <w:r>
        <w:rPr>
          <w:b/>
        </w:rPr>
        <w:br w:type="page"/>
      </w:r>
    </w:p>
    <w:p w14:paraId="2408B28A" w14:textId="43DF9BEF" w:rsidR="00D308A8" w:rsidRDefault="00E70FF6" w:rsidP="00E70FF6">
      <w:pPr>
        <w:spacing w:line="360" w:lineRule="auto"/>
        <w:rPr>
          <w:b/>
        </w:rPr>
      </w:pPr>
      <w:r>
        <w:rPr>
          <w:b/>
        </w:rPr>
        <w:lastRenderedPageBreak/>
        <w:t>Tables</w:t>
      </w:r>
      <w:r w:rsidR="00235830">
        <w:rPr>
          <w:b/>
        </w:rPr>
        <w:t xml:space="preserve"> S1 – S2</w:t>
      </w:r>
    </w:p>
    <w:p w14:paraId="2602C930" w14:textId="77777777" w:rsidR="0066133B" w:rsidRDefault="0066133B" w:rsidP="0066133B">
      <w:r w:rsidRPr="003A3154">
        <w:rPr>
          <w:b/>
        </w:rPr>
        <w:t>Table S1</w:t>
      </w:r>
      <w:r>
        <w:t>. Binding affinity of diverse drugs at the human A</w:t>
      </w:r>
      <w:r w:rsidRPr="00EB32EE">
        <w:rPr>
          <w:vertAlign w:val="subscript"/>
        </w:rPr>
        <w:t>2A</w:t>
      </w:r>
      <w:r>
        <w:t>AR, as listed in the bioactivity database of PubChem (</w:t>
      </w:r>
      <w:r w:rsidRPr="00AF5315">
        <w:t>https://pubchem.ncbi.nlm.nih.gov/</w:t>
      </w:r>
      <w:r>
        <w:t>, accessed April 12, 2022). Note: Other adenosine receptor activities are not listed in this database.</w:t>
      </w:r>
    </w:p>
    <w:p w14:paraId="53ECFDEB" w14:textId="77777777" w:rsidR="0066133B" w:rsidRDefault="0066133B" w:rsidP="0066133B"/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755"/>
        <w:gridCol w:w="968"/>
        <w:gridCol w:w="1396"/>
        <w:gridCol w:w="6596"/>
      </w:tblGrid>
      <w:tr w:rsidR="00A24DAA" w:rsidRPr="00524E9F" w14:paraId="752C22A7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45D60526" w14:textId="77777777" w:rsidR="0066133B" w:rsidRPr="00524E9F" w:rsidRDefault="0066133B" w:rsidP="00E53C1F">
            <w:pPr>
              <w:rPr>
                <w:b/>
                <w:bCs/>
              </w:rPr>
            </w:pPr>
            <w:r w:rsidRPr="00524E9F">
              <w:rPr>
                <w:b/>
                <w:bCs/>
              </w:rPr>
              <w:t>hA</w:t>
            </w:r>
            <w:r w:rsidRPr="00A52441">
              <w:rPr>
                <w:b/>
                <w:bCs/>
                <w:vertAlign w:val="subscript"/>
              </w:rPr>
              <w:t>2A</w:t>
            </w:r>
            <w:r w:rsidRPr="00524E9F">
              <w:rPr>
                <w:b/>
                <w:bCs/>
              </w:rPr>
              <w:t xml:space="preserve"> K</w:t>
            </w:r>
            <w:r w:rsidRPr="00A52441">
              <w:rPr>
                <w:b/>
                <w:bCs/>
                <w:vertAlign w:val="subscript"/>
              </w:rPr>
              <w:t>i</w:t>
            </w:r>
            <w:r w:rsidRPr="00524E9F">
              <w:rPr>
                <w:b/>
                <w:bCs/>
              </w:rPr>
              <w:t xml:space="preserve"> (µM)</w:t>
            </w:r>
          </w:p>
        </w:tc>
        <w:tc>
          <w:tcPr>
            <w:tcW w:w="725" w:type="dxa"/>
            <w:noWrap/>
            <w:hideMark/>
          </w:tcPr>
          <w:p w14:paraId="3E906868" w14:textId="77777777" w:rsidR="0066133B" w:rsidRPr="00524E9F" w:rsidRDefault="0066133B" w:rsidP="00E53C1F">
            <w:pPr>
              <w:rPr>
                <w:b/>
                <w:bCs/>
              </w:rPr>
            </w:pPr>
            <w:r w:rsidRPr="00524E9F">
              <w:rPr>
                <w:b/>
                <w:bCs/>
              </w:rPr>
              <w:t>Drug</w:t>
            </w:r>
          </w:p>
        </w:tc>
        <w:tc>
          <w:tcPr>
            <w:tcW w:w="1908" w:type="dxa"/>
            <w:noWrap/>
            <w:hideMark/>
          </w:tcPr>
          <w:p w14:paraId="4502434F" w14:textId="77777777" w:rsidR="0066133B" w:rsidRPr="00524E9F" w:rsidRDefault="0066133B" w:rsidP="00E53C1F">
            <w:pPr>
              <w:rPr>
                <w:b/>
                <w:bCs/>
              </w:rPr>
            </w:pPr>
            <w:r w:rsidRPr="00524E9F">
              <w:rPr>
                <w:b/>
                <w:bCs/>
              </w:rPr>
              <w:t>Action of drug</w:t>
            </w:r>
          </w:p>
        </w:tc>
        <w:tc>
          <w:tcPr>
            <w:tcW w:w="6092" w:type="dxa"/>
            <w:noWrap/>
            <w:hideMark/>
          </w:tcPr>
          <w:p w14:paraId="02DD0C43" w14:textId="77777777" w:rsidR="0066133B" w:rsidRPr="00524E9F" w:rsidRDefault="0066133B" w:rsidP="00E53C1F">
            <w:r w:rsidRPr="00524E9F">
              <w:rPr>
                <w:b/>
                <w:bCs/>
              </w:rPr>
              <w:t>Reference link</w:t>
            </w:r>
          </w:p>
        </w:tc>
      </w:tr>
      <w:tr w:rsidR="00A24DAA" w:rsidRPr="00524E9F" w14:paraId="2E26ACE8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393A6957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3.99</w:t>
            </w:r>
          </w:p>
        </w:tc>
        <w:tc>
          <w:tcPr>
            <w:tcW w:w="725" w:type="dxa"/>
            <w:noWrap/>
            <w:hideMark/>
          </w:tcPr>
          <w:p w14:paraId="10E80527" w14:textId="1BFF9C21" w:rsidR="0066133B" w:rsidRPr="00A24DAA" w:rsidRDefault="0066133B" w:rsidP="00E53C1F">
            <w:pPr>
              <w:rPr>
                <w:sz w:val="21"/>
                <w:szCs w:val="21"/>
              </w:rPr>
            </w:pPr>
            <w:proofErr w:type="spellStart"/>
            <w:r w:rsidRPr="00A24DAA">
              <w:rPr>
                <w:sz w:val="21"/>
                <w:szCs w:val="21"/>
              </w:rPr>
              <w:t>Tamox</w:t>
            </w:r>
            <w:r w:rsidR="00C104B0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ifen</w:t>
            </w:r>
            <w:proofErr w:type="spellEnd"/>
          </w:p>
        </w:tc>
        <w:tc>
          <w:tcPr>
            <w:tcW w:w="1908" w:type="dxa"/>
            <w:noWrap/>
            <w:hideMark/>
          </w:tcPr>
          <w:p w14:paraId="301A54C7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estrogen modulator</w:t>
            </w:r>
          </w:p>
        </w:tc>
        <w:tc>
          <w:tcPr>
            <w:tcW w:w="6092" w:type="dxa"/>
            <w:noWrap/>
            <w:hideMark/>
          </w:tcPr>
          <w:p w14:paraId="7D332530" w14:textId="77777777" w:rsidR="0066133B" w:rsidRPr="00524E9F" w:rsidRDefault="0066133B" w:rsidP="00E53C1F">
            <w:pPr>
              <w:rPr>
                <w:u w:val="single"/>
              </w:rPr>
            </w:pPr>
            <w:hyperlink r:id="rId6" w:anchor="section=BioAssay-Results&amp;fullscreen=true" w:history="1">
              <w:r w:rsidRPr="00524E9F">
                <w:rPr>
                  <w:rStyle w:val="Hyperlink"/>
                </w:rPr>
                <w:t>https://pubchem.ncbi.nlm.nih.gov/compound/tamoxifen#section=BioAssay-Results&amp;fullscreen=true</w:t>
              </w:r>
            </w:hyperlink>
          </w:p>
        </w:tc>
      </w:tr>
      <w:tr w:rsidR="00A24DAA" w:rsidRPr="00524E9F" w14:paraId="64C2C503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1CC40D89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4.22</w:t>
            </w:r>
          </w:p>
        </w:tc>
        <w:tc>
          <w:tcPr>
            <w:tcW w:w="725" w:type="dxa"/>
            <w:noWrap/>
            <w:hideMark/>
          </w:tcPr>
          <w:p w14:paraId="2847FEA9" w14:textId="4A8CF0D3" w:rsidR="0066133B" w:rsidRPr="00A24DAA" w:rsidRDefault="0066133B" w:rsidP="00E53C1F">
            <w:pPr>
              <w:rPr>
                <w:sz w:val="21"/>
                <w:szCs w:val="21"/>
              </w:rPr>
            </w:pPr>
            <w:proofErr w:type="spellStart"/>
            <w:r w:rsidRPr="00A24DAA">
              <w:rPr>
                <w:sz w:val="21"/>
                <w:szCs w:val="21"/>
              </w:rPr>
              <w:t>Noco</w:t>
            </w:r>
            <w:r w:rsidR="00C104B0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dazole</w:t>
            </w:r>
            <w:proofErr w:type="spellEnd"/>
          </w:p>
        </w:tc>
        <w:tc>
          <w:tcPr>
            <w:tcW w:w="1908" w:type="dxa"/>
            <w:noWrap/>
            <w:hideMark/>
          </w:tcPr>
          <w:p w14:paraId="6D017494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antineoplastic</w:t>
            </w:r>
          </w:p>
        </w:tc>
        <w:tc>
          <w:tcPr>
            <w:tcW w:w="6092" w:type="dxa"/>
            <w:noWrap/>
            <w:hideMark/>
          </w:tcPr>
          <w:p w14:paraId="6BE25423" w14:textId="77777777" w:rsidR="0066133B" w:rsidRPr="00524E9F" w:rsidRDefault="0066133B" w:rsidP="00E53C1F">
            <w:pPr>
              <w:rPr>
                <w:u w:val="single"/>
              </w:rPr>
            </w:pPr>
            <w:hyperlink r:id="rId7" w:anchor="section=BioAssay-Results&amp;fullscreen=true" w:history="1">
              <w:r w:rsidRPr="00524E9F">
                <w:rPr>
                  <w:rStyle w:val="Hyperlink"/>
                </w:rPr>
                <w:t>https://pubchem.ncbi.nlm.nih.gov/compound/Nocodazole#section=BioAssay-Results&amp;fullscreen=true</w:t>
              </w:r>
            </w:hyperlink>
          </w:p>
        </w:tc>
      </w:tr>
      <w:tr w:rsidR="00A24DAA" w:rsidRPr="00524E9F" w14:paraId="45592550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1F0CFF80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2.28</w:t>
            </w:r>
          </w:p>
        </w:tc>
        <w:tc>
          <w:tcPr>
            <w:tcW w:w="725" w:type="dxa"/>
            <w:noWrap/>
            <w:hideMark/>
          </w:tcPr>
          <w:p w14:paraId="50B28B32" w14:textId="3FBCD6E5" w:rsidR="0066133B" w:rsidRPr="00A24DAA" w:rsidRDefault="0066133B" w:rsidP="00E53C1F">
            <w:pPr>
              <w:rPr>
                <w:sz w:val="21"/>
                <w:szCs w:val="21"/>
              </w:rPr>
            </w:pPr>
            <w:proofErr w:type="spellStart"/>
            <w:r w:rsidRPr="00A24DAA">
              <w:rPr>
                <w:sz w:val="21"/>
                <w:szCs w:val="21"/>
              </w:rPr>
              <w:t>Nisol</w:t>
            </w:r>
            <w:r w:rsidR="00C104B0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dipine</w:t>
            </w:r>
            <w:proofErr w:type="spellEnd"/>
          </w:p>
        </w:tc>
        <w:tc>
          <w:tcPr>
            <w:tcW w:w="1908" w:type="dxa"/>
            <w:noWrap/>
            <w:hideMark/>
          </w:tcPr>
          <w:p w14:paraId="6C92D1C1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calcium channel blocker</w:t>
            </w:r>
          </w:p>
        </w:tc>
        <w:tc>
          <w:tcPr>
            <w:tcW w:w="6092" w:type="dxa"/>
            <w:noWrap/>
            <w:hideMark/>
          </w:tcPr>
          <w:p w14:paraId="5785DC16" w14:textId="77777777" w:rsidR="0066133B" w:rsidRPr="00524E9F" w:rsidRDefault="0066133B" w:rsidP="00E53C1F">
            <w:pPr>
              <w:rPr>
                <w:u w:val="single"/>
              </w:rPr>
            </w:pPr>
            <w:hyperlink r:id="rId8" w:anchor="section=BioAssay-Results&amp;fullscreen=true" w:history="1">
              <w:r w:rsidRPr="00524E9F">
                <w:rPr>
                  <w:rStyle w:val="Hyperlink"/>
                </w:rPr>
                <w:t>https://pubchem.ncbi.nlm.nih.gov/compound/nisoldipine#section=BioAssay-Results&amp;fullscreen=true</w:t>
              </w:r>
            </w:hyperlink>
          </w:p>
        </w:tc>
      </w:tr>
      <w:tr w:rsidR="00A24DAA" w:rsidRPr="00524E9F" w14:paraId="358BE256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07F9486E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8.00</w:t>
            </w:r>
          </w:p>
        </w:tc>
        <w:tc>
          <w:tcPr>
            <w:tcW w:w="725" w:type="dxa"/>
            <w:noWrap/>
            <w:hideMark/>
          </w:tcPr>
          <w:p w14:paraId="015C59B0" w14:textId="78C1D95E" w:rsidR="0066133B" w:rsidRPr="00A24DAA" w:rsidRDefault="0066133B" w:rsidP="00E53C1F">
            <w:pPr>
              <w:rPr>
                <w:sz w:val="21"/>
                <w:szCs w:val="21"/>
              </w:rPr>
            </w:pPr>
            <w:proofErr w:type="spellStart"/>
            <w:r w:rsidRPr="00A24DAA">
              <w:rPr>
                <w:sz w:val="21"/>
                <w:szCs w:val="21"/>
              </w:rPr>
              <w:t>Mico</w:t>
            </w:r>
            <w:r w:rsidR="00C104B0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nazole</w:t>
            </w:r>
            <w:proofErr w:type="spellEnd"/>
          </w:p>
        </w:tc>
        <w:tc>
          <w:tcPr>
            <w:tcW w:w="1908" w:type="dxa"/>
            <w:noWrap/>
            <w:hideMark/>
          </w:tcPr>
          <w:p w14:paraId="4EE9717B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antifungal</w:t>
            </w:r>
          </w:p>
        </w:tc>
        <w:tc>
          <w:tcPr>
            <w:tcW w:w="6092" w:type="dxa"/>
            <w:noWrap/>
            <w:hideMark/>
          </w:tcPr>
          <w:p w14:paraId="6CB34C88" w14:textId="77777777" w:rsidR="0066133B" w:rsidRPr="00524E9F" w:rsidRDefault="0066133B" w:rsidP="00E53C1F">
            <w:pPr>
              <w:rPr>
                <w:u w:val="single"/>
              </w:rPr>
            </w:pPr>
            <w:hyperlink r:id="rId9" w:anchor="section=BioAssay-Results&amp;fullscreen=true" w:history="1">
              <w:r w:rsidRPr="00524E9F">
                <w:rPr>
                  <w:rStyle w:val="Hyperlink"/>
                </w:rPr>
                <w:t>https://pubchem.ncbi.nlm.nih.gov/compound/miconazole#section=BioAssay-Results&amp;fullscreen=true</w:t>
              </w:r>
            </w:hyperlink>
          </w:p>
        </w:tc>
      </w:tr>
      <w:tr w:rsidR="00A24DAA" w:rsidRPr="00524E9F" w14:paraId="4F7603DA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5276CA7E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9.79</w:t>
            </w:r>
          </w:p>
        </w:tc>
        <w:tc>
          <w:tcPr>
            <w:tcW w:w="725" w:type="dxa"/>
            <w:noWrap/>
            <w:hideMark/>
          </w:tcPr>
          <w:p w14:paraId="32432807" w14:textId="167A9C10" w:rsidR="0066133B" w:rsidRPr="00A24DAA" w:rsidRDefault="0066133B" w:rsidP="00E53C1F">
            <w:pPr>
              <w:rPr>
                <w:sz w:val="21"/>
                <w:szCs w:val="21"/>
              </w:rPr>
            </w:pPr>
            <w:proofErr w:type="spellStart"/>
            <w:r w:rsidRPr="00A24DAA">
              <w:rPr>
                <w:sz w:val="21"/>
                <w:szCs w:val="21"/>
              </w:rPr>
              <w:t>Genis</w:t>
            </w:r>
            <w:r w:rsidR="00C104B0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tein</w:t>
            </w:r>
            <w:proofErr w:type="spellEnd"/>
          </w:p>
        </w:tc>
        <w:tc>
          <w:tcPr>
            <w:tcW w:w="1908" w:type="dxa"/>
            <w:noWrap/>
            <w:hideMark/>
          </w:tcPr>
          <w:p w14:paraId="55636FBB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angiogenesis inhibitor</w:t>
            </w:r>
          </w:p>
        </w:tc>
        <w:tc>
          <w:tcPr>
            <w:tcW w:w="6092" w:type="dxa"/>
            <w:noWrap/>
            <w:hideMark/>
          </w:tcPr>
          <w:p w14:paraId="62C234F2" w14:textId="77777777" w:rsidR="0066133B" w:rsidRPr="00524E9F" w:rsidRDefault="0066133B" w:rsidP="00E53C1F">
            <w:pPr>
              <w:rPr>
                <w:u w:val="single"/>
              </w:rPr>
            </w:pPr>
            <w:hyperlink r:id="rId10" w:anchor="section=BioAssay-Results&amp;fullscreen=true" w:history="1">
              <w:r w:rsidRPr="00524E9F">
                <w:rPr>
                  <w:rStyle w:val="Hyperlink"/>
                </w:rPr>
                <w:t>https://pubchem.ncbi.nlm.nih.gov/compound/genestein#section=BioAssay-Results&amp;fullscreen=true</w:t>
              </w:r>
            </w:hyperlink>
          </w:p>
        </w:tc>
      </w:tr>
      <w:tr w:rsidR="00A24DAA" w:rsidRPr="00524E9F" w14:paraId="228BEBE6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7D7E9729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8.21</w:t>
            </w:r>
          </w:p>
        </w:tc>
        <w:tc>
          <w:tcPr>
            <w:tcW w:w="725" w:type="dxa"/>
            <w:noWrap/>
            <w:hideMark/>
          </w:tcPr>
          <w:p w14:paraId="7C79FF58" w14:textId="77777777" w:rsidR="0066133B" w:rsidRPr="00A24DAA" w:rsidRDefault="0066133B" w:rsidP="00E53C1F">
            <w:pPr>
              <w:rPr>
                <w:sz w:val="21"/>
                <w:szCs w:val="21"/>
              </w:rPr>
            </w:pPr>
            <w:r w:rsidRPr="00A24DAA">
              <w:rPr>
                <w:sz w:val="21"/>
                <w:szCs w:val="21"/>
              </w:rPr>
              <w:t>Econazole</w:t>
            </w:r>
          </w:p>
        </w:tc>
        <w:tc>
          <w:tcPr>
            <w:tcW w:w="1908" w:type="dxa"/>
            <w:noWrap/>
            <w:hideMark/>
          </w:tcPr>
          <w:p w14:paraId="6F45D21F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antifungal</w:t>
            </w:r>
          </w:p>
        </w:tc>
        <w:tc>
          <w:tcPr>
            <w:tcW w:w="6092" w:type="dxa"/>
            <w:noWrap/>
            <w:hideMark/>
          </w:tcPr>
          <w:p w14:paraId="649AD28A" w14:textId="77777777" w:rsidR="0066133B" w:rsidRPr="00524E9F" w:rsidRDefault="0066133B" w:rsidP="00E53C1F">
            <w:pPr>
              <w:rPr>
                <w:u w:val="single"/>
              </w:rPr>
            </w:pPr>
            <w:hyperlink r:id="rId11" w:anchor="section=BioAssay-Results&amp;fullscreen=true" w:history="1">
              <w:r w:rsidRPr="00524E9F">
                <w:rPr>
                  <w:rStyle w:val="Hyperlink"/>
                </w:rPr>
                <w:t>https://pubchem.ncbi.nlm.nih.gov/compound/econazole#section=BioAssay-Results&amp;fullscreen=true</w:t>
              </w:r>
            </w:hyperlink>
          </w:p>
        </w:tc>
      </w:tr>
      <w:tr w:rsidR="00A24DAA" w:rsidRPr="00524E9F" w14:paraId="3FBB0C32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6CE5A261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1.19</w:t>
            </w:r>
          </w:p>
        </w:tc>
        <w:tc>
          <w:tcPr>
            <w:tcW w:w="725" w:type="dxa"/>
            <w:noWrap/>
            <w:hideMark/>
          </w:tcPr>
          <w:p w14:paraId="40935C8C" w14:textId="77777777" w:rsidR="0066133B" w:rsidRPr="00A24DAA" w:rsidRDefault="0066133B" w:rsidP="00E53C1F">
            <w:pPr>
              <w:rPr>
                <w:sz w:val="21"/>
                <w:szCs w:val="21"/>
              </w:rPr>
            </w:pPr>
            <w:r w:rsidRPr="00A24DAA">
              <w:rPr>
                <w:sz w:val="21"/>
                <w:szCs w:val="21"/>
              </w:rPr>
              <w:t>Raloxifene</w:t>
            </w:r>
          </w:p>
        </w:tc>
        <w:tc>
          <w:tcPr>
            <w:tcW w:w="1908" w:type="dxa"/>
            <w:noWrap/>
            <w:hideMark/>
          </w:tcPr>
          <w:p w14:paraId="705243B1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osteoporosis medication</w:t>
            </w:r>
          </w:p>
        </w:tc>
        <w:tc>
          <w:tcPr>
            <w:tcW w:w="6092" w:type="dxa"/>
            <w:noWrap/>
            <w:hideMark/>
          </w:tcPr>
          <w:p w14:paraId="1EFBDF87" w14:textId="77777777" w:rsidR="0066133B" w:rsidRPr="00524E9F" w:rsidRDefault="0066133B" w:rsidP="00E53C1F">
            <w:pPr>
              <w:rPr>
                <w:u w:val="single"/>
              </w:rPr>
            </w:pPr>
            <w:hyperlink r:id="rId12" w:anchor="section=BioAssay-Results&amp;fullscreen=true" w:history="1">
              <w:r w:rsidRPr="00524E9F">
                <w:rPr>
                  <w:rStyle w:val="Hyperlink"/>
                </w:rPr>
                <w:t>https://pubchem.ncbi.nlm.nih.gov/compound/raloxifene#section=BioAssay-Results&amp;fullscreen=true</w:t>
              </w:r>
            </w:hyperlink>
          </w:p>
        </w:tc>
      </w:tr>
      <w:tr w:rsidR="00A24DAA" w:rsidRPr="00524E9F" w14:paraId="426643D4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05CF9EF4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11.8</w:t>
            </w:r>
          </w:p>
        </w:tc>
        <w:tc>
          <w:tcPr>
            <w:tcW w:w="725" w:type="dxa"/>
            <w:noWrap/>
            <w:hideMark/>
          </w:tcPr>
          <w:p w14:paraId="0911A061" w14:textId="08CA8A29" w:rsidR="0066133B" w:rsidRPr="00A24DAA" w:rsidRDefault="0066133B" w:rsidP="00E53C1F">
            <w:pPr>
              <w:rPr>
                <w:sz w:val="21"/>
                <w:szCs w:val="21"/>
              </w:rPr>
            </w:pPr>
            <w:r w:rsidRPr="00A24DAA">
              <w:rPr>
                <w:sz w:val="21"/>
                <w:szCs w:val="21"/>
              </w:rPr>
              <w:t>Ethinyl</w:t>
            </w:r>
            <w:r w:rsidR="009257C7" w:rsidRPr="00A24DAA">
              <w:rPr>
                <w:sz w:val="21"/>
                <w:szCs w:val="21"/>
              </w:rPr>
              <w:t>-</w:t>
            </w:r>
            <w:proofErr w:type="spellStart"/>
            <w:r w:rsidRPr="00A24DAA">
              <w:rPr>
                <w:sz w:val="21"/>
                <w:szCs w:val="21"/>
              </w:rPr>
              <w:t>estra</w:t>
            </w:r>
            <w:proofErr w:type="spellEnd"/>
            <w:r w:rsidR="009257C7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diol</w:t>
            </w:r>
          </w:p>
        </w:tc>
        <w:tc>
          <w:tcPr>
            <w:tcW w:w="1908" w:type="dxa"/>
            <w:noWrap/>
            <w:hideMark/>
          </w:tcPr>
          <w:p w14:paraId="04426363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estrogen medication</w:t>
            </w:r>
          </w:p>
        </w:tc>
        <w:tc>
          <w:tcPr>
            <w:tcW w:w="6092" w:type="dxa"/>
            <w:noWrap/>
            <w:hideMark/>
          </w:tcPr>
          <w:p w14:paraId="01EB7EA5" w14:textId="77777777" w:rsidR="0066133B" w:rsidRPr="00524E9F" w:rsidRDefault="0066133B" w:rsidP="00E53C1F">
            <w:pPr>
              <w:rPr>
                <w:u w:val="single"/>
              </w:rPr>
            </w:pPr>
            <w:hyperlink r:id="rId13" w:history="1">
              <w:r w:rsidRPr="00524E9F">
                <w:rPr>
                  <w:rStyle w:val="Hyperlink"/>
                </w:rPr>
                <w:t>https://www.guidetopharmacology.org/GRAC/LigandActivityRangeVisForward?ligandId=7071</w:t>
              </w:r>
            </w:hyperlink>
          </w:p>
        </w:tc>
      </w:tr>
      <w:tr w:rsidR="00A24DAA" w:rsidRPr="00524E9F" w14:paraId="65758DD2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6844E539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0.906</w:t>
            </w:r>
          </w:p>
        </w:tc>
        <w:tc>
          <w:tcPr>
            <w:tcW w:w="725" w:type="dxa"/>
            <w:noWrap/>
            <w:hideMark/>
          </w:tcPr>
          <w:p w14:paraId="361A97F2" w14:textId="05E13B5D" w:rsidR="0066133B" w:rsidRPr="00A24DAA" w:rsidRDefault="0066133B" w:rsidP="00E53C1F">
            <w:pPr>
              <w:rPr>
                <w:sz w:val="21"/>
                <w:szCs w:val="21"/>
              </w:rPr>
            </w:pPr>
            <w:r w:rsidRPr="00A24DAA">
              <w:rPr>
                <w:sz w:val="21"/>
                <w:szCs w:val="21"/>
              </w:rPr>
              <w:t>Hexa</w:t>
            </w:r>
            <w:r w:rsidR="009257C7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chloro-</w:t>
            </w:r>
            <w:proofErr w:type="spellStart"/>
            <w:r w:rsidRPr="00A24DAA">
              <w:rPr>
                <w:sz w:val="21"/>
                <w:szCs w:val="21"/>
              </w:rPr>
              <w:t>phene</w:t>
            </w:r>
            <w:proofErr w:type="spellEnd"/>
          </w:p>
        </w:tc>
        <w:tc>
          <w:tcPr>
            <w:tcW w:w="1908" w:type="dxa"/>
            <w:noWrap/>
            <w:hideMark/>
          </w:tcPr>
          <w:p w14:paraId="3543E965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disinfectant</w:t>
            </w:r>
          </w:p>
        </w:tc>
        <w:tc>
          <w:tcPr>
            <w:tcW w:w="6092" w:type="dxa"/>
            <w:noWrap/>
            <w:hideMark/>
          </w:tcPr>
          <w:p w14:paraId="095D904D" w14:textId="77777777" w:rsidR="0066133B" w:rsidRPr="00524E9F" w:rsidRDefault="0066133B" w:rsidP="00E53C1F">
            <w:pPr>
              <w:rPr>
                <w:u w:val="single"/>
              </w:rPr>
            </w:pPr>
            <w:hyperlink r:id="rId14" w:anchor="section=BioAssay-Results&amp;fullscreen=true" w:history="1">
              <w:r w:rsidRPr="00524E9F">
                <w:rPr>
                  <w:rStyle w:val="Hyperlink"/>
                </w:rPr>
                <w:t>https://pubchem.ncbi.nlm.nih.gov/compound/hexachlorophene#section=BioAssay-Results&amp;fullscreen=true</w:t>
              </w:r>
            </w:hyperlink>
          </w:p>
        </w:tc>
      </w:tr>
      <w:tr w:rsidR="00A24DAA" w:rsidRPr="00524E9F" w14:paraId="6039AB00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69CEA5CD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1.89</w:t>
            </w:r>
          </w:p>
        </w:tc>
        <w:tc>
          <w:tcPr>
            <w:tcW w:w="725" w:type="dxa"/>
            <w:noWrap/>
            <w:hideMark/>
          </w:tcPr>
          <w:p w14:paraId="37BB949F" w14:textId="77777777" w:rsidR="0066133B" w:rsidRPr="00A24DAA" w:rsidRDefault="0066133B" w:rsidP="00E53C1F">
            <w:pPr>
              <w:rPr>
                <w:sz w:val="21"/>
                <w:szCs w:val="21"/>
              </w:rPr>
            </w:pPr>
            <w:r w:rsidRPr="00A24DAA">
              <w:rPr>
                <w:sz w:val="21"/>
                <w:szCs w:val="21"/>
              </w:rPr>
              <w:t>Gentian violet</w:t>
            </w:r>
          </w:p>
        </w:tc>
        <w:tc>
          <w:tcPr>
            <w:tcW w:w="1908" w:type="dxa"/>
            <w:noWrap/>
            <w:hideMark/>
          </w:tcPr>
          <w:p w14:paraId="324167DC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topical antiseptic</w:t>
            </w:r>
          </w:p>
        </w:tc>
        <w:tc>
          <w:tcPr>
            <w:tcW w:w="6092" w:type="dxa"/>
            <w:noWrap/>
            <w:hideMark/>
          </w:tcPr>
          <w:p w14:paraId="123A436F" w14:textId="77777777" w:rsidR="0066133B" w:rsidRPr="00524E9F" w:rsidRDefault="0066133B" w:rsidP="00E53C1F">
            <w:pPr>
              <w:rPr>
                <w:u w:val="single"/>
              </w:rPr>
            </w:pPr>
            <w:hyperlink r:id="rId15" w:anchor="section=BioAssay-Results&amp;fullscreen=true" w:history="1">
              <w:r w:rsidRPr="00524E9F">
                <w:rPr>
                  <w:rStyle w:val="Hyperlink"/>
                </w:rPr>
                <w:t>https://pubchem.ncbi.nlm.nih.gov/compound/gentian%20violet#section=BioAssay-Results&amp;fullscreen=true</w:t>
              </w:r>
            </w:hyperlink>
          </w:p>
        </w:tc>
      </w:tr>
      <w:tr w:rsidR="00A24DAA" w:rsidRPr="00524E9F" w14:paraId="0467350A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1F620940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0.844</w:t>
            </w:r>
          </w:p>
        </w:tc>
        <w:tc>
          <w:tcPr>
            <w:tcW w:w="725" w:type="dxa"/>
            <w:noWrap/>
            <w:hideMark/>
          </w:tcPr>
          <w:p w14:paraId="0F09A575" w14:textId="365C16BE" w:rsidR="0066133B" w:rsidRPr="00A24DAA" w:rsidRDefault="0066133B" w:rsidP="00E53C1F">
            <w:pPr>
              <w:rPr>
                <w:sz w:val="21"/>
                <w:szCs w:val="21"/>
              </w:rPr>
            </w:pPr>
            <w:proofErr w:type="spellStart"/>
            <w:r w:rsidRPr="00A24DAA">
              <w:rPr>
                <w:sz w:val="21"/>
                <w:szCs w:val="21"/>
              </w:rPr>
              <w:t>Oxfend</w:t>
            </w:r>
            <w:proofErr w:type="spellEnd"/>
            <w:r w:rsidR="009257C7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azole</w:t>
            </w:r>
          </w:p>
        </w:tc>
        <w:tc>
          <w:tcPr>
            <w:tcW w:w="1908" w:type="dxa"/>
            <w:noWrap/>
            <w:hideMark/>
          </w:tcPr>
          <w:p w14:paraId="001D3EBE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anthelmintic</w:t>
            </w:r>
          </w:p>
        </w:tc>
        <w:tc>
          <w:tcPr>
            <w:tcW w:w="6092" w:type="dxa"/>
            <w:noWrap/>
            <w:hideMark/>
          </w:tcPr>
          <w:p w14:paraId="7CFCAC34" w14:textId="77777777" w:rsidR="0066133B" w:rsidRPr="00524E9F" w:rsidRDefault="0066133B" w:rsidP="00E53C1F">
            <w:pPr>
              <w:rPr>
                <w:u w:val="single"/>
              </w:rPr>
            </w:pPr>
            <w:hyperlink r:id="rId16" w:anchor="section=BioAssay-Results&amp;fullscreen=true" w:history="1">
              <w:r w:rsidRPr="00524E9F">
                <w:rPr>
                  <w:rStyle w:val="Hyperlink"/>
                </w:rPr>
                <w:t>https://pubchem.ncbi.nlm.nih.gov/compound/oxfendazole#section=BioAssay-Results&amp;fullscreen=true</w:t>
              </w:r>
            </w:hyperlink>
          </w:p>
        </w:tc>
      </w:tr>
      <w:tr w:rsidR="00A24DAA" w:rsidRPr="00524E9F" w14:paraId="03DAF0C6" w14:textId="77777777" w:rsidTr="0066133B">
        <w:trPr>
          <w:trHeight w:val="320"/>
        </w:trPr>
        <w:tc>
          <w:tcPr>
            <w:tcW w:w="990" w:type="dxa"/>
            <w:vMerge w:val="restart"/>
            <w:noWrap/>
            <w:hideMark/>
          </w:tcPr>
          <w:p w14:paraId="066A82F3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2.99</w:t>
            </w:r>
          </w:p>
        </w:tc>
        <w:tc>
          <w:tcPr>
            <w:tcW w:w="725" w:type="dxa"/>
            <w:vMerge w:val="restart"/>
            <w:noWrap/>
            <w:hideMark/>
          </w:tcPr>
          <w:p w14:paraId="3F2E4E3D" w14:textId="03462DEA" w:rsidR="0066133B" w:rsidRPr="00A24DAA" w:rsidRDefault="0066133B" w:rsidP="00E53C1F">
            <w:pPr>
              <w:rPr>
                <w:sz w:val="21"/>
                <w:szCs w:val="21"/>
              </w:rPr>
            </w:pPr>
            <w:proofErr w:type="spellStart"/>
            <w:r w:rsidRPr="00A24DAA">
              <w:rPr>
                <w:sz w:val="21"/>
                <w:szCs w:val="21"/>
              </w:rPr>
              <w:t>Imiqui</w:t>
            </w:r>
            <w:proofErr w:type="spellEnd"/>
            <w:r w:rsidR="009257C7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mod</w:t>
            </w:r>
          </w:p>
        </w:tc>
        <w:tc>
          <w:tcPr>
            <w:tcW w:w="1908" w:type="dxa"/>
            <w:vMerge w:val="restart"/>
            <w:noWrap/>
            <w:hideMark/>
          </w:tcPr>
          <w:p w14:paraId="6E7C4935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topical anti-tumor</w:t>
            </w:r>
          </w:p>
        </w:tc>
        <w:tc>
          <w:tcPr>
            <w:tcW w:w="6092" w:type="dxa"/>
            <w:noWrap/>
            <w:hideMark/>
          </w:tcPr>
          <w:p w14:paraId="3111684C" w14:textId="77777777" w:rsidR="0066133B" w:rsidRPr="00524E9F" w:rsidRDefault="0066133B" w:rsidP="00E53C1F">
            <w:pPr>
              <w:rPr>
                <w:u w:val="single"/>
              </w:rPr>
            </w:pPr>
            <w:hyperlink r:id="rId17" w:history="1">
              <w:r w:rsidRPr="00524E9F">
                <w:rPr>
                  <w:rStyle w:val="Hyperlink"/>
                </w:rPr>
                <w:t>https://www.guidetopharmacology.org/GRAC/LigandActivityRangeVisForward?ligandId=5003</w:t>
              </w:r>
            </w:hyperlink>
          </w:p>
        </w:tc>
      </w:tr>
      <w:tr w:rsidR="00A24DAA" w:rsidRPr="00524E9F" w14:paraId="21C4FE61" w14:textId="77777777" w:rsidTr="0066133B">
        <w:trPr>
          <w:trHeight w:val="320"/>
        </w:trPr>
        <w:tc>
          <w:tcPr>
            <w:tcW w:w="990" w:type="dxa"/>
            <w:vMerge/>
            <w:noWrap/>
            <w:hideMark/>
          </w:tcPr>
          <w:p w14:paraId="01538226" w14:textId="77777777" w:rsidR="0066133B" w:rsidRPr="00DE27B3" w:rsidRDefault="0066133B" w:rsidP="00E53C1F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vMerge/>
            <w:noWrap/>
            <w:hideMark/>
          </w:tcPr>
          <w:p w14:paraId="7BB49157" w14:textId="77777777" w:rsidR="0066133B" w:rsidRPr="00A24DAA" w:rsidRDefault="0066133B" w:rsidP="00E53C1F">
            <w:pPr>
              <w:rPr>
                <w:sz w:val="21"/>
                <w:szCs w:val="21"/>
              </w:rPr>
            </w:pPr>
          </w:p>
        </w:tc>
        <w:tc>
          <w:tcPr>
            <w:tcW w:w="1908" w:type="dxa"/>
            <w:vMerge/>
            <w:noWrap/>
            <w:hideMark/>
          </w:tcPr>
          <w:p w14:paraId="5938B6E2" w14:textId="77777777" w:rsidR="0066133B" w:rsidRPr="00651C80" w:rsidRDefault="0066133B" w:rsidP="00E53C1F">
            <w:pPr>
              <w:rPr>
                <w:sz w:val="20"/>
                <w:szCs w:val="20"/>
              </w:rPr>
            </w:pPr>
          </w:p>
        </w:tc>
        <w:tc>
          <w:tcPr>
            <w:tcW w:w="6092" w:type="dxa"/>
            <w:noWrap/>
            <w:hideMark/>
          </w:tcPr>
          <w:p w14:paraId="6FCCE047" w14:textId="77777777" w:rsidR="0066133B" w:rsidRPr="00524E9F" w:rsidRDefault="0066133B" w:rsidP="00E53C1F">
            <w:pPr>
              <w:rPr>
                <w:u w:val="single"/>
              </w:rPr>
            </w:pPr>
            <w:hyperlink r:id="rId18" w:history="1">
              <w:r w:rsidRPr="00524E9F">
                <w:rPr>
                  <w:rStyle w:val="Hyperlink"/>
                </w:rPr>
                <w:t>https://journals.asm.org/doi/10.1128/JVI.01196-12</w:t>
              </w:r>
            </w:hyperlink>
          </w:p>
        </w:tc>
      </w:tr>
      <w:tr w:rsidR="00A24DAA" w:rsidRPr="00524E9F" w14:paraId="100F31F8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1D5F8903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7.14</w:t>
            </w:r>
          </w:p>
        </w:tc>
        <w:tc>
          <w:tcPr>
            <w:tcW w:w="725" w:type="dxa"/>
            <w:noWrap/>
            <w:hideMark/>
          </w:tcPr>
          <w:p w14:paraId="7517ED49" w14:textId="77777777" w:rsidR="0066133B" w:rsidRPr="00A24DAA" w:rsidRDefault="0066133B" w:rsidP="00E53C1F">
            <w:pPr>
              <w:rPr>
                <w:sz w:val="21"/>
                <w:szCs w:val="21"/>
              </w:rPr>
            </w:pPr>
            <w:r w:rsidRPr="00A24DAA">
              <w:rPr>
                <w:sz w:val="21"/>
                <w:szCs w:val="21"/>
              </w:rPr>
              <w:t>Clotrimazole</w:t>
            </w:r>
          </w:p>
        </w:tc>
        <w:tc>
          <w:tcPr>
            <w:tcW w:w="1908" w:type="dxa"/>
            <w:noWrap/>
            <w:hideMark/>
          </w:tcPr>
          <w:p w14:paraId="31F70860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antifungal</w:t>
            </w:r>
          </w:p>
        </w:tc>
        <w:tc>
          <w:tcPr>
            <w:tcW w:w="6092" w:type="dxa"/>
            <w:noWrap/>
            <w:hideMark/>
          </w:tcPr>
          <w:p w14:paraId="6D091247" w14:textId="77777777" w:rsidR="0066133B" w:rsidRPr="00524E9F" w:rsidRDefault="0066133B" w:rsidP="00E53C1F">
            <w:pPr>
              <w:rPr>
                <w:u w:val="single"/>
              </w:rPr>
            </w:pPr>
            <w:hyperlink r:id="rId19" w:anchor="section=BioAssay-Results&amp;fullscreen=true" w:history="1">
              <w:r w:rsidRPr="00524E9F">
                <w:rPr>
                  <w:rStyle w:val="Hyperlink"/>
                </w:rPr>
                <w:t>https://pubchem.ncbi.nlm.nih.gov/compound/clotrimazole#section=BioAssay-Results&amp;fullscreen=true</w:t>
              </w:r>
            </w:hyperlink>
          </w:p>
        </w:tc>
      </w:tr>
      <w:tr w:rsidR="00A24DAA" w:rsidRPr="00524E9F" w14:paraId="60AEA81E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31FCBA75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0.142</w:t>
            </w:r>
          </w:p>
        </w:tc>
        <w:tc>
          <w:tcPr>
            <w:tcW w:w="725" w:type="dxa"/>
            <w:noWrap/>
            <w:hideMark/>
          </w:tcPr>
          <w:p w14:paraId="4789D94B" w14:textId="2DF6C6D0" w:rsidR="0066133B" w:rsidRPr="00A24DAA" w:rsidRDefault="0066133B" w:rsidP="00E53C1F">
            <w:pPr>
              <w:rPr>
                <w:sz w:val="21"/>
                <w:szCs w:val="21"/>
              </w:rPr>
            </w:pPr>
            <w:proofErr w:type="spellStart"/>
            <w:r w:rsidRPr="00A24DAA">
              <w:rPr>
                <w:sz w:val="21"/>
                <w:szCs w:val="21"/>
              </w:rPr>
              <w:t>Silden</w:t>
            </w:r>
            <w:r w:rsidR="009257C7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afil</w:t>
            </w:r>
            <w:proofErr w:type="spellEnd"/>
          </w:p>
        </w:tc>
        <w:tc>
          <w:tcPr>
            <w:tcW w:w="1908" w:type="dxa"/>
            <w:noWrap/>
            <w:hideMark/>
          </w:tcPr>
          <w:p w14:paraId="0E61F455" w14:textId="77777777" w:rsidR="0066133B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erectile dysfunction treatment</w:t>
            </w:r>
          </w:p>
        </w:tc>
        <w:tc>
          <w:tcPr>
            <w:tcW w:w="6092" w:type="dxa"/>
            <w:noWrap/>
            <w:hideMark/>
          </w:tcPr>
          <w:p w14:paraId="5EE70B70" w14:textId="77777777" w:rsidR="0066133B" w:rsidRPr="00524E9F" w:rsidRDefault="0066133B" w:rsidP="00E53C1F">
            <w:pPr>
              <w:rPr>
                <w:u w:val="single"/>
              </w:rPr>
            </w:pPr>
            <w:hyperlink r:id="rId20" w:history="1">
              <w:r w:rsidRPr="00524E9F">
                <w:rPr>
                  <w:rStyle w:val="Hyperlink"/>
                </w:rPr>
                <w:t>https://www.guidetopharmacology.org/GRAC/LigandActivityRangeVisForward?ligandId=4743</w:t>
              </w:r>
            </w:hyperlink>
          </w:p>
        </w:tc>
      </w:tr>
      <w:tr w:rsidR="00A24DAA" w:rsidRPr="00524E9F" w14:paraId="118FA2C1" w14:textId="77777777" w:rsidTr="0066133B">
        <w:trPr>
          <w:trHeight w:val="320"/>
        </w:trPr>
        <w:tc>
          <w:tcPr>
            <w:tcW w:w="990" w:type="dxa"/>
            <w:noWrap/>
            <w:hideMark/>
          </w:tcPr>
          <w:p w14:paraId="27747E56" w14:textId="77777777" w:rsidR="0066133B" w:rsidRPr="00DE27B3" w:rsidRDefault="0066133B" w:rsidP="00E53C1F">
            <w:pPr>
              <w:rPr>
                <w:sz w:val="22"/>
                <w:szCs w:val="22"/>
              </w:rPr>
            </w:pPr>
            <w:r w:rsidRPr="00DE27B3">
              <w:rPr>
                <w:sz w:val="22"/>
                <w:szCs w:val="22"/>
              </w:rPr>
              <w:t>0.655</w:t>
            </w:r>
          </w:p>
        </w:tc>
        <w:tc>
          <w:tcPr>
            <w:tcW w:w="725" w:type="dxa"/>
            <w:noWrap/>
            <w:hideMark/>
          </w:tcPr>
          <w:p w14:paraId="3B1F7140" w14:textId="6F35F007" w:rsidR="0066133B" w:rsidRPr="00A24DAA" w:rsidRDefault="0066133B" w:rsidP="00E53C1F">
            <w:pPr>
              <w:rPr>
                <w:sz w:val="21"/>
                <w:szCs w:val="21"/>
              </w:rPr>
            </w:pPr>
            <w:proofErr w:type="spellStart"/>
            <w:r w:rsidRPr="00A24DAA">
              <w:rPr>
                <w:sz w:val="21"/>
                <w:szCs w:val="21"/>
              </w:rPr>
              <w:t>Bithio</w:t>
            </w:r>
            <w:r w:rsidR="009257C7" w:rsidRPr="00A24DAA">
              <w:rPr>
                <w:sz w:val="21"/>
                <w:szCs w:val="21"/>
              </w:rPr>
              <w:t>-</w:t>
            </w:r>
            <w:r w:rsidRPr="00A24DAA">
              <w:rPr>
                <w:sz w:val="21"/>
                <w:szCs w:val="21"/>
              </w:rPr>
              <w:t>nol</w:t>
            </w:r>
            <w:proofErr w:type="spellEnd"/>
          </w:p>
        </w:tc>
        <w:tc>
          <w:tcPr>
            <w:tcW w:w="1908" w:type="dxa"/>
            <w:noWrap/>
            <w:hideMark/>
          </w:tcPr>
          <w:p w14:paraId="18938C5F" w14:textId="77777777" w:rsidR="000E5B8B" w:rsidRDefault="00A24DAA" w:rsidP="00E53C1F">
            <w:pPr>
              <w:rPr>
                <w:sz w:val="20"/>
                <w:szCs w:val="20"/>
              </w:rPr>
            </w:pPr>
            <w:proofErr w:type="spellStart"/>
            <w:r w:rsidRPr="00651C80">
              <w:rPr>
                <w:sz w:val="20"/>
                <w:szCs w:val="20"/>
              </w:rPr>
              <w:t>A</w:t>
            </w:r>
            <w:r w:rsidR="0066133B" w:rsidRPr="00651C80">
              <w:rPr>
                <w:sz w:val="20"/>
                <w:szCs w:val="20"/>
              </w:rPr>
              <w:t>ntibacter</w:t>
            </w:r>
            <w:proofErr w:type="spellEnd"/>
            <w:r w:rsidRPr="00651C80">
              <w:rPr>
                <w:sz w:val="20"/>
                <w:szCs w:val="20"/>
              </w:rPr>
              <w:t>.</w:t>
            </w:r>
            <w:r w:rsidR="0066133B" w:rsidRPr="00651C80">
              <w:rPr>
                <w:sz w:val="20"/>
                <w:szCs w:val="20"/>
              </w:rPr>
              <w:t>, </w:t>
            </w:r>
          </w:p>
          <w:p w14:paraId="3DD5A4CC" w14:textId="286728C3" w:rsidR="00872182" w:rsidRPr="00651C80" w:rsidRDefault="0066133B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ant</w:t>
            </w:r>
            <w:r w:rsidR="00A24DAA" w:rsidRPr="00651C80">
              <w:rPr>
                <w:sz w:val="20"/>
                <w:szCs w:val="20"/>
              </w:rPr>
              <w:t>i-</w:t>
            </w:r>
            <w:proofErr w:type="spellStart"/>
            <w:r w:rsidRPr="00651C80">
              <w:rPr>
                <w:sz w:val="20"/>
                <w:szCs w:val="20"/>
              </w:rPr>
              <w:t>helmintic</w:t>
            </w:r>
            <w:proofErr w:type="spellEnd"/>
            <w:r w:rsidRPr="00651C80">
              <w:rPr>
                <w:sz w:val="20"/>
                <w:szCs w:val="20"/>
              </w:rPr>
              <w:t>,</w:t>
            </w:r>
          </w:p>
          <w:p w14:paraId="40486D15" w14:textId="0DF2E73B" w:rsidR="0066133B" w:rsidRPr="00651C80" w:rsidRDefault="00872182" w:rsidP="00E53C1F">
            <w:pPr>
              <w:rPr>
                <w:sz w:val="20"/>
                <w:szCs w:val="20"/>
              </w:rPr>
            </w:pPr>
            <w:r w:rsidRPr="00651C80">
              <w:rPr>
                <w:sz w:val="20"/>
                <w:szCs w:val="20"/>
              </w:rPr>
              <w:t>&amp;</w:t>
            </w:r>
            <w:r w:rsidR="0066133B" w:rsidRPr="00651C80">
              <w:rPr>
                <w:sz w:val="20"/>
                <w:szCs w:val="20"/>
              </w:rPr>
              <w:t> </w:t>
            </w:r>
            <w:proofErr w:type="gramStart"/>
            <w:r w:rsidR="0066133B" w:rsidRPr="00651C80">
              <w:rPr>
                <w:sz w:val="20"/>
                <w:szCs w:val="20"/>
              </w:rPr>
              <w:t>algaecide</w:t>
            </w:r>
            <w:proofErr w:type="gramEnd"/>
          </w:p>
        </w:tc>
        <w:tc>
          <w:tcPr>
            <w:tcW w:w="6092" w:type="dxa"/>
            <w:noWrap/>
            <w:hideMark/>
          </w:tcPr>
          <w:p w14:paraId="358D8763" w14:textId="77777777" w:rsidR="0066133B" w:rsidRPr="00524E9F" w:rsidRDefault="0066133B" w:rsidP="00E53C1F">
            <w:pPr>
              <w:rPr>
                <w:u w:val="single"/>
              </w:rPr>
            </w:pPr>
            <w:hyperlink r:id="rId21" w:history="1">
              <w:r w:rsidRPr="00524E9F">
                <w:rPr>
                  <w:rStyle w:val="Hyperlink"/>
                </w:rPr>
                <w:t>https://www.guidetopharmacology.org/GRAC/LigandActivityRangeVisForward?ligandId=2338</w:t>
              </w:r>
            </w:hyperlink>
          </w:p>
        </w:tc>
      </w:tr>
    </w:tbl>
    <w:p w14:paraId="4E638C05" w14:textId="77777777" w:rsidR="0066133B" w:rsidRDefault="0066133B" w:rsidP="0066133B"/>
    <w:p w14:paraId="1A89D8CE" w14:textId="77777777" w:rsidR="0040459D" w:rsidRDefault="003A3154">
      <w:pPr>
        <w:rPr>
          <w:b/>
        </w:rPr>
      </w:pPr>
      <w:r>
        <w:rPr>
          <w:b/>
        </w:rPr>
        <w:t xml:space="preserve">Table S2. </w:t>
      </w:r>
      <w:r w:rsidR="0040459D">
        <w:rPr>
          <w:b/>
        </w:rPr>
        <w:t xml:space="preserve">Details of statistical analysis. </w:t>
      </w:r>
    </w:p>
    <w:p w14:paraId="2D2CDFC3" w14:textId="77777777" w:rsidR="00DF479E" w:rsidRDefault="00DF479E">
      <w:pPr>
        <w:rPr>
          <w:b/>
        </w:rPr>
      </w:pPr>
      <w:r w:rsidRPr="00DF479E">
        <w:rPr>
          <w:b/>
        </w:rPr>
        <w:drawing>
          <wp:inline distT="0" distB="0" distL="0" distR="0" wp14:anchorId="6A0B3680" wp14:editId="76E0203D">
            <wp:extent cx="5702157" cy="7834912"/>
            <wp:effectExtent l="0" t="0" r="63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18990" cy="785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B24DE" w14:textId="77777777" w:rsidR="00DF479E" w:rsidRDefault="00DF479E">
      <w:pPr>
        <w:rPr>
          <w:b/>
        </w:rPr>
      </w:pPr>
      <w:r w:rsidRPr="00DF479E">
        <w:rPr>
          <w:b/>
        </w:rPr>
        <w:lastRenderedPageBreak/>
        <w:drawing>
          <wp:inline distT="0" distB="0" distL="0" distR="0" wp14:anchorId="32DDFC56" wp14:editId="50711E37">
            <wp:extent cx="5928189" cy="8435674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9121" cy="84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A4E1D" w14:textId="77777777" w:rsidR="00DF479E" w:rsidRDefault="00DF479E">
      <w:pPr>
        <w:rPr>
          <w:b/>
        </w:rPr>
      </w:pPr>
      <w:r w:rsidRPr="00DF479E">
        <w:rPr>
          <w:b/>
        </w:rPr>
        <w:lastRenderedPageBreak/>
        <w:drawing>
          <wp:inline distT="0" distB="0" distL="0" distR="0" wp14:anchorId="0F7273EA" wp14:editId="6684C227">
            <wp:extent cx="5928189" cy="8442238"/>
            <wp:effectExtent l="0" t="0" r="317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0851" cy="847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E3E1" w14:textId="77777777" w:rsidR="00DF479E" w:rsidRDefault="00DF479E">
      <w:pPr>
        <w:rPr>
          <w:b/>
        </w:rPr>
      </w:pPr>
      <w:r w:rsidRPr="00DF479E">
        <w:rPr>
          <w:b/>
        </w:rPr>
        <w:lastRenderedPageBreak/>
        <w:drawing>
          <wp:inline distT="0" distB="0" distL="0" distR="0" wp14:anchorId="42B51992" wp14:editId="416FC8C1">
            <wp:extent cx="5938463" cy="8563889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59289" cy="859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9381C" w14:textId="77777777" w:rsidR="005E243E" w:rsidRDefault="005E243E">
      <w:pPr>
        <w:rPr>
          <w:b/>
        </w:rPr>
      </w:pPr>
      <w:r w:rsidRPr="005E243E">
        <w:rPr>
          <w:b/>
        </w:rPr>
        <w:lastRenderedPageBreak/>
        <w:drawing>
          <wp:inline distT="0" distB="0" distL="0" distR="0" wp14:anchorId="7BDE85E1" wp14:editId="21478AB2">
            <wp:extent cx="5959011" cy="8470531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85088" cy="850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48233" w14:textId="77777777" w:rsidR="00DF126B" w:rsidRDefault="00DF126B">
      <w:pPr>
        <w:rPr>
          <w:b/>
        </w:rPr>
      </w:pPr>
      <w:r w:rsidRPr="00DF126B">
        <w:rPr>
          <w:b/>
        </w:rPr>
        <w:lastRenderedPageBreak/>
        <w:drawing>
          <wp:inline distT="0" distB="0" distL="0" distR="0" wp14:anchorId="0D360328" wp14:editId="19205AA6">
            <wp:extent cx="5938463" cy="8369960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53713" cy="83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78BC9" w14:textId="77777777" w:rsidR="00DF126B" w:rsidRDefault="00DF126B">
      <w:pPr>
        <w:rPr>
          <w:b/>
        </w:rPr>
      </w:pPr>
      <w:r w:rsidRPr="00DF126B">
        <w:rPr>
          <w:b/>
        </w:rPr>
        <w:lastRenderedPageBreak/>
        <w:drawing>
          <wp:inline distT="0" distB="0" distL="0" distR="0" wp14:anchorId="6AC754A6" wp14:editId="291A09D6">
            <wp:extent cx="5917915" cy="8294401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7823" cy="832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AEC35" w14:textId="77777777" w:rsidR="00CC2342" w:rsidRDefault="00CC2342">
      <w:pPr>
        <w:rPr>
          <w:b/>
        </w:rPr>
      </w:pPr>
      <w:r w:rsidRPr="00CC2342">
        <w:rPr>
          <w:b/>
        </w:rPr>
        <w:lastRenderedPageBreak/>
        <w:drawing>
          <wp:inline distT="0" distB="0" distL="0" distR="0" wp14:anchorId="1F362777" wp14:editId="3DD78D4E">
            <wp:extent cx="5928189" cy="8404717"/>
            <wp:effectExtent l="0" t="0" r="317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155" cy="842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62028" w14:textId="77777777" w:rsidR="00CC2342" w:rsidRDefault="00CC2342">
      <w:pPr>
        <w:rPr>
          <w:b/>
        </w:rPr>
      </w:pPr>
      <w:r w:rsidRPr="00CC2342">
        <w:rPr>
          <w:b/>
        </w:rPr>
        <w:lastRenderedPageBreak/>
        <w:drawing>
          <wp:inline distT="0" distB="0" distL="0" distR="0" wp14:anchorId="3E49BDB6" wp14:editId="4E19FCC8">
            <wp:extent cx="5938463" cy="8503506"/>
            <wp:effectExtent l="0" t="0" r="5715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52866" cy="852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B5D21" w14:textId="77777777" w:rsidR="00065F7B" w:rsidRDefault="00065F7B">
      <w:pPr>
        <w:rPr>
          <w:b/>
        </w:rPr>
      </w:pPr>
      <w:r w:rsidRPr="00065F7B">
        <w:rPr>
          <w:b/>
        </w:rPr>
        <w:lastRenderedPageBreak/>
        <w:drawing>
          <wp:inline distT="0" distB="0" distL="0" distR="0" wp14:anchorId="5517F1A3" wp14:editId="16C4BD9B">
            <wp:extent cx="5928189" cy="8231003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1190" cy="824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E56EE" w14:textId="77777777" w:rsidR="00AB5502" w:rsidRDefault="00AB5502">
      <w:pPr>
        <w:rPr>
          <w:b/>
        </w:rPr>
      </w:pPr>
      <w:r w:rsidRPr="00AB5502">
        <w:rPr>
          <w:b/>
        </w:rPr>
        <w:lastRenderedPageBreak/>
        <w:drawing>
          <wp:inline distT="0" distB="0" distL="0" distR="0" wp14:anchorId="046CED81" wp14:editId="3DFAF059">
            <wp:extent cx="5928189" cy="8471070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9913" cy="848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84E02" w14:textId="77777777" w:rsidR="008D5308" w:rsidRDefault="008D5308">
      <w:pPr>
        <w:rPr>
          <w:b/>
        </w:rPr>
      </w:pPr>
      <w:r w:rsidRPr="008D5308">
        <w:rPr>
          <w:b/>
        </w:rPr>
        <w:lastRenderedPageBreak/>
        <w:drawing>
          <wp:inline distT="0" distB="0" distL="0" distR="0" wp14:anchorId="733B209D" wp14:editId="2EDCD0D0">
            <wp:extent cx="5928189" cy="6704130"/>
            <wp:effectExtent l="0" t="0" r="3175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57656" cy="673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07A48" w14:textId="60D63EE9" w:rsidR="00E70FF6" w:rsidRDefault="00E70FF6">
      <w:pPr>
        <w:rPr>
          <w:b/>
        </w:rPr>
      </w:pPr>
      <w:r>
        <w:rPr>
          <w:b/>
        </w:rPr>
        <w:br w:type="page"/>
      </w:r>
    </w:p>
    <w:p w14:paraId="348EC106" w14:textId="20BEF8EE" w:rsidR="00E70FF6" w:rsidRPr="00E70FF6" w:rsidRDefault="00E70FF6" w:rsidP="00E70FF6">
      <w:pPr>
        <w:spacing w:line="360" w:lineRule="auto"/>
        <w:rPr>
          <w:b/>
        </w:rPr>
      </w:pPr>
      <w:r w:rsidRPr="00E70FF6">
        <w:rPr>
          <w:b/>
        </w:rPr>
        <w:lastRenderedPageBreak/>
        <w:t>Figures S1 – S5</w:t>
      </w:r>
    </w:p>
    <w:p w14:paraId="58EB432F" w14:textId="709BCCB2" w:rsidR="00EC22B2" w:rsidRDefault="00EC22B2" w:rsidP="00EC22B2">
      <w:pPr>
        <w:spacing w:line="360" w:lineRule="auto"/>
        <w:ind w:hanging="450"/>
        <w:rPr>
          <w:b/>
        </w:rPr>
      </w:pPr>
      <w:r w:rsidRPr="00EC22B2">
        <w:rPr>
          <w:b/>
        </w:rPr>
        <w:drawing>
          <wp:inline distT="0" distB="0" distL="0" distR="0" wp14:anchorId="77EE5EDB" wp14:editId="64C58F22">
            <wp:extent cx="6478313" cy="17157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92431" cy="171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68695" w14:textId="70CBE3B3" w:rsidR="00334A04" w:rsidRDefault="00334A04" w:rsidP="00334A04">
      <w:pPr>
        <w:spacing w:line="360" w:lineRule="auto"/>
      </w:pPr>
      <w:r w:rsidRPr="00CC4863">
        <w:rPr>
          <w:b/>
        </w:rPr>
        <w:t xml:space="preserve">Figure </w:t>
      </w:r>
      <w:r>
        <w:rPr>
          <w:b/>
        </w:rPr>
        <w:t>S1</w:t>
      </w:r>
      <w:r>
        <w:t xml:space="preserve">. Effects of </w:t>
      </w:r>
      <w:r w:rsidRPr="00055BF0">
        <w:t xml:space="preserve">cannabidiol </w:t>
      </w:r>
      <w:r>
        <w:t xml:space="preserve">(10 mg/kg) pretreatment on adenosine (100 mg/kg) induced hypothermia. (A) Time course, (B) mean Tb at 0-60 min, (C) mean activity at 0-60 min, (D) mean Tb at 0-300 min, (E) time below 34 </w:t>
      </w:r>
      <w:r w:rsidRPr="000C19F5">
        <w:rPr>
          <w:rFonts w:cstheme="minorHAnsi"/>
        </w:rPr>
        <w:t>°</w:t>
      </w:r>
      <w:r>
        <w:t xml:space="preserve">C, and (F) mean activity at 0-300 min; n=10-11/group. Statistical analyses are in Table S1. </w:t>
      </w:r>
    </w:p>
    <w:p w14:paraId="4BF5C065" w14:textId="3020D2AD" w:rsidR="00334A04" w:rsidRDefault="00334A04" w:rsidP="00334A04">
      <w:pPr>
        <w:spacing w:line="360" w:lineRule="auto"/>
      </w:pPr>
    </w:p>
    <w:p w14:paraId="763EF8B5" w14:textId="0BC1BC55" w:rsidR="000D0472" w:rsidRDefault="000D0472" w:rsidP="000D0472">
      <w:pPr>
        <w:spacing w:line="360" w:lineRule="auto"/>
        <w:ind w:hanging="450"/>
      </w:pPr>
      <w:r w:rsidRPr="000D0472">
        <w:drawing>
          <wp:inline distT="0" distB="0" distL="0" distR="0" wp14:anchorId="2262BCA8" wp14:editId="024689F1">
            <wp:extent cx="6460579" cy="1787703"/>
            <wp:effectExtent l="0" t="0" r="381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519004" cy="18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2BA5C" w14:textId="77777777" w:rsidR="00334A04" w:rsidRDefault="00334A04" w:rsidP="00334A04">
      <w:pPr>
        <w:spacing w:line="360" w:lineRule="auto"/>
      </w:pPr>
      <w:r w:rsidRPr="00CC4863">
        <w:rPr>
          <w:b/>
        </w:rPr>
        <w:t xml:space="preserve">Figure </w:t>
      </w:r>
      <w:r>
        <w:rPr>
          <w:b/>
        </w:rPr>
        <w:t>S2</w:t>
      </w:r>
      <w:r>
        <w:t xml:space="preserve">. Effects of </w:t>
      </w:r>
      <w:proofErr w:type="spellStart"/>
      <w:r>
        <w:t>canrenoate</w:t>
      </w:r>
      <w:proofErr w:type="spellEnd"/>
      <w:r>
        <w:t xml:space="preserve">. (A) Vehicle or </w:t>
      </w:r>
      <w:proofErr w:type="spellStart"/>
      <w:r>
        <w:t>canrenoate</w:t>
      </w:r>
      <w:proofErr w:type="spellEnd"/>
      <w:r>
        <w:t xml:space="preserve"> (0.3, 1, or 3 mg/kg) treatment of WT mice. (B) Mean Tb at 0-60 min, (C) mean activity at 0-60 min, (D) mean Tb at 0-300 min, (E) time below 34 </w:t>
      </w:r>
      <w:r w:rsidRPr="000C19F5">
        <w:rPr>
          <w:rFonts w:cstheme="minorHAnsi"/>
        </w:rPr>
        <w:t>°</w:t>
      </w:r>
      <w:r>
        <w:t xml:space="preserve">C, and (F) mean activity at 0-300 min; n=4-5/group. Statistical analyses are in Table S2. </w:t>
      </w:r>
    </w:p>
    <w:p w14:paraId="6E1422D3" w14:textId="4966733A" w:rsidR="00334A04" w:rsidRDefault="00DA1390" w:rsidP="00DA1390">
      <w:pPr>
        <w:spacing w:line="360" w:lineRule="auto"/>
        <w:ind w:hanging="360"/>
      </w:pPr>
      <w:r w:rsidRPr="00DA1390">
        <w:drawing>
          <wp:inline distT="0" distB="0" distL="0" distR="0" wp14:anchorId="7A5F5C9F" wp14:editId="202721C5">
            <wp:extent cx="6392993" cy="16952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14845" cy="170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8FCD4" w14:textId="77777777" w:rsidR="00334A04" w:rsidRDefault="00334A04" w:rsidP="00334A04">
      <w:pPr>
        <w:spacing w:line="360" w:lineRule="auto"/>
      </w:pPr>
      <w:r w:rsidRPr="00CC4863">
        <w:rPr>
          <w:b/>
        </w:rPr>
        <w:lastRenderedPageBreak/>
        <w:t xml:space="preserve">Figure </w:t>
      </w:r>
      <w:r>
        <w:rPr>
          <w:b/>
        </w:rPr>
        <w:t>S3</w:t>
      </w:r>
      <w:r>
        <w:t xml:space="preserve">. Effects of sildenafil. (A) Vehicle or sildenafil (1, 3, 10 or 30 mg/kg) treatment of WT mice. (B) Mean Tb at 0-60 min, (C) mean activity at 0-60 min, (D) mean Tb at 0-300 min, (E) time below 34 </w:t>
      </w:r>
      <w:r w:rsidRPr="000C19F5">
        <w:rPr>
          <w:rFonts w:cstheme="minorHAnsi"/>
        </w:rPr>
        <w:t>°</w:t>
      </w:r>
      <w:r>
        <w:t xml:space="preserve">C, and (F) mean activity at 0-300 min; n=6-13/group. Statistical analyses are in Table S2. </w:t>
      </w:r>
    </w:p>
    <w:p w14:paraId="43581460" w14:textId="17116867" w:rsidR="00334A04" w:rsidRDefault="006172DD" w:rsidP="006172DD">
      <w:pPr>
        <w:spacing w:line="360" w:lineRule="auto"/>
        <w:ind w:hanging="360"/>
        <w:rPr>
          <w:b/>
        </w:rPr>
      </w:pPr>
      <w:r w:rsidRPr="006172DD">
        <w:rPr>
          <w:b/>
        </w:rPr>
        <w:drawing>
          <wp:inline distT="0" distB="0" distL="0" distR="0" wp14:anchorId="11DF00A0" wp14:editId="3B0243E9">
            <wp:extent cx="6298058" cy="3334741"/>
            <wp:effectExtent l="0" t="0" r="127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16710" cy="334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28C08" w14:textId="77777777" w:rsidR="00334A04" w:rsidRDefault="00334A04" w:rsidP="00334A04">
      <w:pPr>
        <w:spacing w:line="360" w:lineRule="auto"/>
      </w:pPr>
      <w:r w:rsidRPr="00CC4863">
        <w:rPr>
          <w:b/>
        </w:rPr>
        <w:t xml:space="preserve">Figure </w:t>
      </w:r>
      <w:r>
        <w:rPr>
          <w:b/>
        </w:rPr>
        <w:t>S4</w:t>
      </w:r>
      <w:r>
        <w:t xml:space="preserve">. Effects of ketamine. (A) Vehicle or ketamine (1, 3, 10, or 30 mg/kg) treatment of WT mice. (B) Mean Tb at 0-60 min, (C) mean activity at 0-60 min, (D) mean Tb at 0-300 min, (E) time below 34 </w:t>
      </w:r>
      <w:r w:rsidRPr="000C19F5">
        <w:rPr>
          <w:rFonts w:cstheme="minorHAnsi"/>
        </w:rPr>
        <w:t>°</w:t>
      </w:r>
      <w:r>
        <w:t xml:space="preserve">C, and (F) mean activity at 0-300 min; n=5-12/group. (G) Treatment of QKO and control mice </w:t>
      </w:r>
      <w:r w:rsidRPr="008A15D2">
        <w:t>with ketamine (30 mg/kg</w:t>
      </w:r>
      <w:r>
        <w:t>).</w:t>
      </w:r>
      <w:r w:rsidRPr="00362CDC">
        <w:t xml:space="preserve"> </w:t>
      </w:r>
      <w:r>
        <w:t xml:space="preserve">(H) Mean Tb at 0-60 min, (I) mean activity at 0-60 min, (J) mean Tb at 0-300 min, (K) time below 34 </w:t>
      </w:r>
      <w:r w:rsidRPr="000C19F5">
        <w:rPr>
          <w:rFonts w:cstheme="minorHAnsi"/>
        </w:rPr>
        <w:t>°</w:t>
      </w:r>
      <w:r>
        <w:t>C, and (L) mean activity at 0-300 min; n=6-7/group.</w:t>
      </w:r>
      <w:r w:rsidRPr="00362CDC">
        <w:t xml:space="preserve"> </w:t>
      </w:r>
      <w:r>
        <w:t xml:space="preserve">Statistical analyses are in Table S2. </w:t>
      </w:r>
    </w:p>
    <w:p w14:paraId="5392CAA0" w14:textId="0EF8EE4D" w:rsidR="00334A04" w:rsidRDefault="009A131E" w:rsidP="009A131E">
      <w:pPr>
        <w:spacing w:line="360" w:lineRule="auto"/>
        <w:ind w:hanging="360"/>
      </w:pPr>
      <w:r w:rsidRPr="009A131E">
        <w:lastRenderedPageBreak/>
        <w:drawing>
          <wp:inline distT="0" distB="0" distL="0" distR="0" wp14:anchorId="7EDAA7AE" wp14:editId="7C96698A">
            <wp:extent cx="5943600" cy="47212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80DD1" w14:textId="276BE27D" w:rsidR="00334A04" w:rsidRDefault="00334A04" w:rsidP="00334A04">
      <w:pPr>
        <w:spacing w:line="360" w:lineRule="auto"/>
      </w:pPr>
      <w:r w:rsidRPr="00CC4863">
        <w:rPr>
          <w:b/>
        </w:rPr>
        <w:t xml:space="preserve">Figure </w:t>
      </w:r>
      <w:r>
        <w:rPr>
          <w:b/>
        </w:rPr>
        <w:t>S5</w:t>
      </w:r>
      <w:r>
        <w:t xml:space="preserve">. Effects of ethanol. (A) Vehicle or ethanol (1, 2, or 3 g/kg) treatment of WT mice. (B) Mean Tb at 0-60 min, (C) mean activity at 0-60 min, (D) mean Tb at 0-300 min, (E) time below 34 </w:t>
      </w:r>
      <w:r w:rsidRPr="000C19F5">
        <w:rPr>
          <w:rFonts w:cstheme="minorHAnsi"/>
        </w:rPr>
        <w:t>°</w:t>
      </w:r>
      <w:r>
        <w:t>C, and (F) mean activity at 0-300 min; n=5-6/group. (G) Treatment of QKO and control mice with ethanol (3 g/kg).</w:t>
      </w:r>
      <w:r w:rsidRPr="00362CDC">
        <w:t xml:space="preserve"> </w:t>
      </w:r>
      <w:r>
        <w:t xml:space="preserve">(H) Mean Tb at 0-60 min, (I) mean activity at 0-60 min, (J) mean Tb at 0-300 min, (K) time below 34 </w:t>
      </w:r>
      <w:r w:rsidRPr="000C19F5">
        <w:rPr>
          <w:rFonts w:cstheme="minorHAnsi"/>
        </w:rPr>
        <w:t>°</w:t>
      </w:r>
      <w:r>
        <w:t>C, and (L) mean activity at 0-300 min; n=16-18/group.</w:t>
      </w:r>
      <w:r w:rsidRPr="00362CDC">
        <w:t xml:space="preserve"> </w:t>
      </w:r>
      <w:r>
        <w:t xml:space="preserve">(M) Effect of ethanol (50 mg/kg) pretreatment on adenosine (100 mg/kg) induced hypothermia. (N) Mean Tb at 0-60 min, (O) mean activity at 0-60 min, (P) mean Tb at 0-300 min, (Q) time below 34 </w:t>
      </w:r>
      <w:r w:rsidRPr="000C19F5">
        <w:rPr>
          <w:rFonts w:cstheme="minorHAnsi"/>
        </w:rPr>
        <w:t>°</w:t>
      </w:r>
      <w:r>
        <w:t xml:space="preserve">C, and (R) mean activity at 0-300 min; n=5-6/group. Statistical analyses are in Table S2. </w:t>
      </w:r>
    </w:p>
    <w:sectPr w:rsidR="00334A04">
      <w:headerReference w:type="even" r:id="rId39"/>
      <w:headerReference w:type="defaul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696B" w14:textId="77777777" w:rsidR="00300A7B" w:rsidRDefault="00300A7B" w:rsidP="00542163">
      <w:r>
        <w:separator/>
      </w:r>
    </w:p>
  </w:endnote>
  <w:endnote w:type="continuationSeparator" w:id="0">
    <w:p w14:paraId="514F087B" w14:textId="77777777" w:rsidR="00300A7B" w:rsidRDefault="00300A7B" w:rsidP="0054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55A68" w14:textId="77777777" w:rsidR="00300A7B" w:rsidRDefault="00300A7B" w:rsidP="00542163">
      <w:r>
        <w:separator/>
      </w:r>
    </w:p>
  </w:footnote>
  <w:footnote w:type="continuationSeparator" w:id="0">
    <w:p w14:paraId="1ACFC282" w14:textId="77777777" w:rsidR="00300A7B" w:rsidRDefault="00300A7B" w:rsidP="00542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07572223"/>
      <w:docPartObj>
        <w:docPartGallery w:val="Page Numbers (Top of Page)"/>
        <w:docPartUnique/>
      </w:docPartObj>
    </w:sdtPr>
    <w:sdtContent>
      <w:p w14:paraId="5F4B0BE8" w14:textId="7C85ECCA" w:rsidR="00542163" w:rsidRDefault="00542163" w:rsidP="00A51A0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CA772E" w14:textId="77777777" w:rsidR="00542163" w:rsidRDefault="00542163" w:rsidP="0054216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5F757" w14:textId="28C5BDA6" w:rsidR="00542163" w:rsidRDefault="00542163" w:rsidP="00A51A0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t>S</w:t>
    </w:r>
    <w:sdt>
      <w:sdtPr>
        <w:rPr>
          <w:rStyle w:val="PageNumber"/>
        </w:rPr>
        <w:id w:val="644484523"/>
        <w:docPartObj>
          <w:docPartGallery w:val="Page Numbers (Top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204B46C0" w14:textId="77777777" w:rsidR="00542163" w:rsidRDefault="00542163" w:rsidP="0054216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04"/>
    <w:rsid w:val="00027360"/>
    <w:rsid w:val="00065F7B"/>
    <w:rsid w:val="000D0472"/>
    <w:rsid w:val="000E5B8B"/>
    <w:rsid w:val="00131B4E"/>
    <w:rsid w:val="00174BF6"/>
    <w:rsid w:val="001944E1"/>
    <w:rsid w:val="001D477F"/>
    <w:rsid w:val="001D668F"/>
    <w:rsid w:val="00235830"/>
    <w:rsid w:val="00300A7B"/>
    <w:rsid w:val="00331CBC"/>
    <w:rsid w:val="00334A04"/>
    <w:rsid w:val="00364267"/>
    <w:rsid w:val="00367DD9"/>
    <w:rsid w:val="00373BBB"/>
    <w:rsid w:val="003A3154"/>
    <w:rsid w:val="0040459D"/>
    <w:rsid w:val="0043554A"/>
    <w:rsid w:val="004A0788"/>
    <w:rsid w:val="00542163"/>
    <w:rsid w:val="005C0C7D"/>
    <w:rsid w:val="005C21BE"/>
    <w:rsid w:val="005E243E"/>
    <w:rsid w:val="006172DD"/>
    <w:rsid w:val="00651C80"/>
    <w:rsid w:val="0066133B"/>
    <w:rsid w:val="006A61DE"/>
    <w:rsid w:val="006B58A4"/>
    <w:rsid w:val="006B6C0E"/>
    <w:rsid w:val="0079409F"/>
    <w:rsid w:val="007F74F8"/>
    <w:rsid w:val="00805FF6"/>
    <w:rsid w:val="0083410D"/>
    <w:rsid w:val="00835121"/>
    <w:rsid w:val="00841D67"/>
    <w:rsid w:val="00872182"/>
    <w:rsid w:val="008D1941"/>
    <w:rsid w:val="008D5308"/>
    <w:rsid w:val="009257C7"/>
    <w:rsid w:val="0093423B"/>
    <w:rsid w:val="009A131E"/>
    <w:rsid w:val="00A24DAA"/>
    <w:rsid w:val="00AB5502"/>
    <w:rsid w:val="00B82B6E"/>
    <w:rsid w:val="00BE7668"/>
    <w:rsid w:val="00C104B0"/>
    <w:rsid w:val="00C171DD"/>
    <w:rsid w:val="00C53E78"/>
    <w:rsid w:val="00CC2342"/>
    <w:rsid w:val="00CC3203"/>
    <w:rsid w:val="00D0128B"/>
    <w:rsid w:val="00D308A8"/>
    <w:rsid w:val="00DA1390"/>
    <w:rsid w:val="00DE27B3"/>
    <w:rsid w:val="00DF126B"/>
    <w:rsid w:val="00DF479E"/>
    <w:rsid w:val="00E70FF6"/>
    <w:rsid w:val="00EC22B2"/>
    <w:rsid w:val="00F8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1B26DF"/>
  <w15:chartTrackingRefBased/>
  <w15:docId w15:val="{1139EFD8-A1C6-9949-838B-EE6DDF48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1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163"/>
  </w:style>
  <w:style w:type="character" w:styleId="PageNumber">
    <w:name w:val="page number"/>
    <w:basedOn w:val="DefaultParagraphFont"/>
    <w:uiPriority w:val="99"/>
    <w:semiHidden/>
    <w:unhideWhenUsed/>
    <w:rsid w:val="00542163"/>
  </w:style>
  <w:style w:type="paragraph" w:styleId="Footer">
    <w:name w:val="footer"/>
    <w:basedOn w:val="Normal"/>
    <w:link w:val="FooterChar"/>
    <w:uiPriority w:val="99"/>
    <w:unhideWhenUsed/>
    <w:rsid w:val="005421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163"/>
  </w:style>
  <w:style w:type="character" w:styleId="Hyperlink">
    <w:name w:val="Hyperlink"/>
    <w:basedOn w:val="DefaultParagraphFont"/>
    <w:uiPriority w:val="99"/>
    <w:unhideWhenUsed/>
    <w:rsid w:val="0066133B"/>
    <w:rPr>
      <w:color w:val="0563C1"/>
      <w:u w:val="single"/>
    </w:rPr>
  </w:style>
  <w:style w:type="table" w:styleId="TableGrid">
    <w:name w:val="Table Grid"/>
    <w:basedOn w:val="TableNormal"/>
    <w:uiPriority w:val="39"/>
    <w:rsid w:val="00661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uidetopharmacology.org/GRAC/LigandActivityRangeVisForward?ligandId=7071" TargetMode="External"/><Relationship Id="rId18" Type="http://schemas.openxmlformats.org/officeDocument/2006/relationships/hyperlink" Target="https://journals.asm.org/doi/10.1128/JVI.01196-12" TargetMode="External"/><Relationship Id="rId26" Type="http://schemas.openxmlformats.org/officeDocument/2006/relationships/image" Target="media/image5.png"/><Relationship Id="rId39" Type="http://schemas.openxmlformats.org/officeDocument/2006/relationships/header" Target="header1.xml"/><Relationship Id="rId21" Type="http://schemas.openxmlformats.org/officeDocument/2006/relationships/hyperlink" Target="https://www.guidetopharmacology.org/GRAC/LigandActivityRangeVisForward?ligandId=2338" TargetMode="External"/><Relationship Id="rId34" Type="http://schemas.openxmlformats.org/officeDocument/2006/relationships/image" Target="media/image13.png"/><Relationship Id="rId42" Type="http://schemas.openxmlformats.org/officeDocument/2006/relationships/theme" Target="theme/theme1.xml"/><Relationship Id="rId7" Type="http://schemas.openxmlformats.org/officeDocument/2006/relationships/hyperlink" Target="https://pubchem.ncbi.nlm.nih.gov/compound/Nocodazol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ubchem.ncbi.nlm.nih.gov/compound/oxfendazole" TargetMode="External"/><Relationship Id="rId20" Type="http://schemas.openxmlformats.org/officeDocument/2006/relationships/hyperlink" Target="https://www.guidetopharmacology.org/GRAC/LigandActivityRangeVisForward?ligandId=4743" TargetMode="External"/><Relationship Id="rId29" Type="http://schemas.openxmlformats.org/officeDocument/2006/relationships/image" Target="media/image8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ubchem.ncbi.nlm.nih.gov/compound/tamoxifen" TargetMode="External"/><Relationship Id="rId11" Type="http://schemas.openxmlformats.org/officeDocument/2006/relationships/hyperlink" Target="https://pubchem.ncbi.nlm.nih.gov/compound/econazole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pubchem.ncbi.nlm.nih.gov/compound/gentian%20violet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10" Type="http://schemas.openxmlformats.org/officeDocument/2006/relationships/hyperlink" Target="https://pubchem.ncbi.nlm.nih.gov/compound/genestein" TargetMode="External"/><Relationship Id="rId19" Type="http://schemas.openxmlformats.org/officeDocument/2006/relationships/hyperlink" Target="https://pubchem.ncbi.nlm.nih.gov/compound/clotrimazole" TargetMode="External"/><Relationship Id="rId31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hyperlink" Target="https://pubchem.ncbi.nlm.nih.gov/compound/miconazole" TargetMode="External"/><Relationship Id="rId14" Type="http://schemas.openxmlformats.org/officeDocument/2006/relationships/hyperlink" Target="https://pubchem.ncbi.nlm.nih.gov/compound/hexachlorophene" TargetMode="External"/><Relationship Id="rId22" Type="http://schemas.openxmlformats.org/officeDocument/2006/relationships/image" Target="media/image1.png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8" Type="http://schemas.openxmlformats.org/officeDocument/2006/relationships/hyperlink" Target="https://pubchem.ncbi.nlm.nih.gov/compound/nisoldipin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ubchem.ncbi.nlm.nih.gov/compound/raloxifene" TargetMode="External"/><Relationship Id="rId17" Type="http://schemas.openxmlformats.org/officeDocument/2006/relationships/hyperlink" Target="https://www.guidetopharmacology.org/GRAC/LigandActivityRangeVisForward?ligandId=5003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2.png"/><Relationship Id="rId38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1077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Jacobson, Kenneth (NIH/NIDDK) [E]</dc:creator>
  <cp:keywords/>
  <dc:description/>
  <cp:lastModifiedBy>Jacobson, Kenneth (NIH/NIDDK) [E]</cp:lastModifiedBy>
  <cp:revision>45</cp:revision>
  <dcterms:created xsi:type="dcterms:W3CDTF">2022-12-16T17:10:00Z</dcterms:created>
  <dcterms:modified xsi:type="dcterms:W3CDTF">2022-12-16T17:52:00Z</dcterms:modified>
</cp:coreProperties>
</file>