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6E4AC" w14:textId="77777777" w:rsidR="00AF677D" w:rsidRPr="00924EFB" w:rsidRDefault="00AF677D" w:rsidP="00AF677D">
      <w:pPr>
        <w:spacing w:after="0" w:line="240" w:lineRule="auto"/>
        <w:ind w:right="360"/>
        <w:rPr>
          <w:rFonts w:ascii="Arial" w:hAnsi="Arial" w:cs="Arial"/>
          <w:b/>
          <w:bCs/>
          <w:color w:val="000000" w:themeColor="text1"/>
        </w:rPr>
      </w:pPr>
    </w:p>
    <w:p w14:paraId="757F8CE6" w14:textId="4388D466" w:rsidR="00AF677D" w:rsidRPr="00924EFB" w:rsidRDefault="003C13E6" w:rsidP="00AF677D">
      <w:pPr>
        <w:spacing w:line="480" w:lineRule="auto"/>
        <w:ind w:right="360"/>
        <w:rPr>
          <w:rFonts w:ascii="Arial" w:hAnsi="Arial" w:cs="Arial"/>
          <w:b/>
          <w:bCs/>
          <w:color w:val="000000" w:themeColor="text1"/>
        </w:rPr>
      </w:pPr>
      <w:r>
        <w:rPr>
          <w:rFonts w:ascii="Arial" w:hAnsi="Arial" w:cs="Arial"/>
          <w:b/>
          <w:bCs/>
          <w:color w:val="000000" w:themeColor="text1"/>
        </w:rPr>
        <w:t>ADDITIONAL</w:t>
      </w:r>
      <w:r w:rsidR="00AF677D" w:rsidRPr="00924EFB">
        <w:rPr>
          <w:rFonts w:ascii="Arial" w:hAnsi="Arial" w:cs="Arial"/>
          <w:b/>
          <w:bCs/>
          <w:color w:val="000000" w:themeColor="text1"/>
        </w:rPr>
        <w:t xml:space="preserve"> MATERIALS</w:t>
      </w:r>
    </w:p>
    <w:p w14:paraId="1F94E1F2" w14:textId="5D04B48F" w:rsidR="00AF677D" w:rsidRPr="00924EFB" w:rsidRDefault="003C13E6" w:rsidP="00AF677D">
      <w:pPr>
        <w:spacing w:line="240" w:lineRule="auto"/>
        <w:ind w:right="360"/>
        <w:jc w:val="both"/>
        <w:rPr>
          <w:rFonts w:ascii="Arial" w:hAnsi="Arial" w:cs="Arial"/>
          <w:b/>
          <w:bCs/>
          <w:color w:val="000000" w:themeColor="text1"/>
        </w:rPr>
      </w:pPr>
      <w:r>
        <w:rPr>
          <w:rFonts w:ascii="Arial" w:hAnsi="Arial" w:cs="Arial"/>
          <w:b/>
          <w:bCs/>
          <w:color w:val="000000" w:themeColor="text1"/>
        </w:rPr>
        <w:t>Additional</w:t>
      </w:r>
      <w:r w:rsidR="00AF677D" w:rsidRPr="00924EFB">
        <w:rPr>
          <w:rFonts w:ascii="Arial" w:hAnsi="Arial" w:cs="Arial"/>
          <w:b/>
          <w:bCs/>
          <w:color w:val="000000" w:themeColor="text1"/>
        </w:rPr>
        <w:t xml:space="preserve"> Table </w:t>
      </w:r>
      <w:r w:rsidR="00AF677D">
        <w:rPr>
          <w:rFonts w:ascii="Arial" w:hAnsi="Arial" w:cs="Arial"/>
          <w:b/>
          <w:bCs/>
          <w:color w:val="000000" w:themeColor="text1"/>
        </w:rPr>
        <w:t>1</w:t>
      </w:r>
      <w:r w:rsidR="00AF677D" w:rsidRPr="00924EFB">
        <w:rPr>
          <w:rFonts w:ascii="Arial" w:hAnsi="Arial" w:cs="Arial"/>
          <w:b/>
          <w:bCs/>
          <w:color w:val="000000" w:themeColor="text1"/>
        </w:rPr>
        <w:t>. Correlative Biomarkers*</w:t>
      </w:r>
    </w:p>
    <w:tbl>
      <w:tblPr>
        <w:tblStyle w:val="TableGrid"/>
        <w:tblW w:w="9350" w:type="dxa"/>
        <w:tblLayout w:type="fixed"/>
        <w:tblLook w:val="04A0" w:firstRow="1" w:lastRow="0" w:firstColumn="1" w:lastColumn="0" w:noHBand="0" w:noVBand="1"/>
      </w:tblPr>
      <w:tblGrid>
        <w:gridCol w:w="4676"/>
        <w:gridCol w:w="4674"/>
      </w:tblGrid>
      <w:tr w:rsidR="00AF677D" w:rsidRPr="00924EFB" w14:paraId="2260676E" w14:textId="77777777" w:rsidTr="00E62F44">
        <w:tc>
          <w:tcPr>
            <w:tcW w:w="4675" w:type="dxa"/>
            <w:tcBorders>
              <w:left w:val="nil"/>
              <w:right w:val="nil"/>
            </w:tcBorders>
          </w:tcPr>
          <w:p w14:paraId="2DACBF55" w14:textId="77777777" w:rsidR="00AF677D" w:rsidRPr="00924EFB" w:rsidRDefault="00AF677D" w:rsidP="00E62F44">
            <w:pPr>
              <w:ind w:right="360"/>
              <w:jc w:val="center"/>
              <w:rPr>
                <w:rFonts w:ascii="Arial" w:hAnsi="Arial" w:cs="Arial"/>
                <w:b/>
                <w:bCs/>
                <w:color w:val="000000" w:themeColor="text1"/>
              </w:rPr>
            </w:pPr>
            <w:r w:rsidRPr="00924EFB">
              <w:rPr>
                <w:rFonts w:ascii="Arial" w:eastAsia="Calibri" w:hAnsi="Arial" w:cs="Arial"/>
                <w:b/>
                <w:bCs/>
                <w:color w:val="000000" w:themeColor="text1"/>
              </w:rPr>
              <w:t>Correlative Biomarkers</w:t>
            </w:r>
          </w:p>
        </w:tc>
        <w:tc>
          <w:tcPr>
            <w:tcW w:w="4674" w:type="dxa"/>
            <w:tcBorders>
              <w:left w:val="nil"/>
              <w:right w:val="nil"/>
            </w:tcBorders>
          </w:tcPr>
          <w:p w14:paraId="5734DF1E" w14:textId="77777777" w:rsidR="00AF677D" w:rsidRPr="00924EFB" w:rsidRDefault="00AF677D" w:rsidP="00E62F44">
            <w:pPr>
              <w:ind w:right="360"/>
              <w:jc w:val="center"/>
              <w:rPr>
                <w:rFonts w:ascii="Arial" w:hAnsi="Arial" w:cs="Arial"/>
                <w:b/>
                <w:bCs/>
                <w:color w:val="000000" w:themeColor="text1"/>
              </w:rPr>
            </w:pPr>
            <w:r w:rsidRPr="00924EFB">
              <w:rPr>
                <w:rFonts w:ascii="Arial" w:eastAsia="Calibri" w:hAnsi="Arial" w:cs="Arial"/>
                <w:b/>
                <w:bCs/>
                <w:color w:val="000000" w:themeColor="text1"/>
              </w:rPr>
              <w:t>No. of Studies</w:t>
            </w:r>
          </w:p>
        </w:tc>
      </w:tr>
      <w:tr w:rsidR="00AF677D" w:rsidRPr="00924EFB" w14:paraId="45028DEC" w14:textId="77777777" w:rsidTr="00E62F44">
        <w:trPr>
          <w:trHeight w:val="300"/>
        </w:trPr>
        <w:tc>
          <w:tcPr>
            <w:tcW w:w="4675" w:type="dxa"/>
            <w:tcBorders>
              <w:left w:val="nil"/>
              <w:bottom w:val="nil"/>
              <w:right w:val="nil"/>
            </w:tcBorders>
          </w:tcPr>
          <w:p w14:paraId="676C9F28"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 xml:space="preserve">PD-L1 </w:t>
            </w:r>
            <w:r w:rsidRPr="00924EFB">
              <w:rPr>
                <w:rFonts w:ascii="Arial" w:hAnsi="Arial" w:cs="Arial"/>
                <w:color w:val="000000" w:themeColor="text1"/>
              </w:rPr>
              <w:t>expression</w:t>
            </w:r>
          </w:p>
        </w:tc>
        <w:tc>
          <w:tcPr>
            <w:tcW w:w="4674" w:type="dxa"/>
            <w:tcBorders>
              <w:left w:val="nil"/>
              <w:bottom w:val="nil"/>
              <w:right w:val="nil"/>
            </w:tcBorders>
          </w:tcPr>
          <w:p w14:paraId="4D22A436"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111</w:t>
            </w:r>
          </w:p>
        </w:tc>
      </w:tr>
      <w:tr w:rsidR="00AF677D" w:rsidRPr="00924EFB" w14:paraId="179BA5CD" w14:textId="77777777" w:rsidTr="00E62F44">
        <w:trPr>
          <w:trHeight w:val="300"/>
        </w:trPr>
        <w:tc>
          <w:tcPr>
            <w:tcW w:w="4675" w:type="dxa"/>
            <w:tcBorders>
              <w:top w:val="nil"/>
              <w:left w:val="nil"/>
              <w:bottom w:val="nil"/>
              <w:right w:val="nil"/>
            </w:tcBorders>
          </w:tcPr>
          <w:p w14:paraId="0E0B7C91"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Tumor mutational burden</w:t>
            </w:r>
          </w:p>
        </w:tc>
        <w:tc>
          <w:tcPr>
            <w:tcW w:w="4674" w:type="dxa"/>
            <w:tcBorders>
              <w:top w:val="nil"/>
              <w:left w:val="nil"/>
              <w:bottom w:val="nil"/>
              <w:right w:val="nil"/>
            </w:tcBorders>
          </w:tcPr>
          <w:p w14:paraId="69B67461"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20</w:t>
            </w:r>
          </w:p>
        </w:tc>
      </w:tr>
      <w:tr w:rsidR="00AF677D" w:rsidRPr="00924EFB" w14:paraId="5B72F220" w14:textId="77777777" w:rsidTr="00E62F44">
        <w:trPr>
          <w:trHeight w:val="300"/>
        </w:trPr>
        <w:tc>
          <w:tcPr>
            <w:tcW w:w="4675" w:type="dxa"/>
            <w:tcBorders>
              <w:top w:val="nil"/>
              <w:left w:val="nil"/>
              <w:bottom w:val="nil"/>
              <w:right w:val="nil"/>
            </w:tcBorders>
          </w:tcPr>
          <w:p w14:paraId="493466EA"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Mutations (sequencing)</w:t>
            </w:r>
          </w:p>
        </w:tc>
        <w:tc>
          <w:tcPr>
            <w:tcW w:w="4674" w:type="dxa"/>
            <w:tcBorders>
              <w:top w:val="nil"/>
              <w:left w:val="nil"/>
              <w:bottom w:val="nil"/>
              <w:right w:val="nil"/>
            </w:tcBorders>
          </w:tcPr>
          <w:p w14:paraId="7A5CF6BF"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17</w:t>
            </w:r>
          </w:p>
        </w:tc>
      </w:tr>
      <w:tr w:rsidR="00AF677D" w:rsidRPr="00924EFB" w14:paraId="70F00C4E" w14:textId="77777777" w:rsidTr="00E62F44">
        <w:trPr>
          <w:trHeight w:val="300"/>
        </w:trPr>
        <w:tc>
          <w:tcPr>
            <w:tcW w:w="4675" w:type="dxa"/>
            <w:tcBorders>
              <w:top w:val="nil"/>
              <w:left w:val="nil"/>
              <w:bottom w:val="nil"/>
              <w:right w:val="nil"/>
            </w:tcBorders>
          </w:tcPr>
          <w:p w14:paraId="63BF8F76"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TILs</w:t>
            </w:r>
          </w:p>
        </w:tc>
        <w:tc>
          <w:tcPr>
            <w:tcW w:w="4674" w:type="dxa"/>
            <w:tcBorders>
              <w:top w:val="nil"/>
              <w:left w:val="nil"/>
              <w:bottom w:val="nil"/>
              <w:right w:val="nil"/>
            </w:tcBorders>
          </w:tcPr>
          <w:p w14:paraId="46EF99E7"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15</w:t>
            </w:r>
          </w:p>
        </w:tc>
      </w:tr>
      <w:tr w:rsidR="00AF677D" w:rsidRPr="00924EFB" w14:paraId="1CF12A2D" w14:textId="77777777" w:rsidTr="00E62F44">
        <w:trPr>
          <w:trHeight w:val="300"/>
        </w:trPr>
        <w:tc>
          <w:tcPr>
            <w:tcW w:w="4675" w:type="dxa"/>
            <w:tcBorders>
              <w:top w:val="nil"/>
              <w:left w:val="nil"/>
              <w:bottom w:val="nil"/>
              <w:right w:val="nil"/>
            </w:tcBorders>
          </w:tcPr>
          <w:p w14:paraId="441500ED"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MSI/MMRd</w:t>
            </w:r>
          </w:p>
        </w:tc>
        <w:tc>
          <w:tcPr>
            <w:tcW w:w="4674" w:type="dxa"/>
            <w:tcBorders>
              <w:top w:val="nil"/>
              <w:left w:val="nil"/>
              <w:bottom w:val="nil"/>
              <w:right w:val="nil"/>
            </w:tcBorders>
          </w:tcPr>
          <w:p w14:paraId="74D14FD9"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10</w:t>
            </w:r>
          </w:p>
        </w:tc>
      </w:tr>
      <w:tr w:rsidR="00AF677D" w:rsidRPr="00924EFB" w14:paraId="707C3A31" w14:textId="77777777" w:rsidTr="00E62F44">
        <w:trPr>
          <w:trHeight w:val="300"/>
        </w:trPr>
        <w:tc>
          <w:tcPr>
            <w:tcW w:w="4675" w:type="dxa"/>
            <w:tcBorders>
              <w:top w:val="nil"/>
              <w:left w:val="nil"/>
              <w:bottom w:val="nil"/>
              <w:right w:val="nil"/>
            </w:tcBorders>
          </w:tcPr>
          <w:p w14:paraId="6AEBBB04"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Signatures (gene expression/RNA-based)</w:t>
            </w:r>
          </w:p>
        </w:tc>
        <w:tc>
          <w:tcPr>
            <w:tcW w:w="4674" w:type="dxa"/>
            <w:tcBorders>
              <w:top w:val="nil"/>
              <w:left w:val="nil"/>
              <w:bottom w:val="nil"/>
              <w:right w:val="nil"/>
            </w:tcBorders>
          </w:tcPr>
          <w:p w14:paraId="70726AE8"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10</w:t>
            </w:r>
          </w:p>
        </w:tc>
      </w:tr>
      <w:tr w:rsidR="00AF677D" w:rsidRPr="00924EFB" w14:paraId="59456487" w14:textId="77777777" w:rsidTr="00E62F44">
        <w:trPr>
          <w:trHeight w:val="300"/>
        </w:trPr>
        <w:tc>
          <w:tcPr>
            <w:tcW w:w="4675" w:type="dxa"/>
            <w:tcBorders>
              <w:top w:val="nil"/>
              <w:left w:val="nil"/>
              <w:bottom w:val="nil"/>
              <w:right w:val="nil"/>
            </w:tcBorders>
          </w:tcPr>
          <w:p w14:paraId="68D16A00"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 xml:space="preserve">CD8 </w:t>
            </w:r>
          </w:p>
        </w:tc>
        <w:tc>
          <w:tcPr>
            <w:tcW w:w="4674" w:type="dxa"/>
            <w:tcBorders>
              <w:top w:val="nil"/>
              <w:left w:val="nil"/>
              <w:bottom w:val="nil"/>
              <w:right w:val="nil"/>
            </w:tcBorders>
          </w:tcPr>
          <w:p w14:paraId="44DC7A1C"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8</w:t>
            </w:r>
          </w:p>
        </w:tc>
      </w:tr>
      <w:tr w:rsidR="00AF677D" w:rsidRPr="00924EFB" w14:paraId="0562AB4E" w14:textId="77777777" w:rsidTr="00E62F44">
        <w:trPr>
          <w:trHeight w:val="300"/>
        </w:trPr>
        <w:tc>
          <w:tcPr>
            <w:tcW w:w="4675" w:type="dxa"/>
            <w:tcBorders>
              <w:top w:val="nil"/>
              <w:left w:val="nil"/>
              <w:bottom w:val="nil"/>
              <w:right w:val="nil"/>
            </w:tcBorders>
          </w:tcPr>
          <w:p w14:paraId="562E7F82"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HPV</w:t>
            </w:r>
          </w:p>
        </w:tc>
        <w:tc>
          <w:tcPr>
            <w:tcW w:w="4674" w:type="dxa"/>
            <w:tcBorders>
              <w:top w:val="nil"/>
              <w:left w:val="nil"/>
              <w:bottom w:val="nil"/>
              <w:right w:val="nil"/>
            </w:tcBorders>
          </w:tcPr>
          <w:p w14:paraId="50DE90B7"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7</w:t>
            </w:r>
          </w:p>
        </w:tc>
      </w:tr>
      <w:tr w:rsidR="00AF677D" w:rsidRPr="00924EFB" w14:paraId="4F97F3FA" w14:textId="77777777" w:rsidTr="00E62F44">
        <w:trPr>
          <w:trHeight w:val="300"/>
        </w:trPr>
        <w:tc>
          <w:tcPr>
            <w:tcW w:w="4675" w:type="dxa"/>
            <w:tcBorders>
              <w:top w:val="nil"/>
              <w:left w:val="nil"/>
              <w:bottom w:val="nil"/>
              <w:right w:val="nil"/>
            </w:tcBorders>
          </w:tcPr>
          <w:p w14:paraId="35527540"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PD-L1 mRNA</w:t>
            </w:r>
          </w:p>
        </w:tc>
        <w:tc>
          <w:tcPr>
            <w:tcW w:w="4674" w:type="dxa"/>
            <w:tcBorders>
              <w:top w:val="nil"/>
              <w:left w:val="nil"/>
              <w:bottom w:val="nil"/>
              <w:right w:val="nil"/>
            </w:tcBorders>
          </w:tcPr>
          <w:p w14:paraId="3768EEA5"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3</w:t>
            </w:r>
          </w:p>
        </w:tc>
      </w:tr>
      <w:tr w:rsidR="00AF677D" w:rsidRPr="00924EFB" w14:paraId="5BE28180" w14:textId="77777777" w:rsidTr="00E62F44">
        <w:trPr>
          <w:trHeight w:val="300"/>
        </w:trPr>
        <w:tc>
          <w:tcPr>
            <w:tcW w:w="4675" w:type="dxa"/>
            <w:tcBorders>
              <w:top w:val="nil"/>
              <w:left w:val="nil"/>
              <w:bottom w:val="nil"/>
              <w:right w:val="nil"/>
            </w:tcBorders>
          </w:tcPr>
          <w:p w14:paraId="137794F7"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Blood immune cell phenotypes</w:t>
            </w:r>
          </w:p>
        </w:tc>
        <w:tc>
          <w:tcPr>
            <w:tcW w:w="4674" w:type="dxa"/>
            <w:tcBorders>
              <w:top w:val="nil"/>
              <w:left w:val="nil"/>
              <w:bottom w:val="nil"/>
              <w:right w:val="nil"/>
            </w:tcBorders>
          </w:tcPr>
          <w:p w14:paraId="6D9A84B8"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2</w:t>
            </w:r>
          </w:p>
        </w:tc>
      </w:tr>
      <w:tr w:rsidR="00AF677D" w:rsidRPr="00924EFB" w14:paraId="743679B8" w14:textId="77777777" w:rsidTr="00E62F44">
        <w:trPr>
          <w:trHeight w:val="300"/>
        </w:trPr>
        <w:tc>
          <w:tcPr>
            <w:tcW w:w="4675" w:type="dxa"/>
            <w:tcBorders>
              <w:top w:val="nil"/>
              <w:left w:val="nil"/>
              <w:bottom w:val="nil"/>
              <w:right w:val="nil"/>
            </w:tcBorders>
          </w:tcPr>
          <w:p w14:paraId="1B8EF2AE"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Cytokine analysis</w:t>
            </w:r>
          </w:p>
        </w:tc>
        <w:tc>
          <w:tcPr>
            <w:tcW w:w="4674" w:type="dxa"/>
            <w:tcBorders>
              <w:top w:val="nil"/>
              <w:left w:val="nil"/>
              <w:bottom w:val="nil"/>
              <w:right w:val="nil"/>
            </w:tcBorders>
          </w:tcPr>
          <w:p w14:paraId="5600B542"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2</w:t>
            </w:r>
          </w:p>
        </w:tc>
      </w:tr>
      <w:tr w:rsidR="00AF677D" w:rsidRPr="00924EFB" w14:paraId="20546FA3" w14:textId="77777777" w:rsidTr="00E62F44">
        <w:trPr>
          <w:trHeight w:val="300"/>
        </w:trPr>
        <w:tc>
          <w:tcPr>
            <w:tcW w:w="4675" w:type="dxa"/>
            <w:tcBorders>
              <w:top w:val="nil"/>
              <w:left w:val="nil"/>
              <w:bottom w:val="nil"/>
              <w:right w:val="nil"/>
            </w:tcBorders>
          </w:tcPr>
          <w:p w14:paraId="68E87264"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miRNA expression</w:t>
            </w:r>
          </w:p>
        </w:tc>
        <w:tc>
          <w:tcPr>
            <w:tcW w:w="4674" w:type="dxa"/>
            <w:tcBorders>
              <w:top w:val="nil"/>
              <w:left w:val="nil"/>
              <w:bottom w:val="nil"/>
              <w:right w:val="nil"/>
            </w:tcBorders>
          </w:tcPr>
          <w:p w14:paraId="38794B8F"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2</w:t>
            </w:r>
          </w:p>
        </w:tc>
      </w:tr>
      <w:tr w:rsidR="00AF677D" w:rsidRPr="00924EFB" w14:paraId="1682DEE5" w14:textId="77777777" w:rsidTr="00E62F44">
        <w:trPr>
          <w:trHeight w:val="300"/>
        </w:trPr>
        <w:tc>
          <w:tcPr>
            <w:tcW w:w="4675" w:type="dxa"/>
            <w:tcBorders>
              <w:top w:val="nil"/>
              <w:left w:val="nil"/>
              <w:bottom w:val="nil"/>
              <w:right w:val="nil"/>
            </w:tcBorders>
          </w:tcPr>
          <w:p w14:paraId="624B8D04"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Positive immune score</w:t>
            </w:r>
          </w:p>
        </w:tc>
        <w:tc>
          <w:tcPr>
            <w:tcW w:w="4674" w:type="dxa"/>
            <w:tcBorders>
              <w:top w:val="nil"/>
              <w:left w:val="nil"/>
              <w:bottom w:val="nil"/>
              <w:right w:val="nil"/>
            </w:tcBorders>
          </w:tcPr>
          <w:p w14:paraId="076DB344"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707E623E" w14:textId="77777777" w:rsidTr="00E62F44">
        <w:trPr>
          <w:trHeight w:val="300"/>
        </w:trPr>
        <w:tc>
          <w:tcPr>
            <w:tcW w:w="4675" w:type="dxa"/>
            <w:tcBorders>
              <w:top w:val="nil"/>
              <w:left w:val="nil"/>
              <w:bottom w:val="nil"/>
              <w:right w:val="nil"/>
            </w:tcBorders>
          </w:tcPr>
          <w:p w14:paraId="35ADAA98"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mRNA immune profiling</w:t>
            </w:r>
          </w:p>
        </w:tc>
        <w:tc>
          <w:tcPr>
            <w:tcW w:w="4674" w:type="dxa"/>
            <w:tcBorders>
              <w:top w:val="nil"/>
              <w:left w:val="nil"/>
              <w:bottom w:val="nil"/>
              <w:right w:val="nil"/>
            </w:tcBorders>
          </w:tcPr>
          <w:p w14:paraId="627653EC"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3B4F2647" w14:textId="77777777" w:rsidTr="00E62F44">
        <w:trPr>
          <w:trHeight w:val="300"/>
        </w:trPr>
        <w:tc>
          <w:tcPr>
            <w:tcW w:w="4675" w:type="dxa"/>
            <w:tcBorders>
              <w:top w:val="nil"/>
              <w:left w:val="nil"/>
              <w:bottom w:val="nil"/>
              <w:right w:val="nil"/>
            </w:tcBorders>
          </w:tcPr>
          <w:p w14:paraId="3B8BD8BD"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ctDNA</w:t>
            </w:r>
          </w:p>
        </w:tc>
        <w:tc>
          <w:tcPr>
            <w:tcW w:w="4674" w:type="dxa"/>
            <w:tcBorders>
              <w:top w:val="nil"/>
              <w:left w:val="nil"/>
              <w:bottom w:val="nil"/>
              <w:right w:val="nil"/>
            </w:tcBorders>
          </w:tcPr>
          <w:p w14:paraId="7F069A01"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0D872753" w14:textId="77777777" w:rsidTr="00E62F44">
        <w:trPr>
          <w:trHeight w:val="300"/>
        </w:trPr>
        <w:tc>
          <w:tcPr>
            <w:tcW w:w="4675" w:type="dxa"/>
            <w:tcBorders>
              <w:top w:val="nil"/>
              <w:left w:val="nil"/>
              <w:bottom w:val="nil"/>
              <w:right w:val="nil"/>
            </w:tcBorders>
          </w:tcPr>
          <w:p w14:paraId="667C4CD4"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CTCs</w:t>
            </w:r>
          </w:p>
        </w:tc>
        <w:tc>
          <w:tcPr>
            <w:tcW w:w="4674" w:type="dxa"/>
            <w:tcBorders>
              <w:top w:val="nil"/>
              <w:left w:val="nil"/>
              <w:bottom w:val="nil"/>
              <w:right w:val="nil"/>
            </w:tcBorders>
          </w:tcPr>
          <w:p w14:paraId="499C5574"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1679207D" w14:textId="77777777" w:rsidTr="00E62F44">
        <w:trPr>
          <w:trHeight w:val="300"/>
        </w:trPr>
        <w:tc>
          <w:tcPr>
            <w:tcW w:w="4675" w:type="dxa"/>
            <w:tcBorders>
              <w:top w:val="nil"/>
              <w:left w:val="nil"/>
              <w:bottom w:val="nil"/>
              <w:right w:val="nil"/>
            </w:tcBorders>
          </w:tcPr>
          <w:p w14:paraId="14FC4903"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PD-L2 expression</w:t>
            </w:r>
          </w:p>
        </w:tc>
        <w:tc>
          <w:tcPr>
            <w:tcW w:w="4674" w:type="dxa"/>
            <w:tcBorders>
              <w:top w:val="nil"/>
              <w:left w:val="nil"/>
              <w:bottom w:val="nil"/>
              <w:right w:val="nil"/>
            </w:tcBorders>
          </w:tcPr>
          <w:p w14:paraId="2D89B1DC"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31276213" w14:textId="77777777" w:rsidTr="00E62F44">
        <w:trPr>
          <w:trHeight w:val="300"/>
        </w:trPr>
        <w:tc>
          <w:tcPr>
            <w:tcW w:w="4675" w:type="dxa"/>
            <w:tcBorders>
              <w:top w:val="nil"/>
              <w:left w:val="nil"/>
              <w:bottom w:val="nil"/>
              <w:right w:val="nil"/>
            </w:tcBorders>
          </w:tcPr>
          <w:p w14:paraId="3FE00D8A"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PD-L2 (ELISA)</w:t>
            </w:r>
          </w:p>
        </w:tc>
        <w:tc>
          <w:tcPr>
            <w:tcW w:w="4674" w:type="dxa"/>
            <w:tcBorders>
              <w:top w:val="nil"/>
              <w:left w:val="nil"/>
              <w:bottom w:val="nil"/>
              <w:right w:val="nil"/>
            </w:tcBorders>
          </w:tcPr>
          <w:p w14:paraId="11742E78"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34D1BCD8" w14:textId="77777777" w:rsidTr="00E62F44">
        <w:trPr>
          <w:trHeight w:val="300"/>
        </w:trPr>
        <w:tc>
          <w:tcPr>
            <w:tcW w:w="4675" w:type="dxa"/>
            <w:tcBorders>
              <w:top w:val="nil"/>
              <w:left w:val="nil"/>
              <w:bottom w:val="nil"/>
              <w:right w:val="nil"/>
            </w:tcBorders>
          </w:tcPr>
          <w:p w14:paraId="4EEA3A62"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NK cell activity</w:t>
            </w:r>
          </w:p>
        </w:tc>
        <w:tc>
          <w:tcPr>
            <w:tcW w:w="4674" w:type="dxa"/>
            <w:tcBorders>
              <w:top w:val="nil"/>
              <w:left w:val="nil"/>
              <w:bottom w:val="nil"/>
              <w:right w:val="nil"/>
            </w:tcBorders>
          </w:tcPr>
          <w:p w14:paraId="0ACEA662"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19E680FA" w14:textId="77777777" w:rsidTr="00E62F44">
        <w:trPr>
          <w:trHeight w:val="300"/>
        </w:trPr>
        <w:tc>
          <w:tcPr>
            <w:tcW w:w="4675" w:type="dxa"/>
            <w:tcBorders>
              <w:top w:val="nil"/>
              <w:left w:val="nil"/>
              <w:bottom w:val="nil"/>
              <w:right w:val="nil"/>
            </w:tcBorders>
          </w:tcPr>
          <w:p w14:paraId="6D4669A2"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Baseline neutrophil-to-lymphocyte ratio</w:t>
            </w:r>
          </w:p>
        </w:tc>
        <w:tc>
          <w:tcPr>
            <w:tcW w:w="4674" w:type="dxa"/>
            <w:tcBorders>
              <w:top w:val="nil"/>
              <w:left w:val="nil"/>
              <w:bottom w:val="nil"/>
              <w:right w:val="nil"/>
            </w:tcBorders>
          </w:tcPr>
          <w:p w14:paraId="414F4A69"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25E40BDB" w14:textId="77777777" w:rsidTr="00E62F44">
        <w:trPr>
          <w:trHeight w:val="300"/>
        </w:trPr>
        <w:tc>
          <w:tcPr>
            <w:tcW w:w="4675" w:type="dxa"/>
            <w:tcBorders>
              <w:top w:val="nil"/>
              <w:left w:val="nil"/>
              <w:bottom w:val="nil"/>
              <w:right w:val="nil"/>
            </w:tcBorders>
          </w:tcPr>
          <w:p w14:paraId="3AEEC0B3"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CCR4 expression</w:t>
            </w:r>
          </w:p>
        </w:tc>
        <w:tc>
          <w:tcPr>
            <w:tcW w:w="4674" w:type="dxa"/>
            <w:tcBorders>
              <w:top w:val="nil"/>
              <w:left w:val="nil"/>
              <w:bottom w:val="nil"/>
              <w:right w:val="nil"/>
            </w:tcBorders>
          </w:tcPr>
          <w:p w14:paraId="7463709C"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4C779264" w14:textId="77777777" w:rsidTr="00E62F44">
        <w:trPr>
          <w:trHeight w:val="300"/>
        </w:trPr>
        <w:tc>
          <w:tcPr>
            <w:tcW w:w="4675" w:type="dxa"/>
            <w:tcBorders>
              <w:top w:val="nil"/>
              <w:left w:val="nil"/>
              <w:bottom w:val="nil"/>
              <w:right w:val="nil"/>
            </w:tcBorders>
          </w:tcPr>
          <w:p w14:paraId="38A79BB6"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Clonal T-cell expansion</w:t>
            </w:r>
          </w:p>
        </w:tc>
        <w:tc>
          <w:tcPr>
            <w:tcW w:w="4674" w:type="dxa"/>
            <w:tcBorders>
              <w:top w:val="nil"/>
              <w:left w:val="nil"/>
              <w:bottom w:val="nil"/>
              <w:right w:val="nil"/>
            </w:tcBorders>
          </w:tcPr>
          <w:p w14:paraId="110D7614"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3AC063C6" w14:textId="77777777" w:rsidTr="00E62F44">
        <w:trPr>
          <w:trHeight w:val="300"/>
        </w:trPr>
        <w:tc>
          <w:tcPr>
            <w:tcW w:w="4675" w:type="dxa"/>
            <w:tcBorders>
              <w:top w:val="nil"/>
              <w:left w:val="nil"/>
              <w:bottom w:val="nil"/>
              <w:right w:val="nil"/>
            </w:tcBorders>
          </w:tcPr>
          <w:p w14:paraId="2237D7DA"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DNA copy alterations</w:t>
            </w:r>
          </w:p>
        </w:tc>
        <w:tc>
          <w:tcPr>
            <w:tcW w:w="4674" w:type="dxa"/>
            <w:tcBorders>
              <w:top w:val="nil"/>
              <w:left w:val="nil"/>
              <w:bottom w:val="nil"/>
              <w:right w:val="nil"/>
            </w:tcBorders>
          </w:tcPr>
          <w:p w14:paraId="536091A6"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77990E33" w14:textId="77777777" w:rsidTr="00E62F44">
        <w:trPr>
          <w:trHeight w:val="300"/>
        </w:trPr>
        <w:tc>
          <w:tcPr>
            <w:tcW w:w="4675" w:type="dxa"/>
            <w:tcBorders>
              <w:top w:val="nil"/>
              <w:left w:val="nil"/>
              <w:bottom w:val="nil"/>
              <w:right w:val="nil"/>
            </w:tcBorders>
          </w:tcPr>
          <w:p w14:paraId="01C06DF0"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Epigenomic promoter alterations</w:t>
            </w:r>
          </w:p>
        </w:tc>
        <w:tc>
          <w:tcPr>
            <w:tcW w:w="4674" w:type="dxa"/>
            <w:tcBorders>
              <w:top w:val="nil"/>
              <w:left w:val="nil"/>
              <w:bottom w:val="nil"/>
              <w:right w:val="nil"/>
            </w:tcBorders>
          </w:tcPr>
          <w:p w14:paraId="4E463CD8"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6A724036" w14:textId="77777777" w:rsidTr="00E62F44">
        <w:trPr>
          <w:trHeight w:val="300"/>
        </w:trPr>
        <w:tc>
          <w:tcPr>
            <w:tcW w:w="4675" w:type="dxa"/>
            <w:tcBorders>
              <w:top w:val="nil"/>
              <w:left w:val="nil"/>
              <w:bottom w:val="nil"/>
              <w:right w:val="nil"/>
            </w:tcBorders>
          </w:tcPr>
          <w:p w14:paraId="45C2A24E"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 xml:space="preserve">EBV positivity </w:t>
            </w:r>
          </w:p>
        </w:tc>
        <w:tc>
          <w:tcPr>
            <w:tcW w:w="4674" w:type="dxa"/>
            <w:tcBorders>
              <w:top w:val="nil"/>
              <w:left w:val="nil"/>
              <w:bottom w:val="nil"/>
              <w:right w:val="nil"/>
            </w:tcBorders>
          </w:tcPr>
          <w:p w14:paraId="56D953D7"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2E45CBFF" w14:textId="77777777" w:rsidTr="00E62F44">
        <w:trPr>
          <w:trHeight w:val="300"/>
        </w:trPr>
        <w:tc>
          <w:tcPr>
            <w:tcW w:w="4675" w:type="dxa"/>
            <w:tcBorders>
              <w:top w:val="nil"/>
              <w:left w:val="nil"/>
              <w:bottom w:val="nil"/>
              <w:right w:val="nil"/>
            </w:tcBorders>
          </w:tcPr>
          <w:p w14:paraId="3C16410B"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HLA zygosity</w:t>
            </w:r>
          </w:p>
        </w:tc>
        <w:tc>
          <w:tcPr>
            <w:tcW w:w="4674" w:type="dxa"/>
            <w:tcBorders>
              <w:top w:val="nil"/>
              <w:left w:val="nil"/>
              <w:bottom w:val="nil"/>
              <w:right w:val="nil"/>
            </w:tcBorders>
          </w:tcPr>
          <w:p w14:paraId="3CCA0C47"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6FD606DC" w14:textId="77777777" w:rsidTr="00E62F44">
        <w:trPr>
          <w:trHeight w:val="300"/>
        </w:trPr>
        <w:tc>
          <w:tcPr>
            <w:tcW w:w="4675" w:type="dxa"/>
            <w:tcBorders>
              <w:top w:val="nil"/>
              <w:left w:val="nil"/>
              <w:bottom w:val="nil"/>
              <w:right w:val="nil"/>
            </w:tcBorders>
          </w:tcPr>
          <w:p w14:paraId="46AFC510"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 xml:space="preserve">mutational signature 3 </w:t>
            </w:r>
          </w:p>
        </w:tc>
        <w:tc>
          <w:tcPr>
            <w:tcW w:w="4674" w:type="dxa"/>
            <w:tcBorders>
              <w:top w:val="nil"/>
              <w:left w:val="nil"/>
              <w:bottom w:val="nil"/>
              <w:right w:val="nil"/>
            </w:tcBorders>
          </w:tcPr>
          <w:p w14:paraId="6027BEF8"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19E52CD4" w14:textId="77777777" w:rsidTr="00E62F44">
        <w:trPr>
          <w:trHeight w:val="300"/>
        </w:trPr>
        <w:tc>
          <w:tcPr>
            <w:tcW w:w="4675" w:type="dxa"/>
            <w:tcBorders>
              <w:top w:val="nil"/>
              <w:left w:val="nil"/>
              <w:bottom w:val="nil"/>
              <w:right w:val="nil"/>
            </w:tcBorders>
          </w:tcPr>
          <w:p w14:paraId="00D20CCD"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PAM50 subtype analysis</w:t>
            </w:r>
          </w:p>
        </w:tc>
        <w:tc>
          <w:tcPr>
            <w:tcW w:w="4674" w:type="dxa"/>
            <w:tcBorders>
              <w:top w:val="nil"/>
              <w:left w:val="nil"/>
              <w:bottom w:val="nil"/>
              <w:right w:val="nil"/>
            </w:tcBorders>
          </w:tcPr>
          <w:p w14:paraId="1541D716"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0C7DBFD8" w14:textId="77777777" w:rsidTr="00E62F44">
        <w:trPr>
          <w:trHeight w:val="300"/>
        </w:trPr>
        <w:tc>
          <w:tcPr>
            <w:tcW w:w="4675" w:type="dxa"/>
            <w:tcBorders>
              <w:top w:val="nil"/>
              <w:left w:val="nil"/>
              <w:bottom w:val="nil"/>
              <w:right w:val="nil"/>
            </w:tcBorders>
          </w:tcPr>
          <w:p w14:paraId="07F58B16"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Myeloid-derived suppressor cells</w:t>
            </w:r>
          </w:p>
        </w:tc>
        <w:tc>
          <w:tcPr>
            <w:tcW w:w="4674" w:type="dxa"/>
            <w:tcBorders>
              <w:top w:val="nil"/>
              <w:left w:val="nil"/>
              <w:bottom w:val="nil"/>
              <w:right w:val="nil"/>
            </w:tcBorders>
          </w:tcPr>
          <w:p w14:paraId="71E58073"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12A2C0C9" w14:textId="77777777" w:rsidTr="00E62F44">
        <w:trPr>
          <w:trHeight w:val="300"/>
        </w:trPr>
        <w:tc>
          <w:tcPr>
            <w:tcW w:w="4675" w:type="dxa"/>
            <w:tcBorders>
              <w:top w:val="nil"/>
              <w:left w:val="nil"/>
              <w:bottom w:val="nil"/>
              <w:right w:val="nil"/>
            </w:tcBorders>
          </w:tcPr>
          <w:p w14:paraId="4F35674F"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Plasma angiogenic activity</w:t>
            </w:r>
          </w:p>
        </w:tc>
        <w:tc>
          <w:tcPr>
            <w:tcW w:w="4674" w:type="dxa"/>
            <w:tcBorders>
              <w:top w:val="nil"/>
              <w:left w:val="nil"/>
              <w:bottom w:val="nil"/>
              <w:right w:val="nil"/>
            </w:tcBorders>
          </w:tcPr>
          <w:p w14:paraId="4EC9111F"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69836012" w14:textId="77777777" w:rsidTr="00E62F44">
        <w:trPr>
          <w:trHeight w:val="300"/>
        </w:trPr>
        <w:tc>
          <w:tcPr>
            <w:tcW w:w="4675" w:type="dxa"/>
            <w:tcBorders>
              <w:top w:val="nil"/>
              <w:left w:val="nil"/>
              <w:bottom w:val="nil"/>
              <w:right w:val="nil"/>
            </w:tcBorders>
          </w:tcPr>
          <w:p w14:paraId="08CA8F6D"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EBV DNA clearance</w:t>
            </w:r>
          </w:p>
        </w:tc>
        <w:tc>
          <w:tcPr>
            <w:tcW w:w="4674" w:type="dxa"/>
            <w:tcBorders>
              <w:top w:val="nil"/>
              <w:left w:val="nil"/>
              <w:bottom w:val="nil"/>
              <w:right w:val="nil"/>
            </w:tcBorders>
          </w:tcPr>
          <w:p w14:paraId="5DED091C"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7D6C2190" w14:textId="77777777" w:rsidTr="00E62F44">
        <w:trPr>
          <w:trHeight w:val="300"/>
        </w:trPr>
        <w:tc>
          <w:tcPr>
            <w:tcW w:w="4675" w:type="dxa"/>
            <w:tcBorders>
              <w:top w:val="nil"/>
              <w:left w:val="nil"/>
              <w:bottom w:val="nil"/>
              <w:right w:val="nil"/>
            </w:tcBorders>
          </w:tcPr>
          <w:p w14:paraId="700977C4"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T-cell–inflamed gene-expression profile</w:t>
            </w:r>
          </w:p>
        </w:tc>
        <w:tc>
          <w:tcPr>
            <w:tcW w:w="4674" w:type="dxa"/>
            <w:tcBorders>
              <w:top w:val="nil"/>
              <w:left w:val="nil"/>
              <w:bottom w:val="nil"/>
              <w:right w:val="nil"/>
            </w:tcBorders>
          </w:tcPr>
          <w:p w14:paraId="36448341"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r w:rsidR="00AF677D" w:rsidRPr="00924EFB" w14:paraId="4FF0A0BB" w14:textId="77777777" w:rsidTr="00E62F44">
        <w:trPr>
          <w:trHeight w:val="300"/>
        </w:trPr>
        <w:tc>
          <w:tcPr>
            <w:tcW w:w="4675" w:type="dxa"/>
            <w:tcBorders>
              <w:top w:val="nil"/>
              <w:left w:val="nil"/>
              <w:right w:val="nil"/>
            </w:tcBorders>
          </w:tcPr>
          <w:p w14:paraId="3850800F" w14:textId="77777777" w:rsidR="00AF677D" w:rsidRPr="00924EFB" w:rsidRDefault="00AF677D" w:rsidP="00E62F44">
            <w:pPr>
              <w:suppressAutoHyphens w:val="0"/>
              <w:ind w:right="360"/>
              <w:rPr>
                <w:rFonts w:ascii="Arial" w:eastAsia="Times New Roman" w:hAnsi="Arial" w:cs="Arial"/>
                <w:color w:val="000000" w:themeColor="text1"/>
              </w:rPr>
            </w:pPr>
            <w:r w:rsidRPr="00924EFB">
              <w:rPr>
                <w:rFonts w:ascii="Arial" w:eastAsia="Times New Roman" w:hAnsi="Arial" w:cs="Arial"/>
                <w:color w:val="000000" w:themeColor="text1"/>
              </w:rPr>
              <w:t>TCR sequencing</w:t>
            </w:r>
          </w:p>
        </w:tc>
        <w:tc>
          <w:tcPr>
            <w:tcW w:w="4674" w:type="dxa"/>
            <w:tcBorders>
              <w:top w:val="nil"/>
              <w:left w:val="nil"/>
              <w:right w:val="nil"/>
            </w:tcBorders>
          </w:tcPr>
          <w:p w14:paraId="034D84E9" w14:textId="77777777" w:rsidR="00AF677D" w:rsidRPr="00924EFB" w:rsidRDefault="00AF677D" w:rsidP="00E62F44">
            <w:pPr>
              <w:suppressAutoHyphens w:val="0"/>
              <w:ind w:right="360"/>
              <w:jc w:val="center"/>
              <w:rPr>
                <w:rFonts w:ascii="Arial" w:eastAsia="Times New Roman" w:hAnsi="Arial" w:cs="Arial"/>
                <w:color w:val="000000" w:themeColor="text1"/>
              </w:rPr>
            </w:pPr>
            <w:r w:rsidRPr="00924EFB">
              <w:rPr>
                <w:rFonts w:ascii="Arial" w:eastAsia="Times New Roman" w:hAnsi="Arial" w:cs="Arial"/>
                <w:color w:val="000000" w:themeColor="text1"/>
              </w:rPr>
              <w:t>1</w:t>
            </w:r>
          </w:p>
        </w:tc>
      </w:tr>
    </w:tbl>
    <w:p w14:paraId="5D5307B7" w14:textId="77777777" w:rsidR="00AF677D" w:rsidRPr="00924EFB" w:rsidRDefault="00AF677D" w:rsidP="00AF677D">
      <w:pPr>
        <w:spacing w:line="240" w:lineRule="auto"/>
        <w:ind w:right="360"/>
        <w:jc w:val="both"/>
        <w:rPr>
          <w:rFonts w:ascii="Arial" w:hAnsi="Arial" w:cs="Arial"/>
          <w:color w:val="000000" w:themeColor="text1"/>
        </w:rPr>
      </w:pPr>
      <w:r w:rsidRPr="00924EFB">
        <w:rPr>
          <w:rFonts w:ascii="Arial" w:hAnsi="Arial" w:cs="Arial"/>
          <w:color w:val="000000" w:themeColor="text1"/>
        </w:rPr>
        <w:t>*Prospective biomarkers were not included owing to the limited number of studies (19 of 174, 10.9%) that examined such biomarkers. Many studies included multiple biomarkers; studies were included only if the biomarker-positive versus biomarker-negative subgroups were identified in the study.</w:t>
      </w:r>
    </w:p>
    <w:p w14:paraId="555BE9E5" w14:textId="77777777" w:rsidR="00AF677D" w:rsidRDefault="00AF677D" w:rsidP="00AF677D">
      <w:pPr>
        <w:tabs>
          <w:tab w:val="left" w:pos="5760"/>
        </w:tabs>
        <w:spacing w:line="240" w:lineRule="auto"/>
        <w:ind w:right="360"/>
        <w:jc w:val="both"/>
        <w:rPr>
          <w:rFonts w:ascii="Arial" w:hAnsi="Arial" w:cs="Arial"/>
          <w:color w:val="000000" w:themeColor="text1"/>
        </w:rPr>
      </w:pPr>
      <w:r w:rsidRPr="00924EFB">
        <w:rPr>
          <w:rFonts w:ascii="Arial" w:hAnsi="Arial" w:cs="Arial"/>
          <w:b/>
          <w:i/>
          <w:color w:val="000000" w:themeColor="text1"/>
        </w:rPr>
        <w:t>Abbreviations</w:t>
      </w:r>
      <w:r w:rsidRPr="00924EFB">
        <w:rPr>
          <w:rFonts w:ascii="Arial" w:hAnsi="Arial" w:cs="Arial"/>
          <w:b/>
          <w:color w:val="000000" w:themeColor="text1"/>
        </w:rPr>
        <w:t>:</w:t>
      </w:r>
      <w:r w:rsidRPr="00924EFB">
        <w:rPr>
          <w:rFonts w:ascii="Arial" w:hAnsi="Arial" w:cs="Arial"/>
          <w:color w:val="000000" w:themeColor="text1"/>
        </w:rPr>
        <w:t xml:space="preserve"> CCR4, C-C motif chemokine receptor 4; CD8, cluster of differentiation 8; CTCs, circulating tumor cells; ctDNA, circulating tumor DNA; EBV, Epstein-Barr virus; HLA, human leukocyte antigen; HPV, human papillomavirus; MMRd, mismatch repair deficiency; MSI, </w:t>
      </w:r>
      <w:r w:rsidRPr="00924EFB">
        <w:rPr>
          <w:rFonts w:ascii="Arial" w:hAnsi="Arial" w:cs="Arial"/>
          <w:color w:val="000000" w:themeColor="text1"/>
        </w:rPr>
        <w:lastRenderedPageBreak/>
        <w:t>microsatellite instability; NK, natural killer; PD-L1, programmed death-ligand 1; PD-L2, programmed death-ligand 2; TCR, T-cell receptor; TILs, tumor infiltrating lymphocytes</w:t>
      </w:r>
    </w:p>
    <w:p w14:paraId="4228DE0B" w14:textId="77777777" w:rsidR="00AF677D" w:rsidRDefault="00AF677D" w:rsidP="00AF677D">
      <w:pPr>
        <w:spacing w:after="0" w:line="240" w:lineRule="auto"/>
        <w:rPr>
          <w:rFonts w:ascii="Arial" w:hAnsi="Arial" w:cs="Arial"/>
          <w:color w:val="000000" w:themeColor="text1"/>
        </w:rPr>
      </w:pPr>
      <w:r>
        <w:rPr>
          <w:rFonts w:ascii="Arial" w:hAnsi="Arial" w:cs="Arial"/>
          <w:color w:val="000000" w:themeColor="text1"/>
        </w:rPr>
        <w:br w:type="page"/>
      </w:r>
    </w:p>
    <w:p w14:paraId="34DB1C65" w14:textId="72A477A0" w:rsidR="00AF677D" w:rsidRPr="00924EFB" w:rsidRDefault="003C13E6" w:rsidP="00AF677D">
      <w:pPr>
        <w:spacing w:line="480" w:lineRule="auto"/>
        <w:ind w:right="360"/>
        <w:jc w:val="both"/>
        <w:rPr>
          <w:rFonts w:ascii="Arial" w:hAnsi="Arial" w:cs="Arial"/>
          <w:bCs/>
          <w:color w:val="000000" w:themeColor="text1"/>
        </w:rPr>
      </w:pPr>
      <w:r>
        <w:rPr>
          <w:rFonts w:ascii="Arial" w:hAnsi="Arial" w:cs="Arial"/>
          <w:b/>
          <w:bCs/>
          <w:color w:val="000000" w:themeColor="text1"/>
        </w:rPr>
        <w:lastRenderedPageBreak/>
        <w:t>Additional</w:t>
      </w:r>
      <w:r w:rsidRPr="00924EFB">
        <w:rPr>
          <w:rFonts w:ascii="Arial" w:hAnsi="Arial" w:cs="Arial"/>
          <w:b/>
          <w:color w:val="000000" w:themeColor="text1"/>
        </w:rPr>
        <w:t xml:space="preserve"> </w:t>
      </w:r>
      <w:r w:rsidR="00AF677D" w:rsidRPr="00924EFB">
        <w:rPr>
          <w:rFonts w:ascii="Arial" w:hAnsi="Arial" w:cs="Arial"/>
          <w:b/>
          <w:color w:val="000000" w:themeColor="text1"/>
        </w:rPr>
        <w:t xml:space="preserve">Table </w:t>
      </w:r>
      <w:r w:rsidR="00AF677D">
        <w:rPr>
          <w:rFonts w:ascii="Arial" w:hAnsi="Arial" w:cs="Arial"/>
          <w:b/>
          <w:color w:val="000000" w:themeColor="text1"/>
        </w:rPr>
        <w:t>2</w:t>
      </w:r>
      <w:r w:rsidR="00AF677D" w:rsidRPr="00924EFB">
        <w:rPr>
          <w:rFonts w:ascii="Arial" w:hAnsi="Arial" w:cs="Arial"/>
          <w:b/>
          <w:color w:val="000000" w:themeColor="text1"/>
        </w:rPr>
        <w:t xml:space="preserve">. </w:t>
      </w:r>
      <w:r w:rsidR="00AF677D" w:rsidRPr="00924EFB">
        <w:rPr>
          <w:rFonts w:ascii="Arial" w:hAnsi="Arial" w:cs="Arial"/>
          <w:bCs/>
          <w:color w:val="000000" w:themeColor="text1"/>
        </w:rPr>
        <w:t>Studies and cohorts reporting summaries for correlative analyses of ORR, PFS, and OS</w:t>
      </w:r>
    </w:p>
    <w:tbl>
      <w:tblPr>
        <w:tblStyle w:val="TableGrid"/>
        <w:tblW w:w="9265" w:type="dxa"/>
        <w:tblLayout w:type="fixed"/>
        <w:tblLook w:val="04A0" w:firstRow="1" w:lastRow="0" w:firstColumn="1" w:lastColumn="0" w:noHBand="0" w:noVBand="1"/>
      </w:tblPr>
      <w:tblGrid>
        <w:gridCol w:w="1704"/>
        <w:gridCol w:w="1590"/>
        <w:gridCol w:w="1845"/>
        <w:gridCol w:w="1928"/>
        <w:gridCol w:w="2198"/>
      </w:tblGrid>
      <w:tr w:rsidR="00AF677D" w:rsidRPr="00924EFB" w14:paraId="7FEF06AE" w14:textId="77777777" w:rsidTr="00E62F44">
        <w:tc>
          <w:tcPr>
            <w:tcW w:w="1704" w:type="dxa"/>
          </w:tcPr>
          <w:p w14:paraId="54DD24B5" w14:textId="77777777" w:rsidR="00AF677D" w:rsidRPr="00924EFB" w:rsidRDefault="00AF677D" w:rsidP="00E62F44">
            <w:pPr>
              <w:spacing w:line="480" w:lineRule="auto"/>
              <w:ind w:right="360"/>
              <w:rPr>
                <w:rFonts w:ascii="Arial" w:hAnsi="Arial" w:cs="Arial"/>
                <w:b/>
                <w:color w:val="000000" w:themeColor="text1"/>
              </w:rPr>
            </w:pPr>
            <w:r w:rsidRPr="00924EFB">
              <w:rPr>
                <w:rFonts w:ascii="Arial" w:eastAsia="Calibri" w:hAnsi="Arial" w:cs="Arial"/>
                <w:b/>
                <w:color w:val="000000" w:themeColor="text1"/>
              </w:rPr>
              <w:t>Endpoint</w:t>
            </w:r>
          </w:p>
        </w:tc>
        <w:tc>
          <w:tcPr>
            <w:tcW w:w="1590" w:type="dxa"/>
          </w:tcPr>
          <w:p w14:paraId="42D621AD" w14:textId="77777777" w:rsidR="00AF677D" w:rsidRPr="00924EFB" w:rsidRDefault="00AF677D" w:rsidP="00E62F44">
            <w:pPr>
              <w:spacing w:line="480" w:lineRule="auto"/>
              <w:ind w:right="360"/>
              <w:rPr>
                <w:rFonts w:ascii="Arial" w:hAnsi="Arial" w:cs="Arial"/>
                <w:b/>
                <w:color w:val="000000" w:themeColor="text1"/>
              </w:rPr>
            </w:pPr>
            <w:r w:rsidRPr="00924EFB">
              <w:rPr>
                <w:rFonts w:ascii="Arial" w:eastAsia="Calibri" w:hAnsi="Arial" w:cs="Arial"/>
                <w:b/>
                <w:color w:val="000000" w:themeColor="text1"/>
              </w:rPr>
              <w:t>No. of studies</w:t>
            </w:r>
          </w:p>
        </w:tc>
        <w:tc>
          <w:tcPr>
            <w:tcW w:w="1845" w:type="dxa"/>
          </w:tcPr>
          <w:p w14:paraId="2BD6AF3C" w14:textId="77777777" w:rsidR="00AF677D" w:rsidRPr="00924EFB" w:rsidRDefault="00AF677D" w:rsidP="00E62F44">
            <w:pPr>
              <w:spacing w:line="480" w:lineRule="auto"/>
              <w:ind w:right="360"/>
              <w:rPr>
                <w:rFonts w:ascii="Arial" w:hAnsi="Arial" w:cs="Arial"/>
                <w:b/>
                <w:color w:val="000000" w:themeColor="text1"/>
              </w:rPr>
            </w:pPr>
            <w:r w:rsidRPr="00924EFB">
              <w:rPr>
                <w:rFonts w:ascii="Arial" w:eastAsia="Calibri" w:hAnsi="Arial" w:cs="Arial"/>
                <w:b/>
                <w:color w:val="000000" w:themeColor="text1"/>
              </w:rPr>
              <w:t>No. of cohorts *</w:t>
            </w:r>
          </w:p>
        </w:tc>
        <w:tc>
          <w:tcPr>
            <w:tcW w:w="1928" w:type="dxa"/>
          </w:tcPr>
          <w:p w14:paraId="660D4BEA" w14:textId="77777777" w:rsidR="00AF677D" w:rsidRPr="00924EFB" w:rsidRDefault="00AF677D" w:rsidP="00E62F44">
            <w:pPr>
              <w:spacing w:line="480" w:lineRule="auto"/>
              <w:ind w:right="360"/>
              <w:rPr>
                <w:rFonts w:ascii="Arial" w:hAnsi="Arial" w:cs="Arial"/>
                <w:b/>
                <w:color w:val="000000" w:themeColor="text1"/>
              </w:rPr>
            </w:pPr>
            <w:r w:rsidRPr="00924EFB">
              <w:rPr>
                <w:rFonts w:ascii="Arial" w:eastAsia="Calibri" w:hAnsi="Arial" w:cs="Arial"/>
                <w:b/>
                <w:color w:val="000000" w:themeColor="text1"/>
              </w:rPr>
              <w:t>No. of patients</w:t>
            </w:r>
          </w:p>
        </w:tc>
        <w:tc>
          <w:tcPr>
            <w:tcW w:w="2198" w:type="dxa"/>
          </w:tcPr>
          <w:p w14:paraId="272635EA" w14:textId="77777777" w:rsidR="00AF677D" w:rsidRPr="00924EFB" w:rsidRDefault="00AF677D" w:rsidP="00E62F44">
            <w:pPr>
              <w:spacing w:line="480" w:lineRule="auto"/>
              <w:ind w:right="360"/>
              <w:rPr>
                <w:rFonts w:ascii="Arial" w:hAnsi="Arial" w:cs="Arial"/>
                <w:b/>
                <w:color w:val="000000" w:themeColor="text1"/>
              </w:rPr>
            </w:pPr>
            <w:r w:rsidRPr="00924EFB">
              <w:rPr>
                <w:rFonts w:ascii="Arial" w:eastAsia="Calibri" w:hAnsi="Arial" w:cs="Arial"/>
                <w:b/>
                <w:color w:val="000000" w:themeColor="text1"/>
              </w:rPr>
              <w:t>No. of datapoints</w:t>
            </w:r>
          </w:p>
        </w:tc>
      </w:tr>
      <w:tr w:rsidR="00AF677D" w:rsidRPr="00924EFB" w14:paraId="46990290" w14:textId="77777777" w:rsidTr="00E62F44">
        <w:tc>
          <w:tcPr>
            <w:tcW w:w="1704" w:type="dxa"/>
          </w:tcPr>
          <w:p w14:paraId="0FE035A7"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ORR</w:t>
            </w:r>
          </w:p>
        </w:tc>
        <w:tc>
          <w:tcPr>
            <w:tcW w:w="1590" w:type="dxa"/>
          </w:tcPr>
          <w:p w14:paraId="277705A3"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82</w:t>
            </w:r>
          </w:p>
        </w:tc>
        <w:tc>
          <w:tcPr>
            <w:tcW w:w="1845" w:type="dxa"/>
          </w:tcPr>
          <w:p w14:paraId="1C1FFA03"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123</w:t>
            </w:r>
          </w:p>
        </w:tc>
        <w:tc>
          <w:tcPr>
            <w:tcW w:w="1928" w:type="dxa"/>
          </w:tcPr>
          <w:p w14:paraId="11C6F69F"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 xml:space="preserve">7939 </w:t>
            </w:r>
          </w:p>
        </w:tc>
        <w:tc>
          <w:tcPr>
            <w:tcW w:w="2198" w:type="dxa"/>
          </w:tcPr>
          <w:p w14:paraId="18EFE7B6"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 xml:space="preserve">11692 </w:t>
            </w:r>
          </w:p>
        </w:tc>
      </w:tr>
      <w:tr w:rsidR="00AF677D" w:rsidRPr="00924EFB" w14:paraId="6F73D2F7" w14:textId="77777777" w:rsidTr="00E62F44">
        <w:tc>
          <w:tcPr>
            <w:tcW w:w="1704" w:type="dxa"/>
          </w:tcPr>
          <w:p w14:paraId="77043928"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PFS</w:t>
            </w:r>
          </w:p>
        </w:tc>
        <w:tc>
          <w:tcPr>
            <w:tcW w:w="1590" w:type="dxa"/>
          </w:tcPr>
          <w:p w14:paraId="7811B47B"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36</w:t>
            </w:r>
          </w:p>
        </w:tc>
        <w:tc>
          <w:tcPr>
            <w:tcW w:w="1845" w:type="dxa"/>
          </w:tcPr>
          <w:p w14:paraId="5A45C3C0"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46</w:t>
            </w:r>
          </w:p>
        </w:tc>
        <w:tc>
          <w:tcPr>
            <w:tcW w:w="1928" w:type="dxa"/>
          </w:tcPr>
          <w:p w14:paraId="41737A56"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 xml:space="preserve">2727  </w:t>
            </w:r>
          </w:p>
        </w:tc>
        <w:tc>
          <w:tcPr>
            <w:tcW w:w="2198" w:type="dxa"/>
          </w:tcPr>
          <w:p w14:paraId="06290A11"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3065</w:t>
            </w:r>
          </w:p>
        </w:tc>
      </w:tr>
      <w:tr w:rsidR="00AF677D" w:rsidRPr="00924EFB" w14:paraId="569D5204" w14:textId="77777777" w:rsidTr="00E62F44">
        <w:tc>
          <w:tcPr>
            <w:tcW w:w="1704" w:type="dxa"/>
          </w:tcPr>
          <w:p w14:paraId="49712EB0"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OS</w:t>
            </w:r>
          </w:p>
        </w:tc>
        <w:tc>
          <w:tcPr>
            <w:tcW w:w="1590" w:type="dxa"/>
          </w:tcPr>
          <w:p w14:paraId="1618F194"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25</w:t>
            </w:r>
          </w:p>
        </w:tc>
        <w:tc>
          <w:tcPr>
            <w:tcW w:w="1845" w:type="dxa"/>
          </w:tcPr>
          <w:p w14:paraId="55F873DC"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30</w:t>
            </w:r>
          </w:p>
        </w:tc>
        <w:tc>
          <w:tcPr>
            <w:tcW w:w="1928" w:type="dxa"/>
          </w:tcPr>
          <w:p w14:paraId="3781A87F"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 xml:space="preserve">2099 </w:t>
            </w:r>
          </w:p>
        </w:tc>
        <w:tc>
          <w:tcPr>
            <w:tcW w:w="2198" w:type="dxa"/>
          </w:tcPr>
          <w:p w14:paraId="0429E75B" w14:textId="77777777" w:rsidR="00AF677D" w:rsidRPr="00924EFB" w:rsidRDefault="00AF677D" w:rsidP="00E62F44">
            <w:pPr>
              <w:spacing w:line="480" w:lineRule="auto"/>
              <w:ind w:right="360"/>
              <w:jc w:val="both"/>
              <w:rPr>
                <w:rFonts w:ascii="Arial" w:hAnsi="Arial" w:cs="Arial"/>
                <w:color w:val="000000" w:themeColor="text1"/>
              </w:rPr>
            </w:pPr>
            <w:r w:rsidRPr="00924EFB">
              <w:rPr>
                <w:rFonts w:ascii="Arial" w:eastAsia="Calibri" w:hAnsi="Arial" w:cs="Arial"/>
                <w:color w:val="000000" w:themeColor="text1"/>
              </w:rPr>
              <w:t xml:space="preserve">2256  </w:t>
            </w:r>
          </w:p>
        </w:tc>
      </w:tr>
    </w:tbl>
    <w:p w14:paraId="6C6059FD" w14:textId="77777777" w:rsidR="00AF677D" w:rsidRPr="00924EFB" w:rsidRDefault="00AF677D" w:rsidP="00AF677D">
      <w:pPr>
        <w:spacing w:line="480" w:lineRule="auto"/>
        <w:ind w:right="360"/>
        <w:jc w:val="both"/>
        <w:rPr>
          <w:rFonts w:ascii="Arial" w:hAnsi="Arial" w:cs="Arial"/>
          <w:color w:val="000000" w:themeColor="text1"/>
          <w:sz w:val="20"/>
          <w:szCs w:val="16"/>
        </w:rPr>
      </w:pPr>
      <w:r w:rsidRPr="00924EFB">
        <w:rPr>
          <w:rFonts w:ascii="Arial" w:hAnsi="Arial" w:cs="Arial"/>
          <w:color w:val="000000" w:themeColor="text1"/>
          <w:sz w:val="20"/>
          <w:szCs w:val="16"/>
        </w:rPr>
        <w:t>*Cohorts include outcomes by different drugs, tumor types, and biomarkers. Studies that reported only qualitative summaries with an incomplete outcome summary (e.g., provided the correlation without specific numbers) or missing number of patients were excluded from the analysis.</w:t>
      </w:r>
    </w:p>
    <w:p w14:paraId="47692663" w14:textId="77777777" w:rsidR="00AF677D" w:rsidRPr="00924EFB" w:rsidRDefault="00AF677D" w:rsidP="00AF677D">
      <w:pPr>
        <w:spacing w:line="480" w:lineRule="auto"/>
        <w:ind w:right="360"/>
        <w:jc w:val="both"/>
        <w:rPr>
          <w:rFonts w:ascii="Arial" w:hAnsi="Arial" w:cs="Arial"/>
          <w:color w:val="000000" w:themeColor="text1"/>
          <w:sz w:val="20"/>
          <w:szCs w:val="16"/>
        </w:rPr>
      </w:pPr>
      <w:r w:rsidRPr="00924EFB">
        <w:rPr>
          <w:rFonts w:ascii="Arial" w:hAnsi="Arial" w:cs="Arial"/>
          <w:i/>
          <w:color w:val="000000" w:themeColor="text1"/>
          <w:sz w:val="20"/>
          <w:szCs w:val="16"/>
        </w:rPr>
        <w:t>Abbreviations</w:t>
      </w:r>
      <w:r w:rsidRPr="00924EFB">
        <w:rPr>
          <w:rFonts w:ascii="Arial" w:hAnsi="Arial" w:cs="Arial"/>
          <w:color w:val="000000" w:themeColor="text1"/>
          <w:sz w:val="20"/>
          <w:szCs w:val="16"/>
        </w:rPr>
        <w:t>: ORR, overall response rate; OS, overall survival; PFS, progression-free survival</w:t>
      </w:r>
    </w:p>
    <w:p w14:paraId="27F277F6" w14:textId="77777777" w:rsidR="00AF677D" w:rsidRPr="00AF677D" w:rsidRDefault="00AF677D" w:rsidP="00AF677D"/>
    <w:p w14:paraId="394D3B7B" w14:textId="77777777" w:rsidR="00AF677D" w:rsidRPr="00924EFB" w:rsidRDefault="00AF677D" w:rsidP="00AF677D">
      <w:pPr>
        <w:spacing w:line="480" w:lineRule="auto"/>
        <w:ind w:right="360"/>
        <w:rPr>
          <w:rFonts w:ascii="Arial" w:hAnsi="Arial" w:cs="Arial"/>
          <w:b/>
          <w:color w:val="000000" w:themeColor="text1"/>
        </w:rPr>
      </w:pPr>
    </w:p>
    <w:p w14:paraId="03582626" w14:textId="77777777" w:rsidR="00AF677D" w:rsidRDefault="00AF677D">
      <w:pPr>
        <w:suppressAutoHyphens w:val="0"/>
        <w:rPr>
          <w:rFonts w:ascii="Arial" w:hAnsi="Arial" w:cs="Arial"/>
          <w:b/>
          <w:color w:val="000000" w:themeColor="text1"/>
        </w:rPr>
      </w:pPr>
      <w:r>
        <w:rPr>
          <w:rFonts w:ascii="Arial" w:hAnsi="Arial" w:cs="Arial"/>
          <w:b/>
          <w:color w:val="000000" w:themeColor="text1"/>
        </w:rPr>
        <w:br w:type="page"/>
      </w:r>
    </w:p>
    <w:p w14:paraId="62EFB520" w14:textId="38350398" w:rsidR="00AF677D" w:rsidRPr="00924EFB" w:rsidRDefault="003C13E6" w:rsidP="00AF677D">
      <w:pPr>
        <w:spacing w:line="480" w:lineRule="auto"/>
        <w:ind w:right="360"/>
        <w:rPr>
          <w:rFonts w:ascii="Arial" w:hAnsi="Arial" w:cs="Arial"/>
          <w:b/>
          <w:color w:val="000000" w:themeColor="text1"/>
        </w:rPr>
      </w:pPr>
      <w:r>
        <w:rPr>
          <w:rFonts w:ascii="Arial" w:hAnsi="Arial" w:cs="Arial"/>
          <w:b/>
          <w:bCs/>
          <w:color w:val="000000" w:themeColor="text1"/>
        </w:rPr>
        <w:lastRenderedPageBreak/>
        <w:t>Additional</w:t>
      </w:r>
      <w:r w:rsidRPr="00924EFB">
        <w:rPr>
          <w:rFonts w:ascii="Arial" w:hAnsi="Arial" w:cs="Arial"/>
          <w:b/>
          <w:color w:val="000000" w:themeColor="text1"/>
        </w:rPr>
        <w:t xml:space="preserve"> </w:t>
      </w:r>
      <w:r w:rsidR="00AF677D" w:rsidRPr="00924EFB">
        <w:rPr>
          <w:rFonts w:ascii="Arial" w:hAnsi="Arial" w:cs="Arial"/>
          <w:b/>
          <w:color w:val="000000" w:themeColor="text1"/>
        </w:rPr>
        <w:t>figure legends</w:t>
      </w:r>
    </w:p>
    <w:p w14:paraId="2104657E" w14:textId="6409E96F" w:rsidR="00AF677D" w:rsidRPr="00924EFB" w:rsidRDefault="003C13E6" w:rsidP="00AF677D">
      <w:pPr>
        <w:spacing w:line="480" w:lineRule="auto"/>
        <w:ind w:right="360"/>
        <w:jc w:val="both"/>
        <w:rPr>
          <w:rFonts w:ascii="Arial" w:hAnsi="Arial" w:cs="Arial"/>
          <w:color w:val="000000" w:themeColor="text1"/>
        </w:rPr>
      </w:pPr>
      <w:r>
        <w:rPr>
          <w:rFonts w:ascii="Arial" w:hAnsi="Arial" w:cs="Arial"/>
          <w:b/>
          <w:bCs/>
          <w:color w:val="000000" w:themeColor="text1"/>
        </w:rPr>
        <w:t>Additional</w:t>
      </w:r>
      <w:r w:rsidRPr="00924EFB">
        <w:rPr>
          <w:rFonts w:ascii="Arial" w:hAnsi="Arial" w:cs="Arial"/>
          <w:b/>
          <w:bCs/>
          <w:color w:val="000000" w:themeColor="text1"/>
        </w:rPr>
        <w:t xml:space="preserve"> </w:t>
      </w:r>
      <w:r w:rsidR="00AF677D" w:rsidRPr="00924EFB">
        <w:rPr>
          <w:rFonts w:ascii="Arial" w:hAnsi="Arial" w:cs="Arial"/>
          <w:b/>
          <w:bCs/>
          <w:color w:val="000000" w:themeColor="text1"/>
        </w:rPr>
        <w:t>Figure 1.</w:t>
      </w:r>
      <w:r w:rsidR="00AF677D" w:rsidRPr="00924EFB">
        <w:rPr>
          <w:rFonts w:ascii="Arial" w:hAnsi="Arial" w:cs="Arial"/>
          <w:color w:val="000000" w:themeColor="text1"/>
        </w:rPr>
        <w:t xml:space="preserve"> Estimated true ORR for subgroups by agent, tumor type, mono-therapy versus combination therapy, line of therapy, and tumor types associated with response to immunotherapy based on FDA approval status. Line segments show 95% CI. Numbers in parentheses next to the subgroup labels indicate the number of cohorts for each level of the covariates. The figure shows lack of evidence for significant effects of moderators. We carried out mixed-effects model analyses for agent (panel A), tumor type (panel B), mono-therapy versus combination therapy (panel C), line of therapy (panel D), and tumor types that are associated with response to immunotherapy based on FDA approval status (panel E), respectively. The p-values for chi-square omnibus tests for each moderator are shown at the bottom of each panel. None show significant effects.</w:t>
      </w:r>
    </w:p>
    <w:p w14:paraId="40B65695" w14:textId="515C58CE" w:rsidR="00AF677D" w:rsidRPr="00924EFB" w:rsidRDefault="003C13E6" w:rsidP="00AF677D">
      <w:pPr>
        <w:spacing w:line="480" w:lineRule="auto"/>
        <w:ind w:right="360"/>
        <w:jc w:val="both"/>
        <w:rPr>
          <w:rFonts w:ascii="Arial" w:hAnsi="Arial" w:cs="Arial"/>
          <w:color w:val="000000" w:themeColor="text1"/>
        </w:rPr>
      </w:pPr>
      <w:r>
        <w:rPr>
          <w:rFonts w:ascii="Arial" w:hAnsi="Arial" w:cs="Arial"/>
          <w:b/>
          <w:bCs/>
          <w:color w:val="000000" w:themeColor="text1"/>
        </w:rPr>
        <w:t>Additional</w:t>
      </w:r>
      <w:r w:rsidRPr="00924EFB">
        <w:rPr>
          <w:rFonts w:ascii="Arial" w:hAnsi="Arial" w:cs="Arial"/>
          <w:b/>
          <w:bCs/>
          <w:color w:val="000000" w:themeColor="text1"/>
        </w:rPr>
        <w:t xml:space="preserve"> </w:t>
      </w:r>
      <w:r w:rsidR="00AF677D" w:rsidRPr="00924EFB">
        <w:rPr>
          <w:rFonts w:ascii="Arial" w:hAnsi="Arial" w:cs="Arial"/>
          <w:b/>
          <w:bCs/>
          <w:color w:val="000000" w:themeColor="text1"/>
        </w:rPr>
        <w:t xml:space="preserve">Figure 2. </w:t>
      </w:r>
      <w:r w:rsidR="00AF677D" w:rsidRPr="00924EFB">
        <w:rPr>
          <w:rFonts w:ascii="Arial" w:hAnsi="Arial" w:cs="Arial"/>
          <w:color w:val="000000" w:themeColor="text1"/>
        </w:rPr>
        <w:t xml:space="preserve"> Estimated true log HR for subgroups by agent, tumor type, mono-therapy versus combination therapy, line of therapy, and tumor types associated with a favorable response to immunotherapy. Line segments show 95% CI. Numbers in parentheses next to the subgroup labels indicate the number of cohorts for each level of the covariates. Note: In some cases, investigators reported separate summaries by biomarkers, drugs, or tumor types. Such reports are treated as separate cohorts and included as separate lines in the forest plot. The figure shows lack of convincing evidence for effects of moderators. We carried out mixed-effects model analyses for agent (panel A), tumor type (panel B), mono-therapy versus combination therapy (panel C), line of therapy (panel D), and tumor types that are associated with response to immunotherapy based on FDA approval status (panel E), respectively. The p-values for chi-square omnibus tests for each moderator are shown at the bottom of each panel. The analysis with tumor type as a moderator shows a nominally significant p-value of p=.00007. This difference across tumor types (p&lt;0.0001) is driven by outliers, including a study in 24 patients with melanoma and correlative studies for two biomarkers. The analysis with therapeutic agent as moderator suggests some evidence for a significant effect, with a p-value of 0.031. However, after multiplicity adjustment for the K=5 tests were carried out this result did not rise to statistical significance.</w:t>
      </w:r>
    </w:p>
    <w:p w14:paraId="2E247ABB" w14:textId="77777777" w:rsidR="00AF677D" w:rsidRPr="00924EFB" w:rsidRDefault="00AF677D" w:rsidP="00AF677D">
      <w:pPr>
        <w:spacing w:line="480" w:lineRule="auto"/>
        <w:ind w:right="360"/>
        <w:rPr>
          <w:rFonts w:ascii="Arial" w:hAnsi="Arial" w:cs="Arial"/>
          <w:b/>
          <w:bCs/>
          <w:color w:val="000000" w:themeColor="text1"/>
        </w:rPr>
      </w:pPr>
    </w:p>
    <w:p w14:paraId="365AE70E" w14:textId="31D725EB" w:rsidR="00AF677D" w:rsidRPr="00924EFB" w:rsidRDefault="003C13E6" w:rsidP="00AF677D">
      <w:pPr>
        <w:ind w:right="360"/>
        <w:rPr>
          <w:rFonts w:ascii="Arial" w:hAnsi="Arial" w:cs="Arial"/>
          <w:i/>
          <w:color w:val="000000" w:themeColor="text1"/>
        </w:rPr>
      </w:pPr>
      <w:r>
        <w:rPr>
          <w:rFonts w:ascii="Arial" w:hAnsi="Arial" w:cs="Arial"/>
          <w:b/>
          <w:bCs/>
          <w:color w:val="000000" w:themeColor="text1"/>
        </w:rPr>
        <w:t>Additional</w:t>
      </w:r>
      <w:r w:rsidRPr="00924EFB">
        <w:rPr>
          <w:rFonts w:ascii="Arial" w:hAnsi="Arial" w:cs="Arial"/>
          <w:b/>
          <w:bCs/>
          <w:color w:val="000000" w:themeColor="text1"/>
        </w:rPr>
        <w:t xml:space="preserve"> </w:t>
      </w:r>
      <w:r w:rsidR="00AF677D" w:rsidRPr="00924EFB">
        <w:rPr>
          <w:rFonts w:ascii="Arial" w:hAnsi="Arial" w:cs="Arial"/>
          <w:b/>
          <w:bCs/>
          <w:color w:val="000000" w:themeColor="text1"/>
        </w:rPr>
        <w:t>Figure 1.</w:t>
      </w:r>
    </w:p>
    <w:p w14:paraId="585ECF63" w14:textId="77777777" w:rsidR="00AF677D" w:rsidRPr="00924EFB" w:rsidRDefault="00AF677D" w:rsidP="00AF677D">
      <w:pPr>
        <w:ind w:right="360"/>
        <w:rPr>
          <w:rFonts w:ascii="Arial" w:hAnsi="Arial" w:cs="Arial"/>
          <w:b/>
          <w:bCs/>
          <w:color w:val="000000" w:themeColor="text1"/>
        </w:rPr>
      </w:pPr>
      <w:r w:rsidRPr="00924EFB">
        <w:rPr>
          <w:rFonts w:ascii="Arial" w:hAnsi="Arial" w:cs="Arial"/>
          <w:noProof/>
          <w:color w:val="000000" w:themeColor="text1"/>
        </w:rPr>
        <w:drawing>
          <wp:inline distT="0" distB="0" distL="0" distR="0" wp14:anchorId="13D373F8" wp14:editId="18E5A6CC">
            <wp:extent cx="4552280" cy="7284720"/>
            <wp:effectExtent l="0" t="0" r="1270" b="0"/>
            <wp:docPr id="9"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descr="Graphical user interface&#10;&#10;Description automatically generated"/>
                    <pic:cNvPicPr>
                      <a:picLocks noChangeAspect="1" noChangeArrowheads="1"/>
                    </pic:cNvPicPr>
                  </pic:nvPicPr>
                  <pic:blipFill>
                    <a:blip r:embed="rId6"/>
                    <a:stretch>
                      <a:fillRect/>
                    </a:stretch>
                  </pic:blipFill>
                  <pic:spPr bwMode="auto">
                    <a:xfrm>
                      <a:off x="0" y="0"/>
                      <a:ext cx="4557159" cy="7292527"/>
                    </a:xfrm>
                    <a:prstGeom prst="rect">
                      <a:avLst/>
                    </a:prstGeom>
                  </pic:spPr>
                </pic:pic>
              </a:graphicData>
            </a:graphic>
          </wp:inline>
        </w:drawing>
      </w:r>
    </w:p>
    <w:p w14:paraId="4846F7DC" w14:textId="77777777" w:rsidR="00AF677D" w:rsidRPr="00924EFB" w:rsidRDefault="00AF677D" w:rsidP="00AF677D">
      <w:pPr>
        <w:spacing w:after="0" w:line="240" w:lineRule="auto"/>
        <w:ind w:right="360"/>
        <w:rPr>
          <w:rFonts w:ascii="Arial" w:hAnsi="Arial" w:cs="Arial"/>
          <w:b/>
          <w:bCs/>
          <w:color w:val="000000" w:themeColor="text1"/>
        </w:rPr>
      </w:pPr>
      <w:r w:rsidRPr="00924EFB">
        <w:rPr>
          <w:rFonts w:ascii="Arial" w:hAnsi="Arial" w:cs="Arial"/>
          <w:color w:val="000000" w:themeColor="text1"/>
        </w:rPr>
        <w:br w:type="page"/>
      </w:r>
    </w:p>
    <w:p w14:paraId="659F862A" w14:textId="6557D20A" w:rsidR="00AF677D" w:rsidRPr="00924EFB" w:rsidRDefault="003C13E6" w:rsidP="00AF677D">
      <w:pPr>
        <w:ind w:right="360"/>
        <w:rPr>
          <w:rFonts w:ascii="Arial" w:hAnsi="Arial" w:cs="Arial"/>
          <w:i/>
          <w:color w:val="000000" w:themeColor="text1"/>
        </w:rPr>
      </w:pPr>
      <w:r>
        <w:rPr>
          <w:rFonts w:ascii="Arial" w:hAnsi="Arial" w:cs="Arial"/>
          <w:b/>
          <w:bCs/>
          <w:color w:val="000000" w:themeColor="text1"/>
        </w:rPr>
        <w:lastRenderedPageBreak/>
        <w:t>Additional</w:t>
      </w:r>
      <w:r w:rsidRPr="00924EFB">
        <w:rPr>
          <w:rFonts w:ascii="Arial" w:hAnsi="Arial" w:cs="Arial"/>
          <w:b/>
          <w:bCs/>
          <w:color w:val="000000" w:themeColor="text1"/>
        </w:rPr>
        <w:t xml:space="preserve"> </w:t>
      </w:r>
      <w:r w:rsidR="00AF677D" w:rsidRPr="00924EFB">
        <w:rPr>
          <w:rFonts w:ascii="Arial" w:hAnsi="Arial" w:cs="Arial"/>
          <w:b/>
          <w:bCs/>
          <w:color w:val="000000" w:themeColor="text1"/>
        </w:rPr>
        <w:t>Figure 2.</w:t>
      </w:r>
    </w:p>
    <w:p w14:paraId="33EAF1E5" w14:textId="77777777" w:rsidR="00AF677D" w:rsidRPr="00924EFB" w:rsidRDefault="00AF677D" w:rsidP="00AF677D">
      <w:pPr>
        <w:ind w:right="360"/>
        <w:rPr>
          <w:rFonts w:ascii="Arial" w:hAnsi="Arial" w:cs="Arial"/>
          <w:b/>
          <w:bCs/>
          <w:color w:val="000000" w:themeColor="text1"/>
        </w:rPr>
      </w:pPr>
      <w:r w:rsidRPr="00924EFB">
        <w:rPr>
          <w:rFonts w:ascii="Arial" w:hAnsi="Arial" w:cs="Arial"/>
          <w:noProof/>
          <w:color w:val="000000" w:themeColor="text1"/>
        </w:rPr>
        <w:drawing>
          <wp:inline distT="0" distB="0" distL="0" distR="0" wp14:anchorId="5FAC27AC" wp14:editId="6A7AD343">
            <wp:extent cx="4725035" cy="7809230"/>
            <wp:effectExtent l="0" t="0" r="0" b="0"/>
            <wp:docPr id="10"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Graphical user interface, application&#10;&#10;Description automatically generated"/>
                    <pic:cNvPicPr>
                      <a:picLocks noChangeAspect="1" noChangeArrowheads="1"/>
                    </pic:cNvPicPr>
                  </pic:nvPicPr>
                  <pic:blipFill>
                    <a:blip r:embed="rId7"/>
                    <a:stretch>
                      <a:fillRect/>
                    </a:stretch>
                  </pic:blipFill>
                  <pic:spPr bwMode="auto">
                    <a:xfrm>
                      <a:off x="0" y="0"/>
                      <a:ext cx="4725035" cy="7809230"/>
                    </a:xfrm>
                    <a:prstGeom prst="rect">
                      <a:avLst/>
                    </a:prstGeom>
                  </pic:spPr>
                </pic:pic>
              </a:graphicData>
            </a:graphic>
          </wp:inline>
        </w:drawing>
      </w:r>
    </w:p>
    <w:p w14:paraId="574EA29A" w14:textId="67BC30CE" w:rsidR="00AF677D" w:rsidRPr="00924EFB" w:rsidRDefault="00AF677D" w:rsidP="00AF677D">
      <w:pPr>
        <w:spacing w:after="0" w:line="240" w:lineRule="auto"/>
        <w:rPr>
          <w:rFonts w:ascii="Arial" w:hAnsi="Arial" w:cs="Arial"/>
          <w:b/>
          <w:color w:val="000000" w:themeColor="text1"/>
        </w:rPr>
      </w:pPr>
    </w:p>
    <w:sectPr w:rsidR="00AF677D" w:rsidRPr="00924EFB">
      <w:footerReference w:type="default" r:id="rId8"/>
      <w:pgSz w:w="12240" w:h="15840"/>
      <w:pgMar w:top="720" w:right="720" w:bottom="777" w:left="153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D5A75" w14:textId="77777777" w:rsidR="00BC27A6" w:rsidRDefault="00AF677D">
      <w:pPr>
        <w:spacing w:after="0" w:line="240" w:lineRule="auto"/>
      </w:pPr>
      <w:r>
        <w:separator/>
      </w:r>
    </w:p>
  </w:endnote>
  <w:endnote w:type="continuationSeparator" w:id="0">
    <w:p w14:paraId="4D7D5A77" w14:textId="77777777" w:rsidR="00BC27A6" w:rsidRDefault="00AF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693102"/>
      <w:docPartObj>
        <w:docPartGallery w:val="Page Numbers (Bottom of Page)"/>
        <w:docPartUnique/>
      </w:docPartObj>
    </w:sdtPr>
    <w:sdtEndPr/>
    <w:sdtContent>
      <w:p w14:paraId="4D7D5A6D" w14:textId="77777777" w:rsidR="009A42DF" w:rsidRDefault="003C13E6">
        <w:pPr>
          <w:pStyle w:val="Footer"/>
          <w:jc w:val="right"/>
        </w:pPr>
      </w:p>
      <w:p w14:paraId="4D7D5A6E" w14:textId="77777777" w:rsidR="009A42DF" w:rsidRDefault="003C13E6">
        <w:pPr>
          <w:pStyle w:val="Footer"/>
          <w:jc w:val="right"/>
        </w:pPr>
      </w:p>
      <w:p w14:paraId="4D7D5A6F" w14:textId="77777777" w:rsidR="009A42DF" w:rsidRDefault="00AF677D">
        <w:pPr>
          <w:pStyle w:val="Footer"/>
          <w:jc w:val="right"/>
        </w:pPr>
        <w:r>
          <w:fldChar w:fldCharType="begin"/>
        </w:r>
        <w:r>
          <w:instrText xml:space="preserve"> PAGE </w:instrText>
        </w:r>
        <w:r>
          <w:fldChar w:fldCharType="separate"/>
        </w:r>
        <w:r>
          <w:t>37</w:t>
        </w:r>
        <w:r>
          <w:fldChar w:fldCharType="end"/>
        </w:r>
      </w:p>
    </w:sdtContent>
  </w:sdt>
  <w:p w14:paraId="4D7D5A70" w14:textId="77777777" w:rsidR="009A42DF" w:rsidRDefault="003C1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D5A71" w14:textId="77777777" w:rsidR="00BC27A6" w:rsidRDefault="00AF677D">
      <w:pPr>
        <w:spacing w:after="0" w:line="240" w:lineRule="auto"/>
      </w:pPr>
      <w:r>
        <w:separator/>
      </w:r>
    </w:p>
  </w:footnote>
  <w:footnote w:type="continuationSeparator" w:id="0">
    <w:p w14:paraId="4D7D5A73" w14:textId="77777777" w:rsidR="00BC27A6" w:rsidRDefault="00AF67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F08"/>
    <w:rsid w:val="000B7710"/>
    <w:rsid w:val="000C1FB9"/>
    <w:rsid w:val="00221B20"/>
    <w:rsid w:val="003C13E6"/>
    <w:rsid w:val="007E619A"/>
    <w:rsid w:val="00AE6F08"/>
    <w:rsid w:val="00AF677D"/>
    <w:rsid w:val="00BC27A6"/>
    <w:rsid w:val="00D0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5A3F"/>
  <w15:chartTrackingRefBased/>
  <w15:docId w15:val="{AD29A71C-A652-4ACD-829F-141D3E74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10"/>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0B7710"/>
  </w:style>
  <w:style w:type="paragraph" w:styleId="Footer">
    <w:name w:val="footer"/>
    <w:basedOn w:val="Normal"/>
    <w:link w:val="FooterChar"/>
    <w:uiPriority w:val="99"/>
    <w:unhideWhenUsed/>
    <w:rsid w:val="000B7710"/>
    <w:pPr>
      <w:tabs>
        <w:tab w:val="center" w:pos="4680"/>
        <w:tab w:val="right" w:pos="9360"/>
      </w:tabs>
      <w:spacing w:after="0" w:line="240" w:lineRule="auto"/>
    </w:pPr>
  </w:style>
  <w:style w:type="character" w:customStyle="1" w:styleId="FooterChar1">
    <w:name w:val="Footer Char1"/>
    <w:basedOn w:val="DefaultParagraphFont"/>
    <w:uiPriority w:val="99"/>
    <w:semiHidden/>
    <w:rsid w:val="000B7710"/>
  </w:style>
  <w:style w:type="table" w:styleId="TableGrid">
    <w:name w:val="Table Grid"/>
    <w:basedOn w:val="TableNormal"/>
    <w:uiPriority w:val="39"/>
    <w:rsid w:val="000B7710"/>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697</Words>
  <Characters>3976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Henry H</dc:creator>
  <cp:keywords/>
  <dc:description/>
  <cp:lastModifiedBy>Eleni Fountzila</cp:lastModifiedBy>
  <cp:revision>5</cp:revision>
  <dcterms:created xsi:type="dcterms:W3CDTF">2022-08-26T22:39:00Z</dcterms:created>
  <dcterms:modified xsi:type="dcterms:W3CDTF">2022-12-16T15:53:00Z</dcterms:modified>
</cp:coreProperties>
</file>