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ind w:right="42" w:rightChars="20"/>
        <w:jc w:val="center"/>
        <w:rPr>
          <w:rFonts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  <w:t>Supporting Information</w:t>
      </w:r>
    </w:p>
    <w:p>
      <w:pPr>
        <w:suppressAutoHyphens/>
        <w:ind w:right="42" w:rightChars="20"/>
        <w:jc w:val="center"/>
        <w:rPr>
          <w:rFonts w:ascii="Times New Roman" w:hAnsi="Times New Roman" w:eastAsia="宋体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_Hlk121599536"/>
      <w:r>
        <w:rPr>
          <w:rFonts w:ascii="Times New Roman" w:hAnsi="Times New Roman" w:eastAsia="宋体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Graphene Nanoplatelet/Cellulose Acetate Composite Film with Simultaneously 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and Significantly </w:t>
      </w:r>
      <w:r>
        <w:rPr>
          <w:rFonts w:ascii="Times New Roman" w:hAnsi="Times New Roman" w:eastAsia="宋体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Enhanced Antistatic, Thermal Dissipative and Mechanical Properties for Packaging</w:t>
      </w:r>
      <w:bookmarkEnd w:id="0"/>
    </w:p>
    <w:p>
      <w:pPr>
        <w:suppressAutoHyphens/>
        <w:ind w:right="42" w:rightChars="20"/>
        <w:jc w:val="center"/>
        <w:rPr>
          <w:rFonts w:ascii="Times New Roman" w:hAnsi="Times New Roman" w:eastAsia="宋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right="42" w:rightChars="20"/>
        <w:jc w:val="left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1" w:name="_Hlk121068749"/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Zijun Gao</w:t>
      </w:r>
      <m:oMath>
        <m:r>
          <m:rPr>
            <m:sty m:val="b"/>
          </m:rPr>
          <w:rPr>
            <w:rFonts w:ascii="Cambria Math" w:hAnsi="Cambria Math" w:eastAsia="宋体" w:cs="Times New Roman"/>
            <w:color w:val="000000" w:themeColor="text1"/>
            <w:sz w:val="24"/>
            <w:szCs w:val="24"/>
            <w14:textFill>
              <w14:solidFill>
                <w14:schemeClr w14:val="tx1"/>
              </w14:solidFill>
            </w14:textFill>
          </w:rPr>
          <m:t xml:space="preserve"> ∙ </m:t>
        </m:r>
      </m:oMath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Yao Li</w:t>
      </w:r>
      <m:oMath>
        <m:r>
          <m:rPr>
            <m:sty m:val="b"/>
          </m:rPr>
          <w:rPr>
            <w:rFonts w:ascii="Cambria Math" w:hAnsi="Cambria Math" w:eastAsia="宋体" w:cs="Times New Roman"/>
            <w:color w:val="000000" w:themeColor="text1"/>
            <w:sz w:val="24"/>
            <w:szCs w:val="24"/>
            <w14:textFill>
              <w14:solidFill>
                <w14:schemeClr w14:val="tx1"/>
              </w14:solidFill>
            </w14:textFill>
          </w:rPr>
          <m:t xml:space="preserve"> ∙ </m:t>
        </m:r>
      </m:oMath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Pei Huang</w:t>
      </w:r>
      <m:oMath>
        <m:r>
          <m:rPr>
            <m:sty m:val="b"/>
          </m:rPr>
          <w:rPr>
            <w:rFonts w:ascii="Cambria Math" w:hAnsi="Cambria Math" w:eastAsia="宋体" w:cs="Times New Roman"/>
            <w:color w:val="000000" w:themeColor="text1"/>
            <w:sz w:val="24"/>
            <w:szCs w:val="24"/>
            <w14:textFill>
              <w14:solidFill>
                <w14:schemeClr w14:val="tx1"/>
              </w14:solidFill>
            </w14:textFill>
          </w:rPr>
          <m:t xml:space="preserve"> ∙ </m:t>
        </m:r>
      </m:oMath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R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ui Zou</w:t>
      </w:r>
      <m:oMath>
        <m:r>
          <m:rPr>
            <m:sty m:val="b"/>
          </m:rPr>
          <w:rPr>
            <w:rFonts w:ascii="Cambria Math" w:hAnsi="Cambria Math" w:eastAsia="宋体" w:cs="Times New Roman"/>
            <w:color w:val="000000" w:themeColor="text1"/>
            <w:sz w:val="24"/>
            <w:szCs w:val="24"/>
            <w14:textFill>
              <w14:solidFill>
                <w14:schemeClr w14:val="tx1"/>
              </w14:solidFill>
            </w14:textFill>
          </w:rPr>
          <m:t xml:space="preserve"> ∙ </m:t>
        </m:r>
      </m:oMath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Yuanqing Li</w:t>
      </w:r>
      <m:oMath>
        <m:r>
          <m:rPr>
            <m:sty m:val="b"/>
          </m:rPr>
          <w:rPr>
            <w:rFonts w:ascii="Cambria Math" w:hAnsi="Cambria Math" w:eastAsia="宋体" w:cs="Times New Roman"/>
            <w:color w:val="000000" w:themeColor="text1"/>
            <w:sz w:val="24"/>
            <w:szCs w:val="24"/>
            <w14:textFill>
              <w14:solidFill>
                <w14:schemeClr w14:val="tx1"/>
              </w14:solidFill>
            </w14:textFill>
          </w:rPr>
          <m:t xml:space="preserve"> ∙ </m:t>
        </m:r>
      </m:oMath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Shaoyun Fu</w:t>
      </w:r>
    </w:p>
    <w:p>
      <w:pPr>
        <w:spacing w:line="360" w:lineRule="auto"/>
        <w:ind w:right="42" w:rightChars="20"/>
        <w:jc w:val="left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right="42" w:rightChars="20"/>
        <w:jc w:val="left"/>
        <w:rPr>
          <w:rFonts w:ascii="Times New Roman" w:hAnsi="Times New Roman" w:eastAsia="宋体" w:cs="Times New Roman"/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>Zijun Gao and Yao Li have contributed equally to the study</w:t>
      </w:r>
    </w:p>
    <w:p>
      <w:pPr>
        <w:spacing w:line="360" w:lineRule="auto"/>
        <w:ind w:right="42" w:rightChars="20"/>
        <w:jc w:val="left"/>
        <w:rPr>
          <w:rFonts w:ascii="Times New Roman" w:hAnsi="Times New Roman" w:eastAsia="宋体" w:cs="Times New Roman"/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right="42" w:rightChars="20"/>
        <w:jc w:val="left"/>
        <w:rPr>
          <w:rFonts w:ascii="Times New Roman" w:hAnsi="Times New Roman" w:eastAsia="宋体" w:cs="Times New Roman"/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>Z. Gao</w:t>
      </w:r>
      <m:oMath>
        <m:r>
          <m:rPr>
            <m:sty m:val="p"/>
          </m:rPr>
          <w:rPr>
            <w:rFonts w:ascii="Cambria Math" w:hAnsi="Cambria Math" w:eastAsia="宋体" w:cs="Times New Roman"/>
            <w:color w:val="000000" w:themeColor="text1"/>
            <w:sz w:val="17"/>
            <w:szCs w:val="17"/>
            <w14:textFill>
              <w14:solidFill>
                <w14:schemeClr w14:val="tx1"/>
              </w14:solidFill>
            </w14:textFill>
          </w:rPr>
          <m:t xml:space="preserve"> ∙ </m:t>
        </m:r>
      </m:oMath>
      <w:r>
        <w:rPr>
          <w:rFonts w:ascii="Times New Roman" w:hAnsi="Times New Roman" w:eastAsia="宋体" w:cs="Times New Roman"/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>Y. Li</w:t>
      </w:r>
      <m:oMath>
        <m:r>
          <m:rPr>
            <m:sty m:val="p"/>
          </m:rPr>
          <w:rPr>
            <w:rFonts w:ascii="Cambria Math" w:hAnsi="Cambria Math" w:eastAsia="宋体" w:cs="Times New Roman"/>
            <w:color w:val="000000" w:themeColor="text1"/>
            <w:sz w:val="17"/>
            <w:szCs w:val="17"/>
            <w14:textFill>
              <w14:solidFill>
                <w14:schemeClr w14:val="tx1"/>
              </w14:solidFill>
            </w14:textFill>
          </w:rPr>
          <m:t xml:space="preserve"> ∙ </m:t>
        </m:r>
      </m:oMath>
      <w:r>
        <w:rPr>
          <w:rFonts w:ascii="Times New Roman" w:hAnsi="Times New Roman" w:eastAsia="宋体" w:cs="Times New Roman"/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>P. Huang</w:t>
      </w:r>
      <m:oMath>
        <m:r>
          <m:rPr>
            <m:sty m:val="p"/>
          </m:rPr>
          <w:rPr>
            <w:rFonts w:ascii="Cambria Math" w:hAnsi="Cambria Math" w:eastAsia="宋体" w:cs="Times New Roman"/>
            <w:color w:val="000000" w:themeColor="text1"/>
            <w:sz w:val="17"/>
            <w:szCs w:val="17"/>
            <w14:textFill>
              <w14:solidFill>
                <w14:schemeClr w14:val="tx1"/>
              </w14:solidFill>
            </w14:textFill>
          </w:rPr>
          <m:t xml:space="preserve"> ∙ </m:t>
        </m:r>
      </m:oMath>
      <w:r>
        <w:rPr>
          <w:rFonts w:ascii="Times New Roman" w:hAnsi="Times New Roman" w:eastAsia="宋体" w:cs="Times New Roman"/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>Y. Li</w:t>
      </w:r>
      <m:oMath>
        <m:r>
          <m:rPr>
            <m:sty m:val="p"/>
          </m:rPr>
          <w:rPr>
            <w:rFonts w:ascii="Cambria Math" w:hAnsi="Cambria Math" w:eastAsia="宋体" w:cs="Times New Roman"/>
            <w:color w:val="000000" w:themeColor="text1"/>
            <w:sz w:val="17"/>
            <w:szCs w:val="17"/>
            <w14:textFill>
              <w14:solidFill>
                <w14:schemeClr w14:val="tx1"/>
              </w14:solidFill>
            </w14:textFill>
          </w:rPr>
          <m:t xml:space="preserve"> ∙ </m:t>
        </m:r>
      </m:oMath>
      <w:r>
        <w:rPr>
          <w:rFonts w:ascii="Times New Roman" w:hAnsi="Times New Roman" w:eastAsia="宋体" w:cs="Times New Roman"/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>S. Fu</w:t>
      </w:r>
    </w:p>
    <w:p>
      <w:pPr>
        <w:spacing w:line="360" w:lineRule="auto"/>
        <w:ind w:right="42" w:rightChars="20"/>
        <w:jc w:val="left"/>
        <w:rPr>
          <w:rFonts w:ascii="Times New Roman" w:hAnsi="Times New Roman" w:eastAsia="宋体" w:cs="Times New Roman"/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>College of Aerospace Engineering, Chongqing University, Chongqing 400044, China</w:t>
      </w:r>
    </w:p>
    <w:p>
      <w:pPr>
        <w:spacing w:line="360" w:lineRule="auto"/>
        <w:ind w:right="42" w:rightChars="20"/>
        <w:jc w:val="left"/>
        <w:rPr>
          <w:rFonts w:ascii="Times New Roman" w:hAnsi="Times New Roman" w:eastAsia="宋体" w:cs="Times New Roman"/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>State Key Laboratory of Power Transmission Equipment and System Security and New Technology, Chongqing University, Chongqing, 400044, China</w:t>
      </w:r>
    </w:p>
    <w:p>
      <w:pPr>
        <w:spacing w:line="360" w:lineRule="auto"/>
        <w:ind w:right="42" w:rightChars="20"/>
        <w:jc w:val="left"/>
        <w:rPr>
          <w:rFonts w:ascii="Times New Roman" w:hAnsi="Times New Roman" w:eastAsia="宋体" w:cs="Times New Roman"/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>Corresponding authors: P. Huang (p.huang@cqu.edu.cn), S. Fu (</w:t>
      </w:r>
      <w:r>
        <w:fldChar w:fldCharType="begin"/>
      </w:r>
      <w:r>
        <w:instrText xml:space="preserve"> HYPERLINK "mailto:syfu@cqu.edu.cn" </w:instrText>
      </w:r>
      <w:r>
        <w:fldChar w:fldCharType="separate"/>
      </w:r>
      <w:r>
        <w:rPr>
          <w:rStyle w:val="6"/>
          <w:rFonts w:ascii="Times New Roman" w:hAnsi="Times New Roman" w:eastAsia="宋体" w:cs="Times New Roman"/>
          <w:sz w:val="17"/>
          <w:szCs w:val="17"/>
        </w:rPr>
        <w:t>syfu@cqu.edu.cn</w:t>
      </w:r>
      <w:r>
        <w:rPr>
          <w:rStyle w:val="6"/>
          <w:rFonts w:ascii="Times New Roman" w:hAnsi="Times New Roman" w:eastAsia="宋体" w:cs="Times New Roman"/>
          <w:sz w:val="17"/>
          <w:szCs w:val="17"/>
        </w:rPr>
        <w:fldChar w:fldCharType="end"/>
      </w:r>
      <w:r>
        <w:rPr>
          <w:rFonts w:ascii="Times New Roman" w:hAnsi="Times New Roman" w:eastAsia="宋体" w:cs="Times New Roman"/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>)</w:t>
      </w:r>
    </w:p>
    <w:p>
      <w:pPr>
        <w:spacing w:line="360" w:lineRule="auto"/>
        <w:ind w:right="42" w:rightChars="20"/>
        <w:jc w:val="left"/>
        <w:rPr>
          <w:rFonts w:ascii="Times New Roman" w:hAnsi="Times New Roman" w:eastAsia="宋体" w:cs="Times New Roman"/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right="42" w:rightChars="20"/>
        <w:jc w:val="left"/>
        <w:rPr>
          <w:rFonts w:ascii="Times New Roman" w:hAnsi="Times New Roman" w:eastAsia="宋体" w:cs="Times New Roman"/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>R. Zou</w:t>
      </w:r>
    </w:p>
    <w:p>
      <w:pPr>
        <w:spacing w:line="360" w:lineRule="auto"/>
        <w:ind w:right="42" w:rightChars="20"/>
        <w:jc w:val="left"/>
        <w:rPr>
          <w:rFonts w:ascii="Times New Roman" w:hAnsi="Times New Roman" w:eastAsia="宋体" w:cs="Times New Roman"/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>State Key Laboratory of Reliability and Intelligence Electrical Equipment, Hebei University of Technology, Tianjin, 300130, China</w:t>
      </w:r>
    </w:p>
    <w:p>
      <w:pPr>
        <w:spacing w:line="360" w:lineRule="auto"/>
        <w:ind w:right="42" w:rightChars="20"/>
        <w:jc w:val="left"/>
        <w:rPr>
          <w:rFonts w:ascii="Times New Roman" w:hAnsi="Times New Roman" w:eastAsia="宋体" w:cs="Times New Roman"/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>School of Mechanical Engineering, Hebei University of Technology, Tianjin 300401, China</w:t>
      </w:r>
    </w:p>
    <w:bookmarkEnd w:id="1"/>
    <w:p>
      <w:pPr>
        <w:spacing w:line="360" w:lineRule="auto"/>
        <w:ind w:right="42" w:rightChars="20"/>
        <w:jc w:val="left"/>
        <w:rPr>
          <w:rFonts w:ascii="Times New Roman" w:hAnsi="Times New Roman" w:eastAsia="宋体" w:cs="Times New Roman"/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right="42" w:rightChars="20"/>
        <w:jc w:val="left"/>
        <w:rPr>
          <w:rFonts w:ascii="Times New Roman" w:hAnsi="Times New Roman" w:eastAsia="宋体" w:cs="Times New Roman"/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right="42" w:rightChars="20"/>
        <w:jc w:val="left"/>
        <w:rPr>
          <w:rFonts w:ascii="Times New Roman" w:hAnsi="Times New Roman" w:eastAsia="宋体" w:cs="Times New Roman"/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1264920"/>
            <wp:effectExtent l="0" t="0" r="2540" b="0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3"/>
        <w:ind w:right="42" w:rightChars="20"/>
        <w:jc w:val="both"/>
        <w:rPr>
          <w:rFonts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cs="Times New Roman"/>
          <w:b/>
          <w:sz w:val="20"/>
          <w:szCs w:val="20"/>
        </w:rPr>
        <w:t>Fig. S1</w:t>
      </w:r>
      <w:r>
        <w:rPr>
          <w:rFonts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Digital photos of GNP/CA suspension standing for 24 and 48 h (from left to right are E1/C5, E1/C3, E1/C1, E3/C1and E5/C1). </w:t>
      </w:r>
    </w:p>
    <w:p>
      <w:pPr>
        <w:pStyle w:val="13"/>
        <w:ind w:right="42" w:rightChars="20"/>
        <w:jc w:val="both"/>
        <w:rPr>
          <w:rFonts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Table S1. </w:t>
      </w:r>
      <w:r>
        <w:rPr>
          <w:rFonts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C/O of EG, GNP, CA and G-C </w:t>
      </w:r>
    </w:p>
    <w:tbl>
      <w:tblPr>
        <w:tblStyle w:val="15"/>
        <w:tblW w:w="0" w:type="auto"/>
        <w:tblInd w:w="0" w:type="dxa"/>
        <w:tblBorders>
          <w:top w:val="single" w:color="000000" w:themeColor="text1" w:sz="4" w:space="0"/>
          <w:left w:val="none" w:color="auto" w:sz="0" w:space="0"/>
          <w:bottom w:val="single" w:color="000000" w:themeColor="text1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7"/>
        <w:gridCol w:w="2112"/>
        <w:gridCol w:w="2112"/>
        <w:gridCol w:w="1975"/>
      </w:tblGrid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7" w:type="dxa"/>
            <w:tcBorders>
              <w:bottom w:val="single" w:color="000000" w:themeColor="text1" w:sz="4" w:space="0"/>
              <w:insideH w:val="single" w:sz="4" w:space="0"/>
            </w:tcBorders>
          </w:tcPr>
          <w:p>
            <w:pPr>
              <w:pStyle w:val="16"/>
              <w:rPr>
                <w:rFonts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tcBorders>
              <w:bottom w:val="single" w:color="000000" w:themeColor="text1" w:sz="4" w:space="0"/>
              <w:insideH w:val="single" w:sz="4" w:space="0"/>
            </w:tcBorders>
          </w:tcPr>
          <w:p>
            <w:pPr>
              <w:pStyle w:val="16"/>
              <w:rPr>
                <w:rFonts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(at%)</w:t>
            </w:r>
          </w:p>
        </w:tc>
        <w:tc>
          <w:tcPr>
            <w:tcW w:w="2112" w:type="dxa"/>
            <w:tcBorders>
              <w:bottom w:val="single" w:color="000000" w:themeColor="text1" w:sz="4" w:space="0"/>
              <w:insideH w:val="single" w:sz="4" w:space="0"/>
            </w:tcBorders>
          </w:tcPr>
          <w:p>
            <w:pPr>
              <w:pStyle w:val="16"/>
              <w:rPr>
                <w:rFonts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O</w:t>
            </w:r>
            <w:r>
              <w:rPr>
                <w:rFonts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(at%)</w:t>
            </w:r>
          </w:p>
        </w:tc>
        <w:tc>
          <w:tcPr>
            <w:tcW w:w="1975" w:type="dxa"/>
            <w:tcBorders>
              <w:bottom w:val="single" w:color="000000" w:themeColor="text1" w:sz="4" w:space="0"/>
              <w:insideH w:val="single" w:sz="4" w:space="0"/>
            </w:tcBorders>
          </w:tcPr>
          <w:p>
            <w:pPr>
              <w:pStyle w:val="16"/>
              <w:rPr>
                <w:rFonts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/O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7" w:type="dxa"/>
          </w:tcPr>
          <w:p>
            <w:pPr>
              <w:pStyle w:val="16"/>
              <w:rPr>
                <w:rFonts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</w:t>
            </w:r>
          </w:p>
        </w:tc>
        <w:tc>
          <w:tcPr>
            <w:tcW w:w="2112" w:type="dxa"/>
          </w:tcPr>
          <w:p>
            <w:pPr>
              <w:pStyle w:val="16"/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6.41</w:t>
            </w:r>
          </w:p>
        </w:tc>
        <w:tc>
          <w:tcPr>
            <w:tcW w:w="2112" w:type="dxa"/>
          </w:tcPr>
          <w:p>
            <w:pPr>
              <w:pStyle w:val="16"/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.59</w:t>
            </w:r>
          </w:p>
        </w:tc>
        <w:tc>
          <w:tcPr>
            <w:tcW w:w="1975" w:type="dxa"/>
          </w:tcPr>
          <w:p>
            <w:pPr>
              <w:pStyle w:val="16"/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6.8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7" w:type="dxa"/>
          </w:tcPr>
          <w:p>
            <w:pPr>
              <w:pStyle w:val="16"/>
              <w:rPr>
                <w:rFonts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</w:t>
            </w:r>
            <w:r>
              <w:rPr>
                <w:rFonts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NP</w:t>
            </w:r>
          </w:p>
        </w:tc>
        <w:tc>
          <w:tcPr>
            <w:tcW w:w="2112" w:type="dxa"/>
          </w:tcPr>
          <w:p>
            <w:pPr>
              <w:pStyle w:val="16"/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0.09</w:t>
            </w:r>
          </w:p>
        </w:tc>
        <w:tc>
          <w:tcPr>
            <w:tcW w:w="2112" w:type="dxa"/>
          </w:tcPr>
          <w:p>
            <w:pPr>
              <w:pStyle w:val="16"/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.35</w:t>
            </w:r>
          </w:p>
        </w:tc>
        <w:tc>
          <w:tcPr>
            <w:tcW w:w="1975" w:type="dxa"/>
          </w:tcPr>
          <w:p>
            <w:pPr>
              <w:pStyle w:val="16"/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0.8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7" w:type="dxa"/>
          </w:tcPr>
          <w:p>
            <w:pPr>
              <w:pStyle w:val="16"/>
              <w:rPr>
                <w:rFonts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2112" w:type="dxa"/>
          </w:tcPr>
          <w:p>
            <w:pPr>
              <w:pStyle w:val="16"/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0.89</w:t>
            </w:r>
          </w:p>
        </w:tc>
        <w:tc>
          <w:tcPr>
            <w:tcW w:w="2112" w:type="dxa"/>
          </w:tcPr>
          <w:p>
            <w:pPr>
              <w:pStyle w:val="16"/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9.11</w:t>
            </w:r>
          </w:p>
        </w:tc>
        <w:tc>
          <w:tcPr>
            <w:tcW w:w="1975" w:type="dxa"/>
          </w:tcPr>
          <w:p>
            <w:pPr>
              <w:pStyle w:val="16"/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1.6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7" w:type="dxa"/>
          </w:tcPr>
          <w:p>
            <w:pPr>
              <w:pStyle w:val="16"/>
              <w:rPr>
                <w:rFonts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</w:t>
            </w:r>
            <w:r>
              <w:rPr>
                <w:rFonts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-C</w:t>
            </w:r>
          </w:p>
        </w:tc>
        <w:tc>
          <w:tcPr>
            <w:tcW w:w="2112" w:type="dxa"/>
          </w:tcPr>
          <w:p>
            <w:pPr>
              <w:pStyle w:val="16"/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3.41</w:t>
            </w:r>
          </w:p>
        </w:tc>
        <w:tc>
          <w:tcPr>
            <w:tcW w:w="2112" w:type="dxa"/>
          </w:tcPr>
          <w:p>
            <w:pPr>
              <w:pStyle w:val="16"/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.59</w:t>
            </w:r>
          </w:p>
        </w:tc>
        <w:tc>
          <w:tcPr>
            <w:tcW w:w="1975" w:type="dxa"/>
          </w:tcPr>
          <w:p>
            <w:pPr>
              <w:pStyle w:val="16"/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4.2</w:t>
            </w:r>
          </w:p>
        </w:tc>
      </w:tr>
    </w:tbl>
    <w:p>
      <w:pPr>
        <w:pStyle w:val="13"/>
        <w:ind w:right="42" w:rightChars="20"/>
        <w:jc w:val="both"/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11"/>
        <w:ind w:right="42" w:rightChars="20"/>
        <w:rPr>
          <w:rFonts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T</w:t>
      </w:r>
      <w:r>
        <w:rPr>
          <w:rFonts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able S2. </w:t>
      </w:r>
      <w:r>
        <w:rPr>
          <w:rFonts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Surface resistivity of graphene- or GNP-based composite</w:t>
      </w:r>
      <w:r>
        <w:rPr>
          <w:rFonts w:hint="eastAsia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s</w:t>
      </w:r>
      <w:r>
        <w:rPr>
          <w:rFonts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.</w:t>
      </w:r>
    </w:p>
    <w:tbl>
      <w:tblPr>
        <w:tblStyle w:val="15"/>
        <w:tblW w:w="0" w:type="auto"/>
        <w:tblInd w:w="0" w:type="dxa"/>
        <w:tblBorders>
          <w:top w:val="single" w:color="000000" w:themeColor="text1" w:sz="4" w:space="0"/>
          <w:left w:val="none" w:color="auto" w:sz="0" w:space="0"/>
          <w:bottom w:val="single" w:color="000000" w:themeColor="text1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6"/>
        <w:gridCol w:w="1698"/>
        <w:gridCol w:w="1294"/>
        <w:gridCol w:w="1591"/>
        <w:gridCol w:w="1303"/>
      </w:tblGrid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  <w:tcBorders>
              <w:bottom w:val="single" w:color="000000" w:themeColor="text1" w:sz="4" w:space="0"/>
              <w:insideH w:val="single" w:sz="4" w:space="0"/>
            </w:tcBorders>
          </w:tcPr>
          <w:p>
            <w:pPr>
              <w:pStyle w:val="11"/>
              <w:spacing w:line="240" w:lineRule="auto"/>
              <w:ind w:right="42" w:rightChars="20"/>
              <w:jc w:val="center"/>
              <w:rPr>
                <w:rFonts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Matrix</w:t>
            </w:r>
          </w:p>
        </w:tc>
        <w:tc>
          <w:tcPr>
            <w:tcW w:w="1722" w:type="dxa"/>
            <w:tcBorders>
              <w:bottom w:val="single" w:color="000000" w:themeColor="text1" w:sz="4" w:space="0"/>
              <w:insideH w:val="single" w:sz="4" w:space="0"/>
            </w:tcBorders>
          </w:tcPr>
          <w:p>
            <w:pPr>
              <w:pStyle w:val="11"/>
              <w:spacing w:line="240" w:lineRule="auto"/>
              <w:ind w:right="42" w:rightChars="20" w:firstLine="100" w:firstLineChars="50"/>
              <w:jc w:val="center"/>
              <w:rPr>
                <w:rFonts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Filler</w:t>
            </w:r>
          </w:p>
        </w:tc>
        <w:tc>
          <w:tcPr>
            <w:tcW w:w="1318" w:type="dxa"/>
            <w:tcBorders>
              <w:bottom w:val="single" w:color="000000" w:themeColor="text1" w:sz="4" w:space="0"/>
              <w:insideH w:val="single" w:sz="4" w:space="0"/>
            </w:tcBorders>
          </w:tcPr>
          <w:p>
            <w:pPr>
              <w:pStyle w:val="11"/>
              <w:spacing w:line="240" w:lineRule="auto"/>
              <w:ind w:right="42" w:rightChars="20"/>
              <w:jc w:val="center"/>
              <w:rPr>
                <w:rFonts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Filler content (</w:t>
            </w:r>
            <w:r>
              <w:rPr>
                <w:rFonts w:hint="eastAsia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wt</w:t>
            </w:r>
            <w:r>
              <w:rPr>
                <w:rFonts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  <w:tc>
          <w:tcPr>
            <w:tcW w:w="1621" w:type="dxa"/>
            <w:tcBorders>
              <w:bottom w:val="single" w:color="000000" w:themeColor="text1" w:sz="4" w:space="0"/>
              <w:insideH w:val="single" w:sz="4" w:space="0"/>
            </w:tcBorders>
          </w:tcPr>
          <w:p>
            <w:pPr>
              <w:pStyle w:val="11"/>
              <w:spacing w:line="240" w:lineRule="auto"/>
              <w:ind w:right="42" w:rightChars="20"/>
              <w:jc w:val="center"/>
              <w:rPr>
                <w:rFonts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Surface resistivity (Ω/sq.)</w:t>
            </w:r>
          </w:p>
        </w:tc>
        <w:tc>
          <w:tcPr>
            <w:tcW w:w="1278" w:type="dxa"/>
            <w:tcBorders>
              <w:bottom w:val="single" w:color="000000" w:themeColor="text1" w:sz="4" w:space="0"/>
              <w:insideH w:val="single" w:sz="4" w:space="0"/>
            </w:tcBorders>
          </w:tcPr>
          <w:p>
            <w:pPr>
              <w:pStyle w:val="11"/>
              <w:spacing w:line="240" w:lineRule="auto"/>
              <w:ind w:right="42" w:rightChars="20"/>
              <w:jc w:val="center"/>
              <w:rPr>
                <w:rFonts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</w:t>
            </w:r>
            <w:r>
              <w:rPr>
                <w:rFonts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ef.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</w:tcPr>
          <w:p>
            <w:pPr>
              <w:pStyle w:val="11"/>
              <w:spacing w:line="240" w:lineRule="auto"/>
              <w:ind w:right="42" w:rightChars="20"/>
              <w:jc w:val="left"/>
              <w:rPr>
                <w:rFonts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Epoxy</w:t>
            </w:r>
          </w:p>
        </w:tc>
        <w:tc>
          <w:tcPr>
            <w:tcW w:w="1722" w:type="dxa"/>
          </w:tcPr>
          <w:p>
            <w:pPr>
              <w:pStyle w:val="11"/>
              <w:spacing w:line="240" w:lineRule="auto"/>
              <w:ind w:right="42" w:rightChars="20"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Graphene nanoplatelet</w:t>
            </w:r>
          </w:p>
        </w:tc>
        <w:tc>
          <w:tcPr>
            <w:tcW w:w="1318" w:type="dxa"/>
          </w:tcPr>
          <w:p>
            <w:pPr>
              <w:pStyle w:val="11"/>
              <w:spacing w:line="240" w:lineRule="auto"/>
              <w:ind w:right="42" w:rightChars="20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1621" w:type="dxa"/>
          </w:tcPr>
          <w:p>
            <w:pPr>
              <w:pStyle w:val="11"/>
              <w:spacing w:line="240" w:lineRule="auto"/>
              <w:ind w:right="42" w:rightChars="20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5.38×10</w:t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278" w:type="dxa"/>
          </w:tcPr>
          <w:p>
            <w:pPr>
              <w:pStyle w:val="11"/>
              <w:spacing w:line="240" w:lineRule="auto"/>
              <w:ind w:right="42" w:rightChars="20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instrText xml:space="preserve"> ADDIN EN.CITE &lt;EndNote&gt;&lt;Cite&gt;&lt;Author&gt;Qi&lt;/Author&gt;&lt;Year&gt;2021&lt;/Year&gt;&lt;RecNum&gt;67&lt;/RecNum&gt;&lt;DisplayText&gt;(Qi et al. 2021)&lt;/DisplayText&gt;&lt;record&gt;&lt;rec-number&gt;67&lt;/rec-number&gt;&lt;foreign-keys&gt;&lt;key app="EN" db-id="xs2ddstflwdxpbed2t3ppfa00r5fwxeveta9" timestamp="1669519121"&gt;67&lt;/key&gt;&lt;key app="ENWeb" db-id=""&gt;0&lt;/key&gt;&lt;/foreign-keys&gt;&lt;ref-type name="Journal Article"&gt;17&lt;/ref-type&gt;&lt;contributors&gt;&lt;authors&gt;&lt;author&gt;Qi, Bing&lt;/author&gt;&lt;author&gt;Yao, Tai-Ping&lt;/author&gt;&lt;author&gt;Zhang, Yu-Dong&lt;/author&gt;&lt;author&gt;Shang, Hai-Kun&lt;/author&gt;&lt;/authors&gt;&lt;/contributors&gt;&lt;titles&gt;&lt;title&gt;Endowing the sustainable antistatic properties to epoxy-based composites through adding graphene nanoplatelets&lt;/title&gt;&lt;secondary-title&gt;Journal of Cleaner Production&lt;/secondary-title&gt;&lt;/titles&gt;&lt;periodical&gt;&lt;full-title&gt;Journal of Cleaner Production&lt;/full-title&gt;&lt;abbr-1&gt;J. Clean. Prod.&lt;/abbr-1&gt;&lt;abbr-2&gt;J Clean Prod&lt;/abbr-2&gt;&lt;/periodical&gt;&lt;volume&gt;281&lt;/volume&gt;&lt;section&gt;124594&lt;/section&gt;&lt;dates&gt;&lt;year&gt;2021&lt;/year&gt;&lt;/dates&gt;&lt;isbn&gt;09596526&lt;/isbn&gt;&lt;urls&gt;&lt;/urls&gt;&lt;electronic-resource-num&gt;10.1016/j.jclepro.2020.124594&lt;/electronic-resource-num&gt;&lt;/record&gt;&lt;/Cite&gt;&lt;/EndNote&gt;</w:instrText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(Qi et al. 2021)</w:t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</w:tcPr>
          <w:p>
            <w:pPr>
              <w:pStyle w:val="11"/>
              <w:spacing w:line="240" w:lineRule="auto"/>
              <w:ind w:right="42" w:rightChars="20"/>
              <w:jc w:val="left"/>
              <w:rPr>
                <w:rFonts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Poly(vinyl chloride)</w:t>
            </w:r>
          </w:p>
        </w:tc>
        <w:tc>
          <w:tcPr>
            <w:tcW w:w="1722" w:type="dxa"/>
          </w:tcPr>
          <w:p>
            <w:pPr>
              <w:pStyle w:val="11"/>
              <w:spacing w:line="240" w:lineRule="auto"/>
              <w:ind w:right="42" w:rightChars="20"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Multi-layer graphene</w:t>
            </w:r>
          </w:p>
        </w:tc>
        <w:tc>
          <w:tcPr>
            <w:tcW w:w="1318" w:type="dxa"/>
          </w:tcPr>
          <w:p>
            <w:pPr>
              <w:pStyle w:val="11"/>
              <w:spacing w:line="240" w:lineRule="auto"/>
              <w:ind w:right="42" w:rightChars="20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3.5</w:t>
            </w:r>
          </w:p>
        </w:tc>
        <w:tc>
          <w:tcPr>
            <w:tcW w:w="1621" w:type="dxa"/>
          </w:tcPr>
          <w:p>
            <w:pPr>
              <w:pStyle w:val="11"/>
              <w:spacing w:line="240" w:lineRule="auto"/>
              <w:ind w:right="42" w:rightChars="20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3×10</w:t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278" w:type="dxa"/>
          </w:tcPr>
          <w:p>
            <w:pPr>
              <w:pStyle w:val="11"/>
              <w:spacing w:line="240" w:lineRule="auto"/>
              <w:ind w:right="42" w:rightChars="20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instrText xml:space="preserve"> ADDIN EN.CITE &lt;EndNote&gt;&lt;Cite&gt;&lt;Author&gt;Wang&lt;/Author&gt;&lt;Year&gt;2015&lt;/Year&gt;&lt;RecNum&gt;68&lt;/RecNum&gt;&lt;DisplayText&gt;(Wang et al. 2015)&lt;/DisplayText&gt;&lt;record&gt;&lt;rec-number&gt;68&lt;/rec-number&gt;&lt;foreign-keys&gt;&lt;key app="EN" db-id="xs2ddstflwdxpbed2t3ppfa00r5fwxeveta9" timestamp="1669520512"&gt;68&lt;/key&gt;&lt;key app="ENWeb" db-id=""&gt;0&lt;/key&gt;&lt;/foreign-keys&gt;&lt;ref-type name="Journal Article"&gt;17&lt;/ref-type&gt;&lt;contributors&gt;&lt;authors&gt;&lt;author&gt;Wang, Han&lt;/author&gt;&lt;author&gt;Xie, Guiyuan&lt;/author&gt;&lt;author&gt;Fang, Minghe&lt;/author&gt;&lt;author&gt;Ying, Zhe&lt;/author&gt;&lt;author&gt;Tong, Yu&lt;/author&gt;&lt;author&gt;Zeng, You&lt;/author&gt;&lt;/authors&gt;&lt;/contributors&gt;&lt;titles&gt;&lt;title&gt;Electrical and mechanical properties of antistatic PVC films containing multi-layer graphene&lt;/title&gt;&lt;secondary-title&gt;Composites Part B: Engineering&lt;/secondary-title&gt;&lt;/titles&gt;&lt;periodical&gt;&lt;full-title&gt;Composites Part B: Engineering&lt;/full-title&gt;&lt;abbr-1&gt;Composites Part B&lt;/abbr-1&gt;&lt;abbr-2&gt;Composites Part B&lt;/abbr-2&gt;&lt;/periodical&gt;&lt;pages&gt;444-450&lt;/pages&gt;&lt;volume&gt;79&lt;/volume&gt;&lt;section&gt;444&lt;/section&gt;&lt;dates&gt;&lt;year&gt;2015&lt;/year&gt;&lt;/dates&gt;&lt;isbn&gt;13598368&lt;/isbn&gt;&lt;urls&gt;&lt;/urls&gt;&lt;electronic-resource-num&gt;10.1016/j.compositesb.2015.05.011&lt;/electronic-resource-num&gt;&lt;/record&gt;&lt;/Cite&gt;&lt;/EndNote&gt;</w:instrText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(Wang et al. 2015)</w:t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</w:tcPr>
          <w:p>
            <w:pPr>
              <w:pStyle w:val="11"/>
              <w:spacing w:line="240" w:lineRule="auto"/>
              <w:ind w:right="42" w:rightChars="20"/>
              <w:jc w:val="left"/>
              <w:rPr>
                <w:rFonts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Poly(vinyl chloride)</w:t>
            </w:r>
          </w:p>
        </w:tc>
        <w:tc>
          <w:tcPr>
            <w:tcW w:w="1722" w:type="dxa"/>
          </w:tcPr>
          <w:p>
            <w:pPr>
              <w:pStyle w:val="11"/>
              <w:spacing w:line="240" w:lineRule="auto"/>
              <w:ind w:right="42" w:rightChars="20"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Graphene nanoplatelet</w:t>
            </w:r>
          </w:p>
        </w:tc>
        <w:tc>
          <w:tcPr>
            <w:tcW w:w="1318" w:type="dxa"/>
          </w:tcPr>
          <w:p>
            <w:pPr>
              <w:pStyle w:val="11"/>
              <w:spacing w:line="240" w:lineRule="auto"/>
              <w:ind w:right="42" w:rightChars="20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21" w:type="dxa"/>
          </w:tcPr>
          <w:p>
            <w:pPr>
              <w:pStyle w:val="11"/>
              <w:spacing w:line="240" w:lineRule="auto"/>
              <w:ind w:right="42" w:rightChars="20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.5×10</w:t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278" w:type="dxa"/>
          </w:tcPr>
          <w:p>
            <w:pPr>
              <w:pStyle w:val="11"/>
              <w:spacing w:line="240" w:lineRule="auto"/>
              <w:ind w:right="42" w:rightChars="20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instrText xml:space="preserve"> ADDIN EN.CITE &lt;EndNote&gt;&lt;Cite&gt;&lt;Author&gt;Wei&lt;/Author&gt;&lt;Year&gt;2018&lt;/Year&gt;&lt;RecNum&gt;69&lt;/RecNum&gt;&lt;DisplayText&gt;(Wei et al. 2018)&lt;/DisplayText&gt;&lt;record&gt;&lt;rec-number&gt;69&lt;/rec-number&gt;&lt;foreign-keys&gt;&lt;key app="EN" db-id="xs2ddstflwdxpbed2t3ppfa00r5fwxeveta9" timestamp="1669520621"&gt;69&lt;/key&gt;&lt;key app="ENWeb" db-id=""&gt;0&lt;/key&gt;&lt;/foreign-keys&gt;&lt;ref-type name="Journal Article"&gt;17&lt;/ref-type&gt;&lt;contributors&gt;&lt;authors&gt;&lt;author&gt;Wei, Zi-Bo&lt;/author&gt;&lt;author&gt;Zhao, Yang&lt;/author&gt;&lt;author&gt;Wang, Chao&lt;/author&gt;&lt;author&gt;Kuga, Shigenori&lt;/author&gt;&lt;author&gt;Huang, Yong&lt;/author&gt;&lt;author&gt;Wu, Min&lt;/author&gt;&lt;/authors&gt;&lt;/contributors&gt;&lt;titles&gt;&lt;title&gt;Antistatic PVC-graphene Composite through Plasticizer-mediated Exfoliation of Graphite&lt;/title&gt;&lt;secondary-title&gt;Chinese Journal of Polymer Science&lt;/secondary-title&gt;&lt;/titles&gt;&lt;periodical&gt;&lt;full-title&gt;Chinese Journal of Polymer Science&lt;/full-title&gt;&lt;abbr-1&gt;Chin. J. Polym. Sci.&lt;/abbr-1&gt;&lt;abbr-2&gt;Chin J Polym Sci&lt;/abbr-2&gt;&lt;/periodical&gt;&lt;pages&gt;1361-1367&lt;/pages&gt;&lt;volume&gt;36&lt;/volume&gt;&lt;number&gt;12&lt;/number&gt;&lt;section&gt;1361&lt;/section&gt;&lt;dates&gt;&lt;year&gt;2018&lt;/year&gt;&lt;/dates&gt;&lt;isbn&gt;0256-7679&amp;#xD;1439-6203&lt;/isbn&gt;&lt;urls&gt;&lt;/urls&gt;&lt;electronic-resource-num&gt;10.1007/s10118-018-2160-5&lt;/electronic-resource-num&gt;&lt;/record&gt;&lt;/Cite&gt;&lt;/EndNote&gt;</w:instrText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(Wei et al. 2018)</w:t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</w:tcPr>
          <w:p>
            <w:pPr>
              <w:pStyle w:val="11"/>
              <w:spacing w:line="240" w:lineRule="auto"/>
              <w:ind w:right="42" w:rightChars="20"/>
              <w:jc w:val="left"/>
              <w:rPr>
                <w:rFonts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Methyl-tri-n-butylammonium methylsulfate + acrylic polymer</w:t>
            </w:r>
          </w:p>
        </w:tc>
        <w:tc>
          <w:tcPr>
            <w:tcW w:w="1722" w:type="dxa"/>
          </w:tcPr>
          <w:p>
            <w:pPr>
              <w:pStyle w:val="11"/>
              <w:spacing w:line="240" w:lineRule="auto"/>
              <w:ind w:right="42" w:rightChars="20"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Graphene nanoplatelet</w:t>
            </w:r>
          </w:p>
        </w:tc>
        <w:tc>
          <w:tcPr>
            <w:tcW w:w="1318" w:type="dxa"/>
          </w:tcPr>
          <w:p>
            <w:pPr>
              <w:pStyle w:val="11"/>
              <w:spacing w:line="240" w:lineRule="auto"/>
              <w:ind w:right="42" w:rightChars="20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.01</w:t>
            </w:r>
          </w:p>
        </w:tc>
        <w:tc>
          <w:tcPr>
            <w:tcW w:w="1621" w:type="dxa"/>
          </w:tcPr>
          <w:p>
            <w:pPr>
              <w:pStyle w:val="11"/>
              <w:spacing w:line="240" w:lineRule="auto"/>
              <w:ind w:right="42" w:rightChars="20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.9×10</w:t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78" w:type="dxa"/>
          </w:tcPr>
          <w:p>
            <w:pPr>
              <w:pStyle w:val="11"/>
              <w:spacing w:line="240" w:lineRule="auto"/>
              <w:ind w:right="42" w:rightChars="20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instrText xml:space="preserve"> ADDIN EN.CITE &lt;EndNote&gt;&lt;Cite&gt;&lt;Author&gt;Seki&lt;/Author&gt;&lt;Year&gt;2019&lt;/Year&gt;&lt;RecNum&gt;71&lt;/RecNum&gt;&lt;DisplayText&gt;(Seki et al. 2019)&lt;/DisplayText&gt;&lt;record&gt;&lt;rec-number&gt;71&lt;/rec-number&gt;&lt;foreign-keys&gt;&lt;key app="EN" db-id="xs2ddstflwdxpbed2t3ppfa00r5fwxeveta9" timestamp="1669520862"&gt;71&lt;/key&gt;&lt;key app="ENWeb" db-id=""&gt;0&lt;/key&gt;&lt;/foreign-keys&gt;&lt;ref-type name="Journal Article"&gt;17&lt;/ref-type&gt;&lt;contributors&gt;&lt;authors&gt;&lt;author&gt;Seki, Yoldas&lt;/author&gt;&lt;author&gt;Ince, Murat&lt;/author&gt;&lt;author&gt;Yıldız, Nilüfer&lt;/author&gt;&lt;author&gt;Seki, Yasemin&lt;/author&gt;&lt;author&gt;Ergül, Okan&lt;/author&gt;&lt;author&gt;Sever, Kutlay&lt;/author&gt;&lt;author&gt;Sarıkanat, Mehmet&lt;/author&gt;&lt;/authors&gt;&lt;/contributors&gt;&lt;titles&gt;&lt;title&gt;The effect of methyl-tri-n-butylammonium methylsulfate and graphite nanoplates on production of antistatic acrylic polymer&lt;/title&gt;&lt;secondary-title&gt;Polymer-Plastics Technology and Materials&lt;/secondary-title&gt;&lt;/titles&gt;&lt;periodical&gt;&lt;full-title&gt;Polymer-Plastics Technology and Materials&lt;/full-title&gt;&lt;abbr-1&gt;Polym.-Plast. Technol. Mater.&lt;/abbr-1&gt;&lt;abbr-2&gt;Polym-Plast Technol Mater&lt;/abbr-2&gt;&lt;/periodical&gt;&lt;pages&gt;1471-1479&lt;/pages&gt;&lt;volume&gt;58&lt;/volume&gt;&lt;number&gt;13&lt;/number&gt;&lt;section&gt;1471&lt;/section&gt;&lt;dates&gt;&lt;year&gt;2019&lt;/year&gt;&lt;/dates&gt;&lt;isbn&gt;2574-0881&amp;#xD;2574-089X&lt;/isbn&gt;&lt;urls&gt;&lt;/urls&gt;&lt;electronic-resource-num&gt;10.1080/25740881.2018.1563129&lt;/electronic-resource-num&gt;&lt;/record&gt;&lt;/Cite&gt;&lt;/EndNote&gt;</w:instrText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(Seki et al. 2019)</w:t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</w:tcPr>
          <w:p>
            <w:pPr>
              <w:pStyle w:val="11"/>
              <w:spacing w:line="240" w:lineRule="auto"/>
              <w:ind w:right="42" w:rightChars="20"/>
              <w:jc w:val="left"/>
              <w:rPr>
                <w:rFonts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Polyester Fabric</w:t>
            </w:r>
          </w:p>
        </w:tc>
        <w:tc>
          <w:tcPr>
            <w:tcW w:w="1722" w:type="dxa"/>
          </w:tcPr>
          <w:p>
            <w:pPr>
              <w:pStyle w:val="11"/>
              <w:spacing w:line="240" w:lineRule="auto"/>
              <w:ind w:right="42" w:rightChars="20"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Graphene oxide</w:t>
            </w:r>
          </w:p>
        </w:tc>
        <w:tc>
          <w:tcPr>
            <w:tcW w:w="1318" w:type="dxa"/>
          </w:tcPr>
          <w:p>
            <w:pPr>
              <w:pStyle w:val="11"/>
              <w:spacing w:line="240" w:lineRule="auto"/>
              <w:ind w:right="42" w:rightChars="20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21" w:type="dxa"/>
          </w:tcPr>
          <w:p>
            <w:pPr>
              <w:pStyle w:val="11"/>
              <w:spacing w:line="240" w:lineRule="auto"/>
              <w:ind w:right="42" w:rightChars="20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9.8×10</w:t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278" w:type="dxa"/>
          </w:tcPr>
          <w:p>
            <w:pPr>
              <w:pStyle w:val="11"/>
              <w:spacing w:line="240" w:lineRule="auto"/>
              <w:ind w:right="42" w:rightChars="20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instrText xml:space="preserve"> ADDIN EN.CITE &lt;EndNote&gt;&lt;Cite&gt;&lt;Author&gt;Fan&lt;/Author&gt;&lt;Year&gt;2019&lt;/Year&gt;&lt;RecNum&gt;72&lt;/RecNum&gt;&lt;DisplayText&gt;(Fan et al. 2019)&lt;/DisplayText&gt;&lt;record&gt;&lt;rec-number&gt;72&lt;/rec-number&gt;&lt;foreign-keys&gt;&lt;key app="EN" db-id="xs2ddstflwdxpbed2t3ppfa00r5fwxeveta9" timestamp="1669521013"&gt;72&lt;/key&gt;&lt;key app="ENWeb" db-id=""&gt;0&lt;/key&gt;&lt;/foreign-keys&gt;&lt;ref-type name="Journal Article"&gt;17&lt;/ref-type&gt;&lt;contributors&gt;&lt;authors&gt;&lt;author&gt;Fan, Lihua&lt;/author&gt;&lt;author&gt;Tan, Yongsong&lt;/author&gt;&lt;author&gt;Amesimeku, Jeremiah&lt;/author&gt;&lt;author&gt;Yin, Yunjie&lt;/author&gt;&lt;author&gt;Wang, Chaoxia&lt;/author&gt;&lt;/authors&gt;&lt;/contributors&gt;&lt;titles&gt;&lt;title&gt;A novel functional disperse dye doped with graphene oxide for improving antistatic properties of polyester fabric using one-bath dyeing method&lt;/title&gt;&lt;secondary-title&gt;Textile Research Journal&lt;/secondary-title&gt;&lt;/titles&gt;&lt;periodical&gt;&lt;full-title&gt;Textile Research Journal&lt;/full-title&gt;&lt;abbr-2&gt;Text Res J&lt;/abbr-2&gt;&lt;/periodical&gt;&lt;pages&gt;655-665&lt;/pages&gt;&lt;volume&gt;90&lt;/volume&gt;&lt;number&gt;5-6&lt;/number&gt;&lt;section&gt;655&lt;/section&gt;&lt;dates&gt;&lt;year&gt;2019&lt;/year&gt;&lt;/dates&gt;&lt;isbn&gt;0040-5175&amp;#xD;1746-7748&lt;/isbn&gt;&lt;urls&gt;&lt;/urls&gt;&lt;electronic-resource-num&gt;10.1177/0040517519877464&lt;/electronic-resource-num&gt;&lt;/record&gt;&lt;/Cite&gt;&lt;/EndNote&gt;</w:instrText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(Fan et al. 2019)</w:t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</w:tcPr>
          <w:p>
            <w:pPr>
              <w:pStyle w:val="11"/>
              <w:spacing w:line="240" w:lineRule="auto"/>
              <w:ind w:right="42" w:rightChars="20"/>
              <w:jc w:val="left"/>
              <w:rPr>
                <w:rFonts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High-density polyethylene</w:t>
            </w:r>
          </w:p>
        </w:tc>
        <w:tc>
          <w:tcPr>
            <w:tcW w:w="1722" w:type="dxa"/>
          </w:tcPr>
          <w:p>
            <w:pPr>
              <w:pStyle w:val="11"/>
              <w:spacing w:line="240" w:lineRule="auto"/>
              <w:ind w:right="42" w:rightChars="20"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Polyaniline</w:t>
            </w:r>
          </w:p>
          <w:p>
            <w:pPr>
              <w:pStyle w:val="11"/>
              <w:spacing w:line="240" w:lineRule="auto"/>
              <w:ind w:right="42" w:rightChars="20"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encapsulated graphene nanoplatelet</w:t>
            </w:r>
          </w:p>
        </w:tc>
        <w:tc>
          <w:tcPr>
            <w:tcW w:w="1318" w:type="dxa"/>
          </w:tcPr>
          <w:p>
            <w:pPr>
              <w:pStyle w:val="11"/>
              <w:spacing w:line="240" w:lineRule="auto"/>
              <w:ind w:right="42" w:rightChars="20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621" w:type="dxa"/>
          </w:tcPr>
          <w:p>
            <w:pPr>
              <w:pStyle w:val="11"/>
              <w:spacing w:line="240" w:lineRule="auto"/>
              <w:ind w:right="42" w:rightChars="20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2.88×10</w:t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278" w:type="dxa"/>
          </w:tcPr>
          <w:p>
            <w:pPr>
              <w:pStyle w:val="11"/>
              <w:spacing w:line="240" w:lineRule="auto"/>
              <w:ind w:right="42" w:rightChars="20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instrText xml:space="preserve"> ADDIN EN.CITE &lt;EndNote&gt;&lt;Cite&gt;&lt;Author&gt;Wang&lt;/Author&gt;&lt;Year&gt;2017&lt;/Year&gt;&lt;RecNum&gt;73&lt;/RecNum&gt;&lt;DisplayText&gt;(Wang et al. 2017)&lt;/DisplayText&gt;&lt;record&gt;&lt;rec-number&gt;73&lt;/rec-number&gt;&lt;foreign-keys&gt;&lt;key app="EN" db-id="xs2ddstflwdxpbed2t3ppfa00r5fwxeveta9" timestamp="1669521035"&gt;73&lt;/key&gt;&lt;key app="ENWeb" db-id=""&gt;0&lt;/key&gt;&lt;/foreign-keys&gt;&lt;ref-type name="Journal Article"&gt;17&lt;/ref-type&gt;&lt;contributors&gt;&lt;authors&gt;&lt;author&gt;Wang, Quan&lt;/author&gt;&lt;author&gt;Wang, Yuming&lt;/author&gt;&lt;author&gt;Meng, Qingguo&lt;/author&gt;&lt;author&gt;Wang, Tinglan&lt;/author&gt;&lt;author&gt;Guo, Weihong&lt;/author&gt;&lt;author&gt;Wu, Genhua&lt;/author&gt;&lt;author&gt;You, Li&lt;/author&gt;&lt;/authors&gt;&lt;/contributors&gt;&lt;titles&gt;&lt;title&gt;Preparation of high antistatic HDPE/polyaniline encapsulated graphene nanoplatelet composites by solution blending&lt;/title&gt;&lt;secondary-title&gt;RSC Advances&lt;/secondary-title&gt;&lt;/titles&gt;&lt;periodical&gt;&lt;full-title&gt;RSC Advances&lt;/full-title&gt;&lt;abbr-1&gt;RSC Adv.&lt;/abbr-1&gt;&lt;abbr-2&gt;RSC Adv&lt;/abbr-2&gt;&lt;/periodical&gt;&lt;pages&gt;2796-2803&lt;/pages&gt;&lt;volume&gt;7&lt;/volume&gt;&lt;number&gt;5&lt;/number&gt;&lt;section&gt;2796&lt;/section&gt;&lt;dates&gt;&lt;year&gt;2017&lt;/year&gt;&lt;/dates&gt;&lt;isbn&gt;2046-2069&lt;/isbn&gt;&lt;urls&gt;&lt;/urls&gt;&lt;electronic-resource-num&gt;10.1039/c6ra26458a&lt;/electronic-resource-num&gt;&lt;/record&gt;&lt;/Cite&gt;&lt;/EndNote&gt;</w:instrText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(Wang et al. 2017)</w:t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</w:tcPr>
          <w:p>
            <w:pPr>
              <w:pStyle w:val="11"/>
              <w:spacing w:line="240" w:lineRule="auto"/>
              <w:ind w:right="42" w:rightChars="20"/>
              <w:jc w:val="left"/>
              <w:rPr>
                <w:rFonts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Polyaniline</w:t>
            </w:r>
          </w:p>
        </w:tc>
        <w:tc>
          <w:tcPr>
            <w:tcW w:w="1722" w:type="dxa"/>
          </w:tcPr>
          <w:p>
            <w:pPr>
              <w:pStyle w:val="11"/>
              <w:spacing w:line="240" w:lineRule="auto"/>
              <w:ind w:right="42" w:rightChars="20"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Cationic reduced graphene oxide</w:t>
            </w:r>
          </w:p>
        </w:tc>
        <w:tc>
          <w:tcPr>
            <w:tcW w:w="1318" w:type="dxa"/>
          </w:tcPr>
          <w:p>
            <w:pPr>
              <w:pStyle w:val="11"/>
              <w:spacing w:line="240" w:lineRule="auto"/>
              <w:ind w:right="42" w:rightChars="20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21" w:type="dxa"/>
          </w:tcPr>
          <w:p>
            <w:pPr>
              <w:pStyle w:val="11"/>
              <w:spacing w:line="240" w:lineRule="auto"/>
              <w:ind w:right="42" w:rightChars="20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9.8×10</w:t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278" w:type="dxa"/>
          </w:tcPr>
          <w:p>
            <w:pPr>
              <w:pStyle w:val="11"/>
              <w:spacing w:line="240" w:lineRule="auto"/>
              <w:ind w:right="42" w:rightChars="20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instrText xml:space="preserve"> ADDIN EN.CITE &lt;EndNote&gt;&lt;Cite&gt;&lt;Author&gt;Mirmohseni&lt;/Author&gt;&lt;Year&gt;2020&lt;/Year&gt;&lt;RecNum&gt;74&lt;/RecNum&gt;&lt;DisplayText&gt;(Mirmohseni et al. 2020)&lt;/DisplayText&gt;&lt;record&gt;&lt;rec-number&gt;74&lt;/rec-number&gt;&lt;foreign-keys&gt;&lt;key app="EN" db-id="xs2ddstflwdxpbed2t3ppfa00r5fwxeveta9" timestamp="1669521137"&gt;74&lt;/key&gt;&lt;key app="ENWeb" db-id=""&gt;0&lt;/key&gt;&lt;/foreign-keys&gt;&lt;ref-type name="Journal Article"&gt;17&lt;/ref-type&gt;&lt;contributors&gt;&lt;authors&gt;&lt;author&gt;Mirmohseni, Abdolreza&lt;/author&gt;&lt;author&gt;Azizi, Maryam&lt;/author&gt;&lt;author&gt;Dorraji, Mir Saeed Seyed&lt;/author&gt;&lt;/authors&gt;&lt;/contributors&gt;&lt;titles&gt;&lt;title&gt;Cationic graphene oxide nanosheets intercalated with polyaniline nanofibers: A promising candidate for simultaneous anticorrosion, antistatic, and antibacterial applications&lt;/title&gt;&lt;secondary-title&gt;Progress in Organic Coatings&lt;/secondary-title&gt;&lt;/titles&gt;&lt;periodical&gt;&lt;full-title&gt;Progress in Organic Coatings&lt;/full-title&gt;&lt;abbr-1&gt;Prog. Org. Coat.&lt;/abbr-1&gt;&lt;abbr-2&gt;Prog Org Coat&lt;/abbr-2&gt;&lt;/periodical&gt;&lt;volume&gt;139&lt;/volume&gt;&lt;section&gt;105419&lt;/section&gt;&lt;dates&gt;&lt;year&gt;2020&lt;/year&gt;&lt;/dates&gt;&lt;isbn&gt;03009440&lt;/isbn&gt;&lt;urls&gt;&lt;/urls&gt;&lt;electronic-resource-num&gt;10.1016/j.porgcoat.2019.105419&lt;/electronic-resource-num&gt;&lt;/record&gt;&lt;/Cite&gt;&lt;/EndNote&gt;</w:instrText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(Mirmohseni et al. 2020)</w:t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</w:tcPr>
          <w:p>
            <w:pPr>
              <w:pStyle w:val="11"/>
              <w:spacing w:line="240" w:lineRule="auto"/>
              <w:ind w:right="42" w:rightChars="20"/>
              <w:jc w:val="left"/>
              <w:rPr>
                <w:rFonts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Cotton fabrics</w:t>
            </w:r>
          </w:p>
        </w:tc>
        <w:tc>
          <w:tcPr>
            <w:tcW w:w="1722" w:type="dxa"/>
          </w:tcPr>
          <w:p>
            <w:pPr>
              <w:pStyle w:val="11"/>
              <w:spacing w:line="240" w:lineRule="auto"/>
              <w:ind w:right="42" w:rightChars="20"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Graphene</w:t>
            </w:r>
          </w:p>
        </w:tc>
        <w:tc>
          <w:tcPr>
            <w:tcW w:w="1318" w:type="dxa"/>
          </w:tcPr>
          <w:p>
            <w:pPr>
              <w:pStyle w:val="11"/>
              <w:spacing w:line="240" w:lineRule="auto"/>
              <w:ind w:right="42" w:rightChars="20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1621" w:type="dxa"/>
          </w:tcPr>
          <w:p>
            <w:pPr>
              <w:pStyle w:val="11"/>
              <w:spacing w:line="240" w:lineRule="auto"/>
              <w:ind w:right="42" w:rightChars="20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3×10</w:t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8" w:type="dxa"/>
          </w:tcPr>
          <w:p>
            <w:pPr>
              <w:pStyle w:val="11"/>
              <w:spacing w:line="240" w:lineRule="auto"/>
              <w:ind w:right="42" w:rightChars="20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instrText xml:space="preserve"> ADDIN EN.CITE &lt;EndNote&gt;&lt;Cite&gt;&lt;Author&gt;Kowalczyk&lt;/Author&gt;&lt;Year&gt;2017&lt;/Year&gt;&lt;RecNum&gt;76&lt;/RecNum&gt;&lt;DisplayText&gt;(Kowalczyk et al. 2017)&lt;/DisplayText&gt;&lt;record&gt;&lt;rec-number&gt;76&lt;/rec-number&gt;&lt;foreign-keys&gt;&lt;key app="EN" db-id="xs2ddstflwdxpbed2t3ppfa00r5fwxeveta9" timestamp="1669521452"&gt;76&lt;/key&gt;&lt;key app="ENWeb" db-id=""&gt;0&lt;/key&gt;&lt;/foreign-keys&gt;&lt;ref-type name="Journal Article"&gt;17&lt;/ref-type&gt;&lt;contributors&gt;&lt;authors&gt;&lt;author&gt;Kowalczyk, Dorota&lt;/author&gt;&lt;author&gt;Fortuniak, Witold&lt;/author&gt;&lt;author&gt;Mizerska, Urszula&lt;/author&gt;&lt;author&gt;Kaminska, Irena&lt;/author&gt;&lt;author&gt;Makowski, Tomasz&lt;/author&gt;&lt;author&gt;Brzezinski, Stefan&lt;/author&gt;&lt;author&gt;Piorkowska, Ewa&lt;/author&gt;&lt;/authors&gt;&lt;/contributors&gt;&lt;titles&gt;&lt;title&gt;Modification of cotton fabric with graphene and reduced graphene oxide using sol–gel method&lt;/title&gt;&lt;secondary-title&gt;Cellulose&lt;/secondary-title&gt;&lt;/titles&gt;&lt;pages&gt;4057-4068&lt;/pages&gt;&lt;volume&gt;24&lt;/volume&gt;&lt;number&gt;9&lt;/number&gt;&lt;section&gt;4057&lt;/section&gt;&lt;dates&gt;&lt;year&gt;2017&lt;/year&gt;&lt;/dates&gt;&lt;isbn&gt;0969-0239&amp;#xD;1572-882X&lt;/isbn&gt;&lt;urls&gt;&lt;/urls&gt;&lt;electronic-resource-num&gt;10.1007/s10570-017-1389-4&lt;/electronic-resource-num&gt;&lt;/record&gt;&lt;/Cite&gt;&lt;/EndNote&gt;</w:instrText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(Kowalczyk et al. 2017)</w:t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</w:tcPr>
          <w:p>
            <w:pPr>
              <w:pStyle w:val="11"/>
              <w:spacing w:line="240" w:lineRule="auto"/>
              <w:ind w:right="42" w:rightChars="20"/>
              <w:jc w:val="left"/>
              <w:rPr>
                <w:rFonts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Poly (vinyl alcohol)</w:t>
            </w:r>
          </w:p>
        </w:tc>
        <w:tc>
          <w:tcPr>
            <w:tcW w:w="1722" w:type="dxa"/>
          </w:tcPr>
          <w:p>
            <w:pPr>
              <w:pStyle w:val="11"/>
              <w:spacing w:line="240" w:lineRule="auto"/>
              <w:ind w:right="42" w:rightChars="20"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Phosphorus graphene oxide</w:t>
            </w:r>
          </w:p>
        </w:tc>
        <w:tc>
          <w:tcPr>
            <w:tcW w:w="1318" w:type="dxa"/>
          </w:tcPr>
          <w:p>
            <w:pPr>
              <w:pStyle w:val="11"/>
              <w:spacing w:line="240" w:lineRule="auto"/>
              <w:ind w:right="42" w:rightChars="20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.25</w:t>
            </w:r>
          </w:p>
        </w:tc>
        <w:tc>
          <w:tcPr>
            <w:tcW w:w="1621" w:type="dxa"/>
          </w:tcPr>
          <w:p>
            <w:pPr>
              <w:pStyle w:val="11"/>
              <w:spacing w:line="240" w:lineRule="auto"/>
              <w:ind w:right="42" w:rightChars="20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1.29×10</w:t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8" w:type="dxa"/>
          </w:tcPr>
          <w:p>
            <w:pPr>
              <w:pStyle w:val="11"/>
              <w:spacing w:line="240" w:lineRule="auto"/>
              <w:ind w:right="42" w:rightChars="20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instrText xml:space="preserve"> ADDIN EN.CITE &lt;EndNote&gt;&lt;Cite&gt;&lt;Author&gt;Li&lt;/Author&gt;&lt;Year&gt;2017&lt;/Year&gt;&lt;RecNum&gt;77&lt;/RecNum&gt;&lt;DisplayText&gt;(Li et al. 2017)&lt;/DisplayText&gt;&lt;record&gt;&lt;rec-number&gt;77&lt;/rec-number&gt;&lt;foreign-keys&gt;&lt;key app="EN" db-id="xs2ddstflwdxpbed2t3ppfa00r5fwxeveta9" timestamp="1669521526"&gt;77&lt;/key&gt;&lt;key app="ENWeb" db-id=""&gt;0&lt;/key&gt;&lt;/foreign-keys&gt;&lt;ref-type name="Journal Article"&gt;17&lt;/ref-type&gt;&lt;contributors&gt;&lt;authors&gt;&lt;author&gt;Li, J.&lt;/author&gt;&lt;author&gt;Li, Y.&lt;/author&gt;&lt;author&gt;Niu, S.&lt;/author&gt;&lt;author&gt;Li, N.&lt;/author&gt;&lt;/authors&gt;&lt;/contributors&gt;&lt;auth-address&gt;College of Chemistry and Material Science, Hebei Normal University, Shijiazhuang 050024, PR China.&amp;#xD;College of Chemistry and Material Science, Hebei Normal University, Shijiazhuang 050024, PR China. Electronic address: chemliys@163.com.&amp;#xD;The Real Estate CO., Ltd. of CSCEC Beijing, 100070, PR China.&lt;/auth-address&gt;&lt;titles&gt;&lt;title&gt;Ultrasonic-assisted synthesis of phosphorus graphene oxide/poly (vinyl alcohol) polymer and surface resistivity research of phosphorus graphene oxide/poly (vinyl alcohol) film&lt;/title&gt;&lt;secondary-title&gt;Ultrason Sonochem&lt;/secondary-title&gt;&lt;/titles&gt;&lt;periodical&gt;&lt;full-title&gt;Ultrasonics Sonochemistry&lt;/full-title&gt;&lt;abbr-1&gt;Ultrason. Sonochem.&lt;/abbr-1&gt;&lt;abbr-2&gt;Ultrason Sonochem&lt;/abbr-2&gt;&lt;/periodical&gt;&lt;pages&gt;277-285&lt;/pages&gt;&lt;volume&gt;36&lt;/volume&gt;&lt;edition&gt;2017/01/11&lt;/edition&gt;&lt;keywords&gt;&lt;keyword&gt;Phosphorus graphene oxide poly (vinyl alcohol) polymer (PGO/PVA polymer)&lt;/keyword&gt;&lt;keyword&gt;Phosphorus graphene oxide/poly (vinyl alcohol) film (PGO/PVA film)&lt;/keyword&gt;&lt;keyword&gt;Surface resistivity&lt;/keyword&gt;&lt;keyword&gt;Ultrasound-assisted condition&lt;/keyword&gt;&lt;/keywords&gt;&lt;dates&gt;&lt;year&gt;2017&lt;/year&gt;&lt;pub-dates&gt;&lt;date&gt;May&lt;/date&gt;&lt;/pub-dates&gt;&lt;/dates&gt;&lt;isbn&gt;1873-2828 (Electronic)&amp;#xD;1350-4177 (Linking)&lt;/isbn&gt;&lt;accession-num&gt;28069212&lt;/accession-num&gt;&lt;urls&gt;&lt;related-urls&gt;&lt;url&gt;https://www.ncbi.nlm.nih.gov/pubmed/28069212&lt;/url&gt;&lt;/related-urls&gt;&lt;/urls&gt;&lt;electronic-resource-num&gt;10.1016/j.ultsonch.2016.12.009&lt;/electronic-resource-num&gt;&lt;/record&gt;&lt;/Cite&gt;&lt;/EndNote&gt;</w:instrText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(Li et al. 2017)</w:t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7" w:type="dxa"/>
          </w:tcPr>
          <w:p>
            <w:pPr>
              <w:pStyle w:val="11"/>
              <w:spacing w:line="240" w:lineRule="auto"/>
              <w:ind w:right="42" w:rightChars="20"/>
              <w:jc w:val="left"/>
              <w:rPr>
                <w:rFonts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Poly(L-lactide)</w:t>
            </w:r>
            <w:r>
              <w:rPr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polylactic acid</w:t>
            </w:r>
          </w:p>
        </w:tc>
        <w:tc>
          <w:tcPr>
            <w:tcW w:w="1722" w:type="dxa"/>
          </w:tcPr>
          <w:p>
            <w:pPr>
              <w:pStyle w:val="11"/>
              <w:spacing w:line="240" w:lineRule="auto"/>
              <w:ind w:right="42" w:rightChars="20"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Reduced graphene oxide</w:t>
            </w:r>
          </w:p>
        </w:tc>
        <w:tc>
          <w:tcPr>
            <w:tcW w:w="1318" w:type="dxa"/>
          </w:tcPr>
          <w:p>
            <w:pPr>
              <w:pStyle w:val="11"/>
              <w:spacing w:line="240" w:lineRule="auto"/>
              <w:ind w:right="42" w:rightChars="20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21" w:type="dxa"/>
          </w:tcPr>
          <w:p>
            <w:pPr>
              <w:pStyle w:val="11"/>
              <w:spacing w:line="240" w:lineRule="auto"/>
              <w:ind w:right="42" w:rightChars="20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7.3×10</w:t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278" w:type="dxa"/>
          </w:tcPr>
          <w:p>
            <w:pPr>
              <w:pStyle w:val="11"/>
              <w:spacing w:line="240" w:lineRule="auto"/>
              <w:ind w:right="42" w:rightChars="20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instrText xml:space="preserve"> ADDIN EN.CITE &lt;EndNote&gt;&lt;Cite&gt;&lt;Author&gt;Li&lt;/Author&gt;&lt;Year&gt;2020&lt;/Year&gt;&lt;RecNum&gt;78&lt;/RecNum&gt;&lt;DisplayText&gt;(Li et al. 2020)&lt;/DisplayText&gt;&lt;record&gt;&lt;rec-number&gt;78&lt;/rec-number&gt;&lt;foreign-keys&gt;&lt;key app="EN" db-id="xs2ddstflwdxpbed2t3ppfa00r5fwxeveta9" timestamp="1669521726"&gt;78&lt;/key&gt;&lt;key app="ENWeb" db-id=""&gt;0&lt;/key&gt;&lt;/foreign-keys&gt;&lt;ref-type name="Journal Article"&gt;17&lt;/ref-type&gt;&lt;contributors&gt;&lt;authors&gt;&lt;author&gt;Li, Kun&lt;/author&gt;&lt;author&gt;Fina, Alberto&lt;/author&gt;&lt;author&gt;Marrè, Daniele&lt;/author&gt;&lt;author&gt;Carosio, Federico&lt;/author&gt;&lt;author&gt;Monticelli, Orietta&lt;/author&gt;&lt;/authors&gt;&lt;/contributors&gt;&lt;titles&gt;&lt;title&gt;Graphite oxide nanocoatings as a sustaibale route to extend the applicability of biopolymer-based film&lt;/title&gt;&lt;secondary-title&gt;Applied Surface Science&lt;/secondary-title&gt;&lt;/titles&gt;&lt;periodical&gt;&lt;full-title&gt;Applied Surface Science&lt;/full-title&gt;&lt;abbr-1&gt;Appl. Surf. Sci.&lt;/abbr-1&gt;&lt;abbr-2&gt;Appl Surf Sci&lt;/abbr-2&gt;&lt;/periodical&gt;&lt;volume&gt;522&lt;/volume&gt;&lt;section&gt;146471&lt;/section&gt;&lt;dates&gt;&lt;year&gt;2020&lt;/year&gt;&lt;/dates&gt;&lt;isbn&gt;01694332&lt;/isbn&gt;&lt;urls&gt;&lt;/urls&gt;&lt;electronic-resource-num&gt;10.1016/j.apsusc.2020.146471&lt;/electronic-resource-num&gt;&lt;/record&gt;&lt;/Cite&gt;&lt;/EndNote&gt;</w:instrText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(Li et al. 2020)</w:t>
            </w:r>
            <w:r>
              <w:rPr>
                <w:rFonts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</w:tbl>
    <w:p>
      <w:pPr>
        <w:rPr>
          <w:b/>
          <w:bCs/>
          <w:sz w:val="20"/>
          <w:szCs w:val="20"/>
        </w:rPr>
      </w:pPr>
    </w:p>
    <w:p>
      <w:pPr>
        <w:rPr>
          <w:b/>
          <w:bCs/>
          <w:sz w:val="20"/>
          <w:szCs w:val="20"/>
        </w:rPr>
      </w:pPr>
      <w:bookmarkStart w:id="2" w:name="_GoBack"/>
      <w:bookmarkEnd w:id="2"/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pStyle w:val="20"/>
        <w:ind w:left="500" w:hanging="500"/>
        <w:rPr>
          <w:szCs w:val="20"/>
        </w:rPr>
      </w:pPr>
      <w:r>
        <w:rPr>
          <w:szCs w:val="20"/>
        </w:rPr>
        <w:fldChar w:fldCharType="begin"/>
      </w:r>
      <w:r>
        <w:rPr>
          <w:szCs w:val="20"/>
        </w:rPr>
        <w:instrText xml:space="preserve"> ADDIN EN.REFLIST </w:instrText>
      </w:r>
      <w:r>
        <w:rPr>
          <w:szCs w:val="20"/>
        </w:rPr>
        <w:fldChar w:fldCharType="separate"/>
      </w:r>
      <w:r>
        <w:rPr>
          <w:szCs w:val="20"/>
        </w:rPr>
        <w:t xml:space="preserve">Fan L, Tan Y, Amesimeku J et al (2019) A novel functional disperse dye doped with graphene oxide for improving antistatic properties of polyester fabric using one-bath dyeing method. </w:t>
      </w:r>
      <w:r>
        <w:rPr>
          <w:i/>
          <w:szCs w:val="20"/>
        </w:rPr>
        <w:t>Text Res J 90</w:t>
      </w:r>
      <w:r>
        <w:rPr>
          <w:szCs w:val="20"/>
        </w:rPr>
        <w:t xml:space="preserve">(5-6): 655-665. </w:t>
      </w:r>
      <w:r>
        <w:fldChar w:fldCharType="begin"/>
      </w:r>
      <w:r>
        <w:instrText xml:space="preserve"> HYPERLINK "https://10.1177/0040517519877464" </w:instrText>
      </w:r>
      <w:r>
        <w:fldChar w:fldCharType="separate"/>
      </w:r>
      <w:r>
        <w:rPr>
          <w:rStyle w:val="6"/>
          <w:szCs w:val="20"/>
        </w:rPr>
        <w:t>https://10.1177/0040517519877464</w:t>
      </w:r>
      <w:r>
        <w:rPr>
          <w:rStyle w:val="6"/>
          <w:szCs w:val="20"/>
        </w:rPr>
        <w:fldChar w:fldCharType="end"/>
      </w:r>
    </w:p>
    <w:p>
      <w:pPr>
        <w:pStyle w:val="20"/>
        <w:ind w:left="500" w:hanging="500"/>
        <w:rPr>
          <w:szCs w:val="20"/>
        </w:rPr>
      </w:pPr>
      <w:r>
        <w:rPr>
          <w:szCs w:val="20"/>
        </w:rPr>
        <w:t xml:space="preserve">Kowalczyk D, Fortuniak W, Mizerska U et al (2017) Modification of cotton fabric with graphene and reduced graphene oxide using sol–gel method. </w:t>
      </w:r>
      <w:r>
        <w:rPr>
          <w:i/>
          <w:szCs w:val="20"/>
        </w:rPr>
        <w:t>Cellulose 24</w:t>
      </w:r>
      <w:r>
        <w:rPr>
          <w:szCs w:val="20"/>
        </w:rPr>
        <w:t xml:space="preserve">(9): 4057-4068. </w:t>
      </w:r>
      <w:r>
        <w:fldChar w:fldCharType="begin"/>
      </w:r>
      <w:r>
        <w:instrText xml:space="preserve"> HYPERLINK "https://10.1007/s10570-017-1389-4" </w:instrText>
      </w:r>
      <w:r>
        <w:fldChar w:fldCharType="separate"/>
      </w:r>
      <w:r>
        <w:rPr>
          <w:rStyle w:val="6"/>
          <w:szCs w:val="20"/>
        </w:rPr>
        <w:t>https://10.1007/s10570-017-1389-4</w:t>
      </w:r>
      <w:r>
        <w:rPr>
          <w:rStyle w:val="6"/>
          <w:szCs w:val="20"/>
        </w:rPr>
        <w:fldChar w:fldCharType="end"/>
      </w:r>
    </w:p>
    <w:p>
      <w:pPr>
        <w:pStyle w:val="20"/>
        <w:ind w:left="500" w:hanging="500"/>
        <w:rPr>
          <w:szCs w:val="20"/>
        </w:rPr>
      </w:pPr>
      <w:r>
        <w:rPr>
          <w:szCs w:val="20"/>
        </w:rPr>
        <w:t xml:space="preserve">Li J, Li Y, Niu S et al (2017) Ultrasonic-assisted synthesis of phosphorus graphene oxide/poly (vinyl alcohol) polymer and surface resistivity research of phosphorus graphene oxide/poly (vinyl alcohol) film. </w:t>
      </w:r>
      <w:r>
        <w:rPr>
          <w:i/>
          <w:szCs w:val="20"/>
        </w:rPr>
        <w:t>Ultrason Sonochem 36</w:t>
      </w:r>
      <w:r>
        <w:rPr>
          <w:szCs w:val="20"/>
        </w:rPr>
        <w:t xml:space="preserve">: 277-285. </w:t>
      </w:r>
      <w:r>
        <w:fldChar w:fldCharType="begin"/>
      </w:r>
      <w:r>
        <w:instrText xml:space="preserve"> HYPERLINK "https://10.1016/j.ultsonch.2016.12.009" </w:instrText>
      </w:r>
      <w:r>
        <w:fldChar w:fldCharType="separate"/>
      </w:r>
      <w:r>
        <w:rPr>
          <w:rStyle w:val="6"/>
          <w:szCs w:val="20"/>
        </w:rPr>
        <w:t>https://10.1016/j.ultsonch.2016.12.009</w:t>
      </w:r>
      <w:r>
        <w:rPr>
          <w:rStyle w:val="6"/>
          <w:szCs w:val="20"/>
        </w:rPr>
        <w:fldChar w:fldCharType="end"/>
      </w:r>
    </w:p>
    <w:p>
      <w:pPr>
        <w:pStyle w:val="20"/>
        <w:ind w:left="500" w:hanging="500"/>
        <w:rPr>
          <w:szCs w:val="20"/>
        </w:rPr>
      </w:pPr>
      <w:r>
        <w:rPr>
          <w:szCs w:val="20"/>
        </w:rPr>
        <w:t xml:space="preserve">Li K, Fina A, Marrè D et al (2020) Graphite oxide nanocoatings as a sustaibale route to extend the applicability of biopolymer-based film. </w:t>
      </w:r>
      <w:r>
        <w:rPr>
          <w:i/>
          <w:szCs w:val="20"/>
        </w:rPr>
        <w:t>Appl Surf Sci 522</w:t>
      </w:r>
      <w:r>
        <w:rPr>
          <w:szCs w:val="20"/>
        </w:rPr>
        <w:t xml:space="preserve">. </w:t>
      </w:r>
      <w:r>
        <w:fldChar w:fldCharType="begin"/>
      </w:r>
      <w:r>
        <w:instrText xml:space="preserve"> HYPERLINK "https://10.1016/j.apsusc.2020.146471" </w:instrText>
      </w:r>
      <w:r>
        <w:fldChar w:fldCharType="separate"/>
      </w:r>
      <w:r>
        <w:rPr>
          <w:rStyle w:val="6"/>
          <w:szCs w:val="20"/>
        </w:rPr>
        <w:t>https://10.1016/j.apsusc.2020.146471</w:t>
      </w:r>
      <w:r>
        <w:rPr>
          <w:rStyle w:val="6"/>
          <w:szCs w:val="20"/>
        </w:rPr>
        <w:fldChar w:fldCharType="end"/>
      </w:r>
    </w:p>
    <w:p>
      <w:pPr>
        <w:pStyle w:val="20"/>
        <w:ind w:left="500" w:hanging="500"/>
        <w:rPr>
          <w:szCs w:val="20"/>
        </w:rPr>
      </w:pPr>
      <w:r>
        <w:rPr>
          <w:szCs w:val="20"/>
        </w:rPr>
        <w:t xml:space="preserve">Mirmohseni A, Azizi M, &amp; Dorraji M S S (2020) Cationic graphene oxide nanosheets intercalated with polyaniline nanofibers: a promising candidate for simultaneous anticorrosion, antistatic, and antibacterial applications. </w:t>
      </w:r>
      <w:r>
        <w:rPr>
          <w:i/>
          <w:szCs w:val="20"/>
        </w:rPr>
        <w:t>Prog Org Coat 139</w:t>
      </w:r>
      <w:r>
        <w:rPr>
          <w:szCs w:val="20"/>
        </w:rPr>
        <w:t xml:space="preserve">. </w:t>
      </w:r>
      <w:r>
        <w:fldChar w:fldCharType="begin"/>
      </w:r>
      <w:r>
        <w:instrText xml:space="preserve"> HYPERLINK "https://10.1016/j.porgcoat.2019.105419" </w:instrText>
      </w:r>
      <w:r>
        <w:fldChar w:fldCharType="separate"/>
      </w:r>
      <w:r>
        <w:rPr>
          <w:rStyle w:val="6"/>
          <w:szCs w:val="20"/>
        </w:rPr>
        <w:t>https://10.1016/j.porgcoat.2019.105419</w:t>
      </w:r>
      <w:r>
        <w:rPr>
          <w:rStyle w:val="6"/>
          <w:szCs w:val="20"/>
        </w:rPr>
        <w:fldChar w:fldCharType="end"/>
      </w:r>
    </w:p>
    <w:p>
      <w:pPr>
        <w:pStyle w:val="20"/>
        <w:ind w:left="500" w:hanging="500"/>
        <w:rPr>
          <w:szCs w:val="20"/>
        </w:rPr>
      </w:pPr>
      <w:r>
        <w:rPr>
          <w:szCs w:val="20"/>
        </w:rPr>
        <w:t xml:space="preserve">Qi B, Yao T-P, Zhang Y-D et al (2021) Endowing the sustainable antistatic properties to epoxy-based composites through adding graphene nanoplatelets. </w:t>
      </w:r>
      <w:r>
        <w:rPr>
          <w:i/>
          <w:szCs w:val="20"/>
        </w:rPr>
        <w:t>J Clean Prod 281</w:t>
      </w:r>
      <w:r>
        <w:rPr>
          <w:szCs w:val="20"/>
        </w:rPr>
        <w:t xml:space="preserve">. </w:t>
      </w:r>
      <w:r>
        <w:fldChar w:fldCharType="begin"/>
      </w:r>
      <w:r>
        <w:instrText xml:space="preserve"> HYPERLINK "https://10.1016/j.jclepro.2020.124594" </w:instrText>
      </w:r>
      <w:r>
        <w:fldChar w:fldCharType="separate"/>
      </w:r>
      <w:r>
        <w:rPr>
          <w:rStyle w:val="6"/>
          <w:szCs w:val="20"/>
        </w:rPr>
        <w:t>https://10.1016/j.jclepro.2020.124594</w:t>
      </w:r>
      <w:r>
        <w:rPr>
          <w:rStyle w:val="6"/>
          <w:szCs w:val="20"/>
        </w:rPr>
        <w:fldChar w:fldCharType="end"/>
      </w:r>
    </w:p>
    <w:p>
      <w:pPr>
        <w:pStyle w:val="20"/>
        <w:ind w:left="500" w:hanging="500"/>
        <w:rPr>
          <w:szCs w:val="20"/>
        </w:rPr>
      </w:pPr>
      <w:r>
        <w:rPr>
          <w:szCs w:val="20"/>
        </w:rPr>
        <w:t>Seki Y, Ince M, Y</w:t>
      </w:r>
      <w:r>
        <w:rPr>
          <w:rFonts w:hint="cs"/>
          <w:szCs w:val="20"/>
        </w:rPr>
        <w:t>ı</w:t>
      </w:r>
      <w:r>
        <w:rPr>
          <w:szCs w:val="20"/>
        </w:rPr>
        <w:t>ld</w:t>
      </w:r>
      <w:r>
        <w:rPr>
          <w:rFonts w:hint="cs"/>
          <w:szCs w:val="20"/>
        </w:rPr>
        <w:t>ı</w:t>
      </w:r>
      <w:r>
        <w:rPr>
          <w:szCs w:val="20"/>
        </w:rPr>
        <w:t xml:space="preserve">z N et al (2019) The effect of methyl-tri-n-butylammonium methylsulfate and graphite nanoplates on production of antistatic acrylic polymer. </w:t>
      </w:r>
      <w:r>
        <w:rPr>
          <w:i/>
          <w:szCs w:val="20"/>
        </w:rPr>
        <w:t>Polym-Plast Technol Mater 58</w:t>
      </w:r>
      <w:r>
        <w:rPr>
          <w:szCs w:val="20"/>
        </w:rPr>
        <w:t xml:space="preserve">(13): 1471-1479. </w:t>
      </w:r>
      <w:r>
        <w:fldChar w:fldCharType="begin"/>
      </w:r>
      <w:r>
        <w:instrText xml:space="preserve"> HYPERLINK "https://10.1080/25740881.2018.1563129" </w:instrText>
      </w:r>
      <w:r>
        <w:fldChar w:fldCharType="separate"/>
      </w:r>
      <w:r>
        <w:rPr>
          <w:rStyle w:val="6"/>
          <w:szCs w:val="20"/>
        </w:rPr>
        <w:t>https://10.1080/25740881.2018.1563129</w:t>
      </w:r>
      <w:r>
        <w:rPr>
          <w:rStyle w:val="6"/>
          <w:szCs w:val="20"/>
        </w:rPr>
        <w:fldChar w:fldCharType="end"/>
      </w:r>
    </w:p>
    <w:p>
      <w:pPr>
        <w:pStyle w:val="20"/>
        <w:ind w:left="500" w:hanging="500"/>
        <w:rPr>
          <w:szCs w:val="20"/>
        </w:rPr>
      </w:pPr>
      <w:r>
        <w:rPr>
          <w:szCs w:val="20"/>
        </w:rPr>
        <w:t xml:space="preserve">Wang H, Xie G, Fang M et al (2015) Electrical and mechanical properties of antistatic PVC films containing multi-layer graphene. </w:t>
      </w:r>
      <w:r>
        <w:rPr>
          <w:i/>
          <w:szCs w:val="20"/>
        </w:rPr>
        <w:t>Compos Part B 79</w:t>
      </w:r>
      <w:r>
        <w:rPr>
          <w:szCs w:val="20"/>
        </w:rPr>
        <w:t xml:space="preserve">: 444-450. </w:t>
      </w:r>
      <w:r>
        <w:fldChar w:fldCharType="begin"/>
      </w:r>
      <w:r>
        <w:instrText xml:space="preserve"> HYPERLINK "https://10.1016/j.compositesb.2015.05.011" </w:instrText>
      </w:r>
      <w:r>
        <w:fldChar w:fldCharType="separate"/>
      </w:r>
      <w:r>
        <w:rPr>
          <w:rStyle w:val="6"/>
          <w:szCs w:val="20"/>
        </w:rPr>
        <w:t>https://10.1016/j.compositesb.2015.05.011</w:t>
      </w:r>
      <w:r>
        <w:rPr>
          <w:rStyle w:val="6"/>
          <w:szCs w:val="20"/>
        </w:rPr>
        <w:fldChar w:fldCharType="end"/>
      </w:r>
    </w:p>
    <w:p>
      <w:pPr>
        <w:pStyle w:val="20"/>
        <w:ind w:left="500" w:hanging="500"/>
        <w:rPr>
          <w:szCs w:val="20"/>
        </w:rPr>
      </w:pPr>
      <w:r>
        <w:rPr>
          <w:szCs w:val="20"/>
        </w:rPr>
        <w:t xml:space="preserve">Wang Q, Wang Y, Meng Q et al (2017) Preparation of high antistatic HDPE/polyaniline encapsulated graphene nanoplatelet composites by solution blending. </w:t>
      </w:r>
      <w:r>
        <w:rPr>
          <w:i/>
          <w:szCs w:val="20"/>
        </w:rPr>
        <w:t>RSC Adv 7</w:t>
      </w:r>
      <w:r>
        <w:rPr>
          <w:szCs w:val="20"/>
        </w:rPr>
        <w:t xml:space="preserve">(5): 2796-2803. </w:t>
      </w:r>
      <w:r>
        <w:fldChar w:fldCharType="begin"/>
      </w:r>
      <w:r>
        <w:instrText xml:space="preserve"> HYPERLINK "https://10.1039/c6ra26458a" </w:instrText>
      </w:r>
      <w:r>
        <w:fldChar w:fldCharType="separate"/>
      </w:r>
      <w:r>
        <w:rPr>
          <w:rStyle w:val="6"/>
          <w:szCs w:val="20"/>
        </w:rPr>
        <w:t>https://10.1039/c6ra26458a</w:t>
      </w:r>
      <w:r>
        <w:rPr>
          <w:rStyle w:val="6"/>
          <w:szCs w:val="20"/>
        </w:rPr>
        <w:fldChar w:fldCharType="end"/>
      </w:r>
    </w:p>
    <w:p>
      <w:pPr>
        <w:pStyle w:val="20"/>
        <w:ind w:left="500" w:hanging="500"/>
        <w:rPr>
          <w:szCs w:val="20"/>
        </w:rPr>
      </w:pPr>
      <w:r>
        <w:rPr>
          <w:szCs w:val="20"/>
        </w:rPr>
        <w:t xml:space="preserve">Wei Z-B, Zhao Y, Wang C et al (2018) Antistatic PVC-graphene composite through plasticizer-mediated exfoliation of graphite. </w:t>
      </w:r>
      <w:r>
        <w:rPr>
          <w:i/>
          <w:szCs w:val="20"/>
        </w:rPr>
        <w:t>Chin J Polym Sci 36</w:t>
      </w:r>
      <w:r>
        <w:rPr>
          <w:szCs w:val="20"/>
        </w:rPr>
        <w:t xml:space="preserve">(12): 1361-1367. </w:t>
      </w:r>
      <w:r>
        <w:fldChar w:fldCharType="begin"/>
      </w:r>
      <w:r>
        <w:instrText xml:space="preserve"> HYPERLINK "https://10.1007/s10118-018-2160-5" </w:instrText>
      </w:r>
      <w:r>
        <w:fldChar w:fldCharType="separate"/>
      </w:r>
      <w:r>
        <w:rPr>
          <w:rStyle w:val="6"/>
          <w:szCs w:val="20"/>
        </w:rPr>
        <w:t>https://10.1007/s10118-018-2160-5</w:t>
      </w:r>
      <w:r>
        <w:rPr>
          <w:rStyle w:val="6"/>
          <w:szCs w:val="20"/>
        </w:rPr>
        <w:fldChar w:fldCharType="end"/>
      </w:r>
    </w:p>
    <w:p>
      <w:pPr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ellulose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51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s2ddstflwdxpbed2t3ppfa00r5fwxeveta9&quot;&gt;My EndNote Library&lt;record-ids&gt;&lt;item&gt;67&lt;/item&gt;&lt;item&gt;68&lt;/item&gt;&lt;item&gt;69&lt;/item&gt;&lt;item&gt;71&lt;/item&gt;&lt;item&gt;72&lt;/item&gt;&lt;item&gt;73&lt;/item&gt;&lt;item&gt;74&lt;/item&gt;&lt;item&gt;76&lt;/item&gt;&lt;item&gt;77&lt;/item&gt;&lt;item&gt;78&lt;/item&gt;&lt;/record-ids&gt;&lt;/item&gt;&lt;/Libraries&gt;"/>
  </w:docVars>
  <w:rsids>
    <w:rsidRoot w:val="00054EEC"/>
    <w:rsid w:val="0000315C"/>
    <w:rsid w:val="00010D55"/>
    <w:rsid w:val="0005040A"/>
    <w:rsid w:val="00054EEC"/>
    <w:rsid w:val="000B6B7F"/>
    <w:rsid w:val="00164877"/>
    <w:rsid w:val="001771DA"/>
    <w:rsid w:val="0020238B"/>
    <w:rsid w:val="002A3715"/>
    <w:rsid w:val="00357273"/>
    <w:rsid w:val="003824FF"/>
    <w:rsid w:val="00433670"/>
    <w:rsid w:val="00445CCB"/>
    <w:rsid w:val="004A3FE3"/>
    <w:rsid w:val="0050612C"/>
    <w:rsid w:val="005311D3"/>
    <w:rsid w:val="00594A71"/>
    <w:rsid w:val="005F048E"/>
    <w:rsid w:val="00616BDF"/>
    <w:rsid w:val="006E1247"/>
    <w:rsid w:val="00702FE0"/>
    <w:rsid w:val="00807734"/>
    <w:rsid w:val="00810783"/>
    <w:rsid w:val="008B2463"/>
    <w:rsid w:val="00907BAA"/>
    <w:rsid w:val="00907CD2"/>
    <w:rsid w:val="00920697"/>
    <w:rsid w:val="00C460F9"/>
    <w:rsid w:val="00C61CD3"/>
    <w:rsid w:val="00D63BB1"/>
    <w:rsid w:val="00D65F21"/>
    <w:rsid w:val="00DC7A1D"/>
    <w:rsid w:val="00DE797A"/>
    <w:rsid w:val="00E60DC5"/>
    <w:rsid w:val="00F23FFE"/>
    <w:rsid w:val="00F52E8E"/>
    <w:rsid w:val="00FF0AAB"/>
    <w:rsid w:val="3FC330C1"/>
    <w:rsid w:val="4786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9">
    <w:name w:val="Introduction"/>
    <w:basedOn w:val="1"/>
    <w:link w:val="10"/>
    <w:qFormat/>
    <w:uiPriority w:val="0"/>
    <w:pPr>
      <w:spacing w:before="100" w:beforeAutospacing="1" w:after="100" w:afterAutospacing="1" w:line="360" w:lineRule="auto"/>
      <w:outlineLvl w:val="0"/>
    </w:pPr>
    <w:rPr>
      <w:rFonts w:ascii="Times New Roman" w:hAnsi="Times New Roman" w:eastAsia="宋体"/>
      <w:b/>
      <w:sz w:val="32"/>
      <w:szCs w:val="44"/>
    </w:rPr>
  </w:style>
  <w:style w:type="character" w:customStyle="1" w:styleId="10">
    <w:name w:val="Introduction 字符"/>
    <w:basedOn w:val="5"/>
    <w:link w:val="9"/>
    <w:qFormat/>
    <w:uiPriority w:val="0"/>
    <w:rPr>
      <w:rFonts w:cstheme="minorBidi"/>
      <w:b/>
      <w:sz w:val="32"/>
      <w:szCs w:val="44"/>
    </w:rPr>
  </w:style>
  <w:style w:type="paragraph" w:customStyle="1" w:styleId="11">
    <w:name w:val="paragraph"/>
    <w:basedOn w:val="1"/>
    <w:link w:val="12"/>
    <w:qFormat/>
    <w:uiPriority w:val="0"/>
    <w:pPr>
      <w:spacing w:line="360" w:lineRule="auto"/>
    </w:pPr>
    <w:rPr>
      <w:rFonts w:ascii="Times New Roman" w:hAnsi="Times New Roman" w:eastAsia="宋体"/>
      <w:sz w:val="24"/>
    </w:rPr>
  </w:style>
  <w:style w:type="character" w:customStyle="1" w:styleId="12">
    <w:name w:val="paragraph 字符"/>
    <w:basedOn w:val="5"/>
    <w:link w:val="11"/>
    <w:qFormat/>
    <w:uiPriority w:val="0"/>
    <w:rPr>
      <w:rFonts w:cstheme="minorBidi"/>
      <w:sz w:val="24"/>
    </w:rPr>
  </w:style>
  <w:style w:type="paragraph" w:customStyle="1" w:styleId="13">
    <w:name w:val="Fig.1"/>
    <w:basedOn w:val="11"/>
    <w:link w:val="14"/>
    <w:qFormat/>
    <w:uiPriority w:val="0"/>
    <w:pPr>
      <w:jc w:val="center"/>
    </w:pPr>
  </w:style>
  <w:style w:type="character" w:customStyle="1" w:styleId="14">
    <w:name w:val="Fig.1 字符"/>
    <w:basedOn w:val="12"/>
    <w:link w:val="13"/>
    <w:qFormat/>
    <w:uiPriority w:val="0"/>
    <w:rPr>
      <w:rFonts w:cstheme="minorBidi"/>
      <w:sz w:val="24"/>
    </w:rPr>
  </w:style>
  <w:style w:type="table" w:customStyle="1" w:styleId="15">
    <w:name w:val="清单表 6 彩色1"/>
    <w:basedOn w:val="4"/>
    <w:qFormat/>
    <w:uiPriority w:val="51"/>
    <w:rPr>
      <w:rFonts w:asciiTheme="minorHAnsi" w:hAnsiTheme="minorHAnsi" w:eastAsiaTheme="minorEastAsia" w:cstheme="minorBidi"/>
      <w:color w:val="000000" w:themeColor="text1"/>
      <w:kern w:val="0"/>
      <w:sz w:val="20"/>
      <w:szCs w:val="20"/>
      <w14:textFill>
        <w14:solidFill>
          <w14:schemeClr w14:val="tx1"/>
        </w14:solidFill>
      </w14:textFill>
    </w:rPr>
    <w:tblPr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paragraph" w:customStyle="1" w:styleId="16">
    <w:name w:val="图片"/>
    <w:basedOn w:val="1"/>
    <w:link w:val="17"/>
    <w:qFormat/>
    <w:uiPriority w:val="0"/>
    <w:pPr>
      <w:jc w:val="center"/>
    </w:pPr>
    <w:rPr>
      <w:rFonts w:ascii="Times New Roman" w:hAnsi="Times New Roman" w:eastAsia="宋体"/>
      <w:sz w:val="24"/>
    </w:rPr>
  </w:style>
  <w:style w:type="character" w:customStyle="1" w:styleId="17">
    <w:name w:val="图片 字符"/>
    <w:basedOn w:val="5"/>
    <w:link w:val="16"/>
    <w:qFormat/>
    <w:uiPriority w:val="0"/>
    <w:rPr>
      <w:rFonts w:cstheme="minorBidi"/>
      <w:sz w:val="24"/>
    </w:rPr>
  </w:style>
  <w:style w:type="paragraph" w:customStyle="1" w:styleId="18">
    <w:name w:val="EndNote Bibliography Title"/>
    <w:basedOn w:val="1"/>
    <w:link w:val="19"/>
    <w:qFormat/>
    <w:uiPriority w:val="0"/>
    <w:pPr>
      <w:jc w:val="center"/>
    </w:pPr>
    <w:rPr>
      <w:rFonts w:ascii="Times New Roman" w:hAnsi="Times New Roman" w:eastAsia="等线" w:cs="Times New Roman"/>
      <w:sz w:val="20"/>
    </w:rPr>
  </w:style>
  <w:style w:type="character" w:customStyle="1" w:styleId="19">
    <w:name w:val="EndNote Bibliography Title 字符"/>
    <w:basedOn w:val="5"/>
    <w:link w:val="18"/>
    <w:qFormat/>
    <w:uiPriority w:val="0"/>
    <w:rPr>
      <w:rFonts w:eastAsia="等线"/>
      <w:sz w:val="20"/>
    </w:rPr>
  </w:style>
  <w:style w:type="paragraph" w:customStyle="1" w:styleId="20">
    <w:name w:val="EndNote Bibliography"/>
    <w:basedOn w:val="1"/>
    <w:link w:val="21"/>
    <w:qFormat/>
    <w:uiPriority w:val="0"/>
    <w:rPr>
      <w:rFonts w:ascii="Times New Roman" w:hAnsi="Times New Roman" w:eastAsia="等线" w:cs="Times New Roman"/>
      <w:sz w:val="20"/>
    </w:rPr>
  </w:style>
  <w:style w:type="character" w:customStyle="1" w:styleId="21">
    <w:name w:val="EndNote Bibliography 字符"/>
    <w:basedOn w:val="5"/>
    <w:link w:val="20"/>
    <w:qFormat/>
    <w:uiPriority w:val="0"/>
    <w:rPr>
      <w:rFonts w:eastAsia="等线"/>
      <w:sz w:val="20"/>
    </w:rPr>
  </w:style>
  <w:style w:type="character" w:customStyle="1" w:styleId="22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2586</Words>
  <Characters>14746</Characters>
  <Lines>122</Lines>
  <Paragraphs>34</Paragraphs>
  <TotalTime>0</TotalTime>
  <ScaleCrop>false</ScaleCrop>
  <LinksUpToDate>false</LinksUpToDate>
  <CharactersWithSpaces>17298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2022-12-14T04:29:00Z</dcterms:created>
  <dc:creator>Gzj</dc:creator>
  <cp:lastModifiedBy>SY Fu</cp:lastModifiedBy>
  <dcterms:modified xsi:type="dcterms:W3CDTF">2022-12-14T10:09:36Z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20c88e1f26eeb65bcef2bdd14700136e71686db34b9879d3d0ba24414c6fd5ce</vt:lpwstr>
  </property>
  <property fmtid="{D5CDD505-2E9C-101B-9397-08002B2CF9AE}" pid="3" name="KSOProductBuildVer">
    <vt:lpwstr>2052-11.1.0.12763</vt:lpwstr>
  </property>
  <property fmtid="{D5CDD505-2E9C-101B-9397-08002B2CF9AE}" pid="4" name="ICV">
    <vt:lpwstr>359765055AD24F64B5E003BEED4551C6</vt:lpwstr>
  </property>
</Properties>
</file>