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DC6C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t>Figure S1: Percentage of changes in respiratory function in the chronic bronchitis model group compare to the normal group.</w:t>
      </w:r>
    </w:p>
    <w:p w14:paraId="07A8D2C3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4FA9389" wp14:editId="6BFAB98C">
            <wp:extent cx="5274310" cy="39560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26C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F8DDF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812602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400991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FD827C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3B060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2513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C21B5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29EF40E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70579DB" w14:textId="77777777" w:rsidR="009A2CF0" w:rsidRPr="00A13757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82085F3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>Figure S2: Percentage of changes in respiratory function at 1-, 3-, and 6- month intervals after SCT compared to the chronic bronchitis model group.</w:t>
      </w:r>
    </w:p>
    <w:p w14:paraId="22BF886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AD1457" wp14:editId="66F21768">
            <wp:extent cx="5274310" cy="395605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C78F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BF7760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F7752B7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FAD197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EB69BAF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E7F5DEA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742D5F0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1642A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3082B82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B79D318" w14:textId="77777777" w:rsidR="009A2CF0" w:rsidRPr="000A1B06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BA43AC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S3: Changes in airway epithelial morphology. A. </w:t>
      </w:r>
      <w:r w:rsidRPr="000A1B06">
        <w:rPr>
          <w:rFonts w:ascii="Times New Roman" w:hAnsi="Times New Roman" w:cs="Times New Roman"/>
          <w:sz w:val="24"/>
          <w:szCs w:val="24"/>
        </w:rPr>
        <w:t xml:space="preserve">Basement membrane;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A1B06">
        <w:rPr>
          <w:rFonts w:ascii="Times New Roman" w:hAnsi="Times New Roman" w:cs="Times New Roman"/>
          <w:sz w:val="24"/>
          <w:szCs w:val="24"/>
        </w:rPr>
        <w:t xml:space="preserve">Epithelial layer;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A1B06">
        <w:rPr>
          <w:rFonts w:ascii="Times New Roman" w:hAnsi="Times New Roman" w:cs="Times New Roman"/>
          <w:sz w:val="24"/>
          <w:szCs w:val="24"/>
        </w:rPr>
        <w:t>Goblet cell.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6ED26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078EDC2" wp14:editId="6A462AC7">
            <wp:extent cx="5274310" cy="39560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AC6E3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AFCA38B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91AE45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7879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6D9BAD2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9E0D3A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124341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4F007D7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7698BA2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71EBF76" w14:textId="77777777" w:rsidR="009A2CF0" w:rsidRPr="000A1B06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1A3E43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S4: Percentage of changes in airway epithelial morphology at 1-, 3-, and 6- month intervals after SCT compared to the chronic bronchitis model group. A. </w:t>
      </w:r>
      <w:r w:rsidRPr="000A1B06">
        <w:rPr>
          <w:rFonts w:ascii="Times New Roman" w:hAnsi="Times New Roman" w:cs="Times New Roman"/>
          <w:sz w:val="24"/>
          <w:szCs w:val="24"/>
        </w:rPr>
        <w:t>Basement membrane;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B. </w:t>
      </w:r>
      <w:r w:rsidRPr="000A1B06">
        <w:rPr>
          <w:rFonts w:ascii="Times New Roman" w:hAnsi="Times New Roman" w:cs="Times New Roman"/>
          <w:sz w:val="24"/>
          <w:szCs w:val="24"/>
        </w:rPr>
        <w:t xml:space="preserve">Epithelial layer;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A1B06">
        <w:rPr>
          <w:rFonts w:ascii="Times New Roman" w:hAnsi="Times New Roman" w:cs="Times New Roman"/>
          <w:sz w:val="24"/>
          <w:szCs w:val="24"/>
        </w:rPr>
        <w:t>Goblet cell.</w:t>
      </w:r>
    </w:p>
    <w:p w14:paraId="6776DD5B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E40583" wp14:editId="66B437AC">
            <wp:extent cx="5274310" cy="39560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6E1EB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E5E9DC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496F90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49F4EE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460DA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8591AE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32C94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5FB088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043D28" w14:textId="77777777" w:rsidR="009A2CF0" w:rsidRPr="000A1B06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AAE2A7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S5: Correlation analysis between airway basement membrane thickness and respiratory function indicators. A.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airway basement membrane thickness and PIF;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airway basement membrane thickness and PEF;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airway basement membrane thickness and tI.</w:t>
      </w:r>
    </w:p>
    <w:p w14:paraId="6EC5E03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C8AD75" wp14:editId="6FB33186">
            <wp:extent cx="5274310" cy="39560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2C4B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AB076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4798D7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BF403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0EEB6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698018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6402F7" w14:textId="77777777" w:rsidR="009A2CF0" w:rsidRPr="000A1B06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D2AD4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S6: Correlation analysis between airway epithelial layer thickness and respiratory function indicators. A.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airway epithelial layer thickness and PIF;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airway epithelial layer thickness and PEF;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airway epithelial layer thickness and tI.</w:t>
      </w:r>
    </w:p>
    <w:p w14:paraId="094F284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7FE195" wp14:editId="6CFDED5D">
            <wp:extent cx="5274310" cy="39560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92CAC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C3862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FE141B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56216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4C653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D34E3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6D458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118EA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S7: Correlation analysis between the number of goblet cells in the airway epithelium per unit area and respiratory function indicators. A.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the number of goblet cells and PIF;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the number of goblet cells and PEF;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goblet cells and tI.</w:t>
      </w:r>
    </w:p>
    <w:p w14:paraId="6D99AC0C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87F9A0" wp14:editId="4F805E3E">
            <wp:extent cx="5274310" cy="39560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485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65EE5F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76984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BC35F5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6EB5E5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44ED6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537E40" w14:textId="77777777" w:rsidR="009A2CF0" w:rsidRPr="000A1B06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F393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S8: Correlation analysis between the number of neutrophils in the airway epithelium per unit area and respiratory function indicators. A.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neutrophils and PIF;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B.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neutrophils and PEF;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C.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neutrophils and EF75%;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D.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neutrophils and tI.</w:t>
      </w:r>
    </w:p>
    <w:p w14:paraId="6AE1BB67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AC58AD" wp14:editId="10D2AAC2">
            <wp:extent cx="5274310" cy="395605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5DDE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210CCD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F4F7C1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D17470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6CD7E9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A3DCB6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570E82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361"/>
      <w:bookmarkStart w:id="1" w:name="OLE_LINK362"/>
      <w:bookmarkStart w:id="2" w:name="OLE_LINK363"/>
      <w:bookmarkStart w:id="3" w:name="OLE_LINK364"/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S9: </w:t>
      </w:r>
      <w:bookmarkEnd w:id="0"/>
      <w:bookmarkEnd w:id="1"/>
      <w:bookmarkEnd w:id="2"/>
      <w:bookmarkEnd w:id="3"/>
      <w:r w:rsidRPr="000A1B06">
        <w:rPr>
          <w:rFonts w:ascii="Times New Roman" w:hAnsi="Times New Roman" w:cs="Times New Roman"/>
          <w:b/>
          <w:sz w:val="24"/>
          <w:szCs w:val="24"/>
        </w:rPr>
        <w:t xml:space="preserve">Correlation analysis between the number of macrophages in the airway epithelium per unit area and respiratory function indicators. A.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macrophages and PIF;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B.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macrophages and PEF;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 C. </w:t>
      </w:r>
      <w:r w:rsidRPr="000A1B06">
        <w:rPr>
          <w:rFonts w:ascii="Times New Roman" w:hAnsi="Times New Roman" w:cs="Times New Roman"/>
          <w:sz w:val="24"/>
          <w:szCs w:val="24"/>
        </w:rPr>
        <w:t xml:space="preserve">Correlation analysis between the number of macrophages and EF75%; </w:t>
      </w:r>
      <w:r w:rsidRPr="000A1B06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A1B06">
        <w:rPr>
          <w:rFonts w:ascii="Times New Roman" w:hAnsi="Times New Roman" w:cs="Times New Roman"/>
          <w:sz w:val="24"/>
          <w:szCs w:val="24"/>
        </w:rPr>
        <w:t>Correlation analysis between the number of macrophages and tI.</w:t>
      </w:r>
    </w:p>
    <w:p w14:paraId="25D44348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D9A02" wp14:editId="423A2E25">
            <wp:extent cx="5274310" cy="395605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E185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498647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B13F4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D4D5A4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14C86C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59BAE3" w14:textId="77777777" w:rsidR="009A2CF0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6386A3" w14:textId="77777777" w:rsidR="009A2CF0" w:rsidRPr="000A1B06" w:rsidRDefault="009A2CF0" w:rsidP="009A2CF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A1B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S10: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A1B06">
        <w:rPr>
          <w:rFonts w:ascii="Times New Roman" w:hAnsi="Times New Roman" w:cs="Times New Roman"/>
          <w:b/>
          <w:sz w:val="24"/>
          <w:szCs w:val="24"/>
        </w:rPr>
        <w:t>air-wise correlation (Spearman) and clustering among airway epithelial morphology and infiltrating inflammatory cells before and after SCT.</w:t>
      </w:r>
    </w:p>
    <w:p w14:paraId="3230CB78" w14:textId="77777777" w:rsidR="009A2CF0" w:rsidRPr="007E4D07" w:rsidRDefault="009A2CF0" w:rsidP="009A2C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091F2D" wp14:editId="71FDE41A">
            <wp:extent cx="5274310" cy="3956050"/>
            <wp:effectExtent l="0" t="0" r="254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S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D1744" w14:textId="77777777" w:rsidR="000D4074" w:rsidRDefault="000D4074"/>
    <w:sectPr w:rsidR="000D4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F0"/>
    <w:rsid w:val="000D4074"/>
    <w:rsid w:val="001E4B73"/>
    <w:rsid w:val="005314AC"/>
    <w:rsid w:val="009A2CF0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3649E"/>
  <w15:chartTrackingRefBased/>
  <w15:docId w15:val="{BF86A9B3-7758-4542-9F58-B314D6BA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CF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401</Words>
  <Characters>2288</Characters>
  <Application>Microsoft Office Word</Application>
  <DocSecurity>0</DocSecurity>
  <Lines>19</Lines>
  <Paragraphs>5</Paragraphs>
  <ScaleCrop>false</ScaleCrop>
  <Company>Springer Nature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2022-12-21T05:22:00Z</dcterms:created>
  <dcterms:modified xsi:type="dcterms:W3CDTF">2022-12-21T05:24:00Z</dcterms:modified>
</cp:coreProperties>
</file>