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default" w:ascii="Times New Roman" w:hAnsi="Times New Roman" w:cs="Times New Roman"/>
          <w:b/>
          <w:bCs/>
          <w:sz w:val="20"/>
          <w:szCs w:val="20"/>
          <w:shd w:val="clear" w:color="auto" w:fill="FFFFFF"/>
        </w:rPr>
      </w:pPr>
      <w:r>
        <w:rPr>
          <w:rFonts w:hint="default" w:ascii="Times New Roman" w:hAnsi="Times New Roman" w:cs="Times New Roman"/>
          <w:b/>
          <w:bCs/>
          <w:sz w:val="20"/>
          <w:szCs w:val="20"/>
          <w:shd w:val="clear" w:color="auto" w:fill="FFFFFF"/>
        </w:rPr>
        <w:t>Supplementary</w:t>
      </w:r>
      <w:r>
        <w:rPr>
          <w:rFonts w:hint="default" w:ascii="Times New Roman" w:hAnsi="Times New Roman" w:eastAsia="宋体" w:cs="Times New Roman"/>
          <w:b/>
          <w:bCs/>
          <w:sz w:val="20"/>
          <w:szCs w:val="20"/>
          <w:shd w:val="clear" w:color="auto" w:fill="FFFFFF"/>
          <w:lang w:val="en-US" w:eastAsia="zh-CN"/>
        </w:rPr>
        <w:t xml:space="preserve"> Material</w:t>
      </w:r>
      <w:r>
        <w:rPr>
          <w:rFonts w:hint="default" w:ascii="Times New Roman" w:hAnsi="Times New Roman" w:cs="Times New Roman"/>
          <w:b/>
          <w:bCs/>
          <w:sz w:val="20"/>
          <w:szCs w:val="20"/>
          <w:shd w:val="clear" w:color="auto" w:fill="FFFFFF"/>
        </w:rPr>
        <w:t xml:space="preserve"> 1: Details of </w:t>
      </w:r>
      <w:r>
        <w:rPr>
          <w:rFonts w:hint="default" w:ascii="Times New Roman" w:hAnsi="Times New Roman" w:cs="Times New Roman"/>
          <w:b/>
          <w:bCs/>
          <w:sz w:val="20"/>
          <w:szCs w:val="20"/>
          <w:shd w:val="clear" w:color="auto" w:fill="FFFFFF"/>
          <w:lang w:val="en-US" w:eastAsia="zh-CN"/>
        </w:rPr>
        <w:t>p</w:t>
      </w:r>
      <w:r>
        <w:rPr>
          <w:rFonts w:hint="default" w:ascii="Times New Roman" w:hAnsi="Times New Roman" w:cs="Times New Roman"/>
          <w:b/>
          <w:bCs/>
          <w:sz w:val="20"/>
          <w:szCs w:val="20"/>
          <w:shd w:val="clear" w:color="auto" w:fill="FFFFFF"/>
        </w:rPr>
        <w:t>articipating centers</w:t>
      </w:r>
    </w:p>
    <w:tbl>
      <w:tblPr>
        <w:tblStyle w:val="2"/>
        <w:tblW w:w="8388"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1"/>
        <w:gridCol w:w="1407"/>
        <w:gridCol w:w="1153"/>
        <w:gridCol w:w="1200"/>
        <w:gridCol w:w="153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3091" w:type="dxa"/>
            <w:tcBorders>
              <w:top w:val="single" w:color="auto" w:sz="4" w:space="0"/>
              <w:bottom w:val="single" w:color="auto" w:sz="4" w:space="0"/>
            </w:tcBorders>
            <w:noWrap w:val="0"/>
            <w:vAlign w:val="center"/>
          </w:tcPr>
          <w:p>
            <w:pPr>
              <w:spacing w:line="360" w:lineRule="auto"/>
              <w:outlineLvl w:val="0"/>
              <w:rPr>
                <w:rFonts w:hint="default" w:ascii="Times New Roman" w:hAnsi="Times New Roman" w:cs="Times New Roman"/>
                <w:sz w:val="15"/>
                <w:szCs w:val="15"/>
              </w:rPr>
            </w:pPr>
            <w:r>
              <w:rPr>
                <w:rFonts w:hint="default" w:ascii="Times New Roman" w:hAnsi="Times New Roman" w:cs="Times New Roman"/>
                <w:b/>
                <w:bCs/>
                <w:color w:val="000000"/>
                <w:sz w:val="15"/>
                <w:szCs w:val="15"/>
                <w:shd w:val="clear" w:color="auto" w:fill="FFFFFF"/>
              </w:rPr>
              <w:t>Name of the hospital</w:t>
            </w:r>
          </w:p>
        </w:tc>
        <w:tc>
          <w:tcPr>
            <w:tcW w:w="1407" w:type="dxa"/>
            <w:tcBorders>
              <w:top w:val="single" w:color="auto" w:sz="4" w:space="0"/>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15"/>
                <w:szCs w:val="15"/>
                <w:shd w:val="clear" w:color="auto" w:fill="FFFFFF"/>
              </w:rPr>
            </w:pPr>
            <w:r>
              <w:rPr>
                <w:rFonts w:hint="default" w:ascii="Times New Roman" w:hAnsi="Times New Roman" w:cs="Times New Roman"/>
                <w:b/>
                <w:bCs/>
                <w:color w:val="000000"/>
                <w:sz w:val="15"/>
                <w:szCs w:val="15"/>
                <w:shd w:val="clear" w:color="auto" w:fill="FFFFFF"/>
              </w:rPr>
              <w:t>Province, city</w:t>
            </w:r>
          </w:p>
        </w:tc>
        <w:tc>
          <w:tcPr>
            <w:tcW w:w="1153" w:type="dxa"/>
            <w:tcBorders>
              <w:top w:val="single" w:color="auto" w:sz="4" w:space="0"/>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15"/>
                <w:szCs w:val="15"/>
                <w:shd w:val="clear" w:color="auto" w:fill="FFFFFF"/>
              </w:rPr>
            </w:pPr>
            <w:r>
              <w:rPr>
                <w:rFonts w:hint="default" w:ascii="Times New Roman" w:hAnsi="Times New Roman" w:cs="Times New Roman"/>
                <w:b/>
                <w:bCs/>
                <w:color w:val="000000"/>
                <w:sz w:val="15"/>
                <w:szCs w:val="15"/>
                <w:shd w:val="clear" w:color="auto" w:fill="FFFFFF"/>
              </w:rPr>
              <w:t>Teaching Hospital</w:t>
            </w:r>
          </w:p>
        </w:tc>
        <w:tc>
          <w:tcPr>
            <w:tcW w:w="1200" w:type="dxa"/>
            <w:tcBorders>
              <w:top w:val="single" w:color="auto" w:sz="4" w:space="0"/>
              <w:bottom w:val="single" w:color="auto" w:sz="4" w:space="0"/>
              <w:right w:val="nil"/>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15"/>
                <w:szCs w:val="15"/>
                <w:shd w:val="clear" w:color="auto" w:fill="FFFFFF"/>
              </w:rPr>
            </w:pPr>
            <w:r>
              <w:rPr>
                <w:rFonts w:hint="default" w:ascii="Times New Roman" w:hAnsi="Times New Roman" w:cs="Times New Roman"/>
                <w:b/>
                <w:bCs/>
                <w:color w:val="000000"/>
                <w:sz w:val="15"/>
                <w:szCs w:val="15"/>
                <w:shd w:val="clear" w:color="auto" w:fill="FFFFFF"/>
              </w:rPr>
              <w:t>Beds</w:t>
            </w:r>
          </w:p>
        </w:tc>
        <w:tc>
          <w:tcPr>
            <w:tcW w:w="1537" w:type="dxa"/>
            <w:tcBorders>
              <w:top w:val="single" w:color="auto" w:sz="4" w:space="0"/>
              <w:left w:val="nil"/>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15"/>
                <w:szCs w:val="15"/>
                <w:shd w:val="clear" w:color="auto" w:fill="FFFFFF"/>
              </w:rPr>
            </w:pPr>
            <w:r>
              <w:rPr>
                <w:rFonts w:hint="default" w:ascii="Times New Roman" w:hAnsi="Times New Roman" w:cs="Times New Roman"/>
                <w:b/>
                <w:bCs/>
                <w:color w:val="000000"/>
                <w:sz w:val="15"/>
                <w:szCs w:val="15"/>
                <w:shd w:val="clear" w:color="auto" w:fill="FFFFFF"/>
              </w:rPr>
              <w:t>Staff</w:t>
            </w:r>
            <w:r>
              <w:rPr>
                <w:rFonts w:hint="default" w:ascii="Times New Roman" w:hAnsi="Times New Roman" w:cs="Times New Roman"/>
                <w:b/>
                <w:bCs/>
                <w:color w:val="000000"/>
                <w:sz w:val="15"/>
                <w:szCs w:val="15"/>
                <w:shd w:val="clear" w:color="auto" w:fill="FFFFFF"/>
                <w:lang w:val="en-US" w:eastAsia="zh-CN"/>
              </w:rPr>
              <w:t>s</w:t>
            </w:r>
            <w:r>
              <w:rPr>
                <w:rFonts w:hint="default" w:ascii="Times New Roman" w:hAnsi="Times New Roman" w:cs="Times New Roman"/>
                <w:b/>
                <w:bCs/>
                <w:color w:val="000000"/>
                <w:sz w:val="15"/>
                <w:szCs w:val="15"/>
                <w:shd w:val="clear" w:color="auto" w:fill="FFFFFF"/>
              </w:rPr>
              <w:t xml:space="preserve"> of Clinical Microbioloy Lab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color w:val="000000"/>
                <w:sz w:val="15"/>
                <w:szCs w:val="15"/>
                <w:shd w:val="clear" w:color="auto" w:fill="FFFFFF"/>
              </w:rPr>
            </w:pPr>
            <w:r>
              <w:rPr>
                <w:rFonts w:hint="default" w:ascii="Times New Roman" w:hAnsi="Times New Roman" w:cs="Times New Roman"/>
                <w:color w:val="000000"/>
                <w:sz w:val="15"/>
                <w:szCs w:val="15"/>
              </w:rPr>
              <w:t>Beijing Jishuitan Hospital</w:t>
            </w:r>
            <w:r>
              <w:rPr>
                <w:rFonts w:hint="default" w:ascii="Times New Roman" w:hAnsi="Times New Roman" w:cs="Times New Roman"/>
                <w:color w:val="000000"/>
                <w:sz w:val="15"/>
                <w:szCs w:val="15"/>
                <w:lang w:val="en-US" w:eastAsia="zh-CN"/>
              </w:rPr>
              <w:t>,</w:t>
            </w:r>
            <w:r>
              <w:rPr>
                <w:rFonts w:hint="default" w:ascii="Times New Roman" w:hAnsi="Times New Roman" w:cs="Times New Roman"/>
                <w:color w:val="000000"/>
                <w:sz w:val="15"/>
                <w:szCs w:val="15"/>
              </w:rPr>
              <w:t xml:space="preserve"> </w:t>
            </w:r>
          </w:p>
        </w:tc>
        <w:tc>
          <w:tcPr>
            <w:tcW w:w="1407"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15"/>
                <w:szCs w:val="15"/>
                <w:shd w:val="clear" w:color="auto" w:fill="FFFFFF"/>
              </w:rPr>
            </w:pPr>
            <w:r>
              <w:rPr>
                <w:rFonts w:hint="default" w:ascii="Times New Roman" w:hAnsi="Times New Roman" w:cs="Times New Roman"/>
                <w:color w:val="000000"/>
                <w:sz w:val="15"/>
                <w:szCs w:val="15"/>
                <w:shd w:val="clear" w:color="auto" w:fill="FFFFFF"/>
              </w:rPr>
              <w:t>Beijing</w:t>
            </w:r>
          </w:p>
        </w:tc>
        <w:tc>
          <w:tcPr>
            <w:tcW w:w="1153"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Yes</w:t>
            </w:r>
          </w:p>
        </w:tc>
        <w:tc>
          <w:tcPr>
            <w:tcW w:w="1200" w:type="dxa"/>
            <w:tcBorders>
              <w:top w:val="single" w:color="auto" w:sz="4" w:space="0"/>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1500</w:t>
            </w:r>
          </w:p>
        </w:tc>
        <w:tc>
          <w:tcPr>
            <w:tcW w:w="1537" w:type="dxa"/>
            <w:tcBorders>
              <w:top w:val="single" w:color="auto" w:sz="4" w:space="0"/>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15"/>
                <w:szCs w:val="15"/>
                <w:shd w:val="clear" w:color="auto" w:fill="FFFFFF"/>
                <w:lang w:val="en-US" w:eastAsia="zh-CN"/>
              </w:rPr>
            </w:pPr>
            <w:r>
              <w:rPr>
                <w:rFonts w:hint="default" w:ascii="Times New Roman" w:hAnsi="Times New Roman" w:cs="Times New Roman"/>
                <w:bCs/>
                <w:color w:val="000000"/>
                <w:sz w:val="15"/>
                <w:szCs w:val="15"/>
                <w:shd w:val="clear" w:color="auto" w:fill="FFFFFF"/>
                <w:lang w:val="en-US" w:eastAsia="zh-CN"/>
              </w:rPr>
              <w:t>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Cs/>
                <w:color w:val="000000"/>
                <w:sz w:val="15"/>
                <w:szCs w:val="15"/>
                <w:shd w:val="clear" w:color="auto" w:fill="FFFFFF"/>
              </w:rPr>
            </w:pPr>
            <w:r>
              <w:rPr>
                <w:rFonts w:hint="default" w:ascii="Times New Roman" w:hAnsi="Times New Roman" w:cs="Times New Roman"/>
                <w:color w:val="000000"/>
                <w:sz w:val="15"/>
                <w:szCs w:val="15"/>
                <w:shd w:val="clear" w:color="auto" w:fill="FFFFFF"/>
              </w:rPr>
              <w:t>Beijing Chao-Yang Hospital</w:t>
            </w:r>
            <w:r>
              <w:rPr>
                <w:rStyle w:val="5"/>
                <w:rFonts w:hint="default" w:ascii="Times New Roman" w:hAnsi="Times New Roman" w:cs="Times New Roman"/>
                <w:color w:val="000000"/>
                <w:sz w:val="15"/>
                <w:szCs w:val="15"/>
              </w:rPr>
              <w:t xml:space="preserve"> </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color w:val="000000"/>
                <w:sz w:val="15"/>
                <w:szCs w:val="15"/>
                <w:shd w:val="clear" w:color="auto" w:fill="FFFFFF"/>
              </w:rPr>
              <w:t>Beijing</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highlight w:val="yellow"/>
                <w:shd w:val="clear" w:color="auto" w:fill="FFFFFF"/>
              </w:rPr>
            </w:pPr>
            <w:r>
              <w:rPr>
                <w:rFonts w:hint="default" w:ascii="Times New Roman" w:hAnsi="Times New Roman" w:cs="Times New Roman"/>
                <w:bCs/>
                <w:color w:val="000000"/>
                <w:sz w:val="15"/>
                <w:szCs w:val="15"/>
                <w:shd w:val="clear" w:color="auto" w:fill="FFFFFF"/>
              </w:rPr>
              <w:t>1400</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15"/>
                <w:szCs w:val="15"/>
                <w:shd w:val="clear" w:color="auto" w:fill="FFFFFF"/>
                <w:lang w:val="en-US" w:eastAsia="zh-CN"/>
              </w:rPr>
            </w:pPr>
            <w:r>
              <w:rPr>
                <w:rFonts w:hint="default" w:ascii="Times New Roman" w:hAnsi="Times New Roman" w:cs="Times New Roman"/>
                <w:bCs/>
                <w:color w:val="000000"/>
                <w:sz w:val="15"/>
                <w:szCs w:val="15"/>
                <w:shd w:val="clear" w:color="auto" w:fill="FFFFFF"/>
                <w:lang w:val="en-US" w:eastAsia="zh-CN"/>
              </w:rPr>
              <w:t>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nil"/>
            </w:tcBorders>
            <w:noWrap w:val="0"/>
            <w:vAlign w:val="center"/>
          </w:tcPr>
          <w:p>
            <w:pPr>
              <w:keepNext w:val="0"/>
              <w:keepLines w:val="0"/>
              <w:pageBreakBefore w:val="0"/>
              <w:widowControl w:val="0"/>
              <w:shd w:val="clear" w:color="000000" w:fill="FFFFFF"/>
              <w:kinsoku/>
              <w:wordWrap/>
              <w:overflowPunct/>
              <w:topLinePunct w:val="0"/>
              <w:autoSpaceDE/>
              <w:autoSpaceDN/>
              <w:bidi w:val="0"/>
              <w:adjustRightInd/>
              <w:snapToGrid/>
              <w:spacing w:before="75" w:line="360" w:lineRule="auto"/>
              <w:jc w:val="left"/>
              <w:textAlignment w:val="auto"/>
              <w:rPr>
                <w:rFonts w:hint="default" w:ascii="Times New Roman" w:hAnsi="Times New Roman" w:cs="Times New Roman"/>
                <w:color w:val="000000"/>
                <w:sz w:val="15"/>
                <w:szCs w:val="15"/>
                <w:shd w:val="clear" w:color="auto" w:fill="FFFFFF"/>
              </w:rPr>
            </w:pPr>
            <w:r>
              <w:rPr>
                <w:rStyle w:val="5"/>
                <w:rFonts w:hint="default" w:ascii="Times New Roman" w:hAnsi="Times New Roman" w:cs="Times New Roman"/>
                <w:b w:val="0"/>
                <w:color w:val="000000"/>
                <w:sz w:val="15"/>
                <w:szCs w:val="15"/>
              </w:rPr>
              <w:t>the 2</w:t>
            </w:r>
            <w:r>
              <w:rPr>
                <w:rStyle w:val="5"/>
                <w:rFonts w:hint="default" w:ascii="Times New Roman" w:hAnsi="Times New Roman" w:cs="Times New Roman"/>
                <w:b w:val="0"/>
                <w:color w:val="000000"/>
                <w:sz w:val="15"/>
                <w:szCs w:val="15"/>
                <w:vertAlign w:val="superscript"/>
              </w:rPr>
              <w:t>nd</w:t>
            </w:r>
            <w:r>
              <w:rPr>
                <w:rStyle w:val="5"/>
                <w:rFonts w:hint="default" w:ascii="Times New Roman" w:hAnsi="Times New Roman" w:cs="Times New Roman"/>
                <w:b w:val="0"/>
                <w:color w:val="000000"/>
                <w:sz w:val="15"/>
                <w:szCs w:val="15"/>
              </w:rPr>
              <w:t xml:space="preserve"> People’s Hospital of Yunnan Province</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Style w:val="5"/>
                <w:rFonts w:hint="default" w:ascii="Times New Roman" w:hAnsi="Times New Roman" w:cs="Times New Roman"/>
                <w:b w:val="0"/>
                <w:color w:val="000000"/>
                <w:sz w:val="15"/>
                <w:szCs w:val="15"/>
              </w:rPr>
            </w:pPr>
            <w:r>
              <w:rPr>
                <w:rStyle w:val="5"/>
                <w:rFonts w:hint="default" w:ascii="Times New Roman" w:hAnsi="Times New Roman" w:cs="Times New Roman"/>
                <w:b w:val="0"/>
                <w:color w:val="000000"/>
                <w:sz w:val="15"/>
                <w:szCs w:val="15"/>
              </w:rPr>
              <w:t>Kunming,</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Style w:val="5"/>
                <w:rFonts w:hint="default" w:ascii="Times New Roman" w:hAnsi="Times New Roman" w:cs="Times New Roman"/>
                <w:b w:val="0"/>
                <w:color w:val="000000"/>
                <w:sz w:val="15"/>
                <w:szCs w:val="15"/>
              </w:rPr>
              <w:t>Yan</w:t>
            </w:r>
            <w:r>
              <w:rPr>
                <w:rStyle w:val="5"/>
                <w:rFonts w:hint="default" w:ascii="Times New Roman" w:hAnsi="Times New Roman" w:cs="Times New Roman"/>
                <w:b w:val="0"/>
                <w:bCs w:val="0"/>
                <w:color w:val="000000"/>
                <w:sz w:val="15"/>
                <w:szCs w:val="15"/>
              </w:rPr>
              <w:t>’</w:t>
            </w:r>
            <w:r>
              <w:rPr>
                <w:rStyle w:val="5"/>
                <w:rFonts w:hint="default" w:ascii="Times New Roman" w:hAnsi="Times New Roman" w:cs="Times New Roman"/>
                <w:b w:val="0"/>
                <w:color w:val="000000"/>
                <w:sz w:val="15"/>
                <w:szCs w:val="15"/>
              </w:rPr>
              <w:t>an</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1302</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15"/>
                <w:szCs w:val="15"/>
                <w:shd w:val="clear" w:color="auto" w:fill="FFFFFF"/>
                <w:lang w:val="en-US" w:eastAsia="zh-CN"/>
              </w:rPr>
            </w:pPr>
            <w:r>
              <w:rPr>
                <w:rFonts w:hint="default" w:ascii="Times New Roman" w:hAnsi="Times New Roman" w:cs="Times New Roman"/>
                <w:bCs/>
                <w:color w:val="000000"/>
                <w:sz w:val="15"/>
                <w:szCs w:val="15"/>
                <w:shd w:val="clear" w:color="auto" w:fill="FFFFFF"/>
                <w:lang w:val="en-US" w:eastAsia="zh-CN"/>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3091"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5" w:line="360" w:lineRule="auto"/>
              <w:jc w:val="left"/>
              <w:textAlignment w:val="auto"/>
              <w:rPr>
                <w:rFonts w:hint="default" w:ascii="Times New Roman" w:hAnsi="Times New Roman" w:cs="Times New Roman"/>
                <w:bCs/>
                <w:color w:val="000000"/>
                <w:sz w:val="15"/>
                <w:szCs w:val="15"/>
              </w:rPr>
            </w:pPr>
            <w:r>
              <w:rPr>
                <w:rStyle w:val="5"/>
                <w:rFonts w:hint="default" w:ascii="Times New Roman" w:hAnsi="Times New Roman" w:cs="Times New Roman"/>
                <w:b w:val="0"/>
                <w:color w:val="000000"/>
                <w:sz w:val="15"/>
                <w:szCs w:val="15"/>
              </w:rPr>
              <w:t>Qingdao Municipal Hospital</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ShanDong,</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Qingdao</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1200</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15"/>
                <w:szCs w:val="15"/>
                <w:shd w:val="clear" w:color="auto" w:fill="FFFFFF"/>
                <w:lang w:val="en-US" w:eastAsia="zh-CN"/>
              </w:rPr>
            </w:pPr>
            <w:r>
              <w:rPr>
                <w:rFonts w:hint="default" w:ascii="Times New Roman" w:hAnsi="Times New Roman" w:cs="Times New Roman"/>
                <w:bCs/>
                <w:color w:val="000000"/>
                <w:sz w:val="15"/>
                <w:szCs w:val="15"/>
                <w:shd w:val="clear" w:color="auto" w:fill="FFFFFF"/>
                <w:lang w:val="en-US" w:eastAsia="zh-CN"/>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cs="Times New Roman"/>
                <w:sz w:val="15"/>
                <w:szCs w:val="15"/>
              </w:rPr>
            </w:pPr>
            <w:r>
              <w:rPr>
                <w:rFonts w:hint="default" w:ascii="Times New Roman" w:hAnsi="Times New Roman" w:cs="Times New Roman"/>
                <w:color w:val="000000"/>
                <w:sz w:val="15"/>
                <w:szCs w:val="15"/>
                <w:lang w:val="en-US" w:eastAsia="zh-CN"/>
              </w:rPr>
              <w:t>Beijing Huimin</w:t>
            </w:r>
            <w:r>
              <w:rPr>
                <w:rFonts w:hint="default" w:ascii="Times New Roman" w:hAnsi="Times New Roman" w:cs="Times New Roman"/>
                <w:color w:val="000000"/>
                <w:sz w:val="15"/>
                <w:szCs w:val="15"/>
              </w:rPr>
              <w:t xml:space="preserve"> Hospital</w:t>
            </w:r>
          </w:p>
        </w:tc>
        <w:tc>
          <w:tcPr>
            <w:tcW w:w="1407"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color w:val="000000"/>
                <w:sz w:val="15"/>
                <w:szCs w:val="15"/>
                <w:shd w:val="clear" w:color="auto" w:fill="FFFFFF"/>
              </w:rPr>
            </w:pPr>
            <w:r>
              <w:rPr>
                <w:rFonts w:hint="default" w:ascii="Times New Roman" w:hAnsi="Times New Roman" w:cs="Times New Roman"/>
                <w:color w:val="000000"/>
                <w:sz w:val="15"/>
                <w:szCs w:val="15"/>
                <w:shd w:val="clear" w:color="auto" w:fill="FFFFFF"/>
              </w:rPr>
              <w:t>Beijing</w:t>
            </w:r>
          </w:p>
        </w:tc>
        <w:tc>
          <w:tcPr>
            <w:tcW w:w="1153"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15"/>
                <w:szCs w:val="15"/>
                <w:shd w:val="clear" w:color="auto" w:fill="FFFFFF"/>
              </w:rPr>
            </w:pPr>
            <w:r>
              <w:rPr>
                <w:rFonts w:hint="default" w:ascii="Times New Roman" w:hAnsi="Times New Roman" w:cs="Times New Roman"/>
                <w:bCs/>
                <w:color w:val="000000"/>
                <w:sz w:val="15"/>
                <w:szCs w:val="15"/>
                <w:shd w:val="clear" w:color="auto" w:fill="FFFFFF"/>
              </w:rPr>
              <w:t>Yes</w:t>
            </w:r>
          </w:p>
        </w:tc>
        <w:tc>
          <w:tcPr>
            <w:tcW w:w="1200" w:type="dxa"/>
            <w:tcBorders>
              <w:top w:val="nil"/>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15"/>
                <w:szCs w:val="15"/>
                <w:shd w:val="clear" w:color="auto" w:fill="FFFFFF"/>
                <w:lang w:val="en-US" w:eastAsia="zh-CN"/>
              </w:rPr>
            </w:pPr>
            <w:r>
              <w:rPr>
                <w:rFonts w:hint="default" w:ascii="Times New Roman" w:hAnsi="Times New Roman" w:cs="Times New Roman"/>
                <w:bCs/>
                <w:color w:val="000000"/>
                <w:sz w:val="15"/>
                <w:szCs w:val="15"/>
                <w:shd w:val="clear" w:color="auto" w:fill="FFFFFF"/>
              </w:rPr>
              <w:t>1</w:t>
            </w:r>
            <w:r>
              <w:rPr>
                <w:rFonts w:hint="default" w:ascii="Times New Roman" w:hAnsi="Times New Roman" w:cs="Times New Roman"/>
                <w:bCs/>
                <w:color w:val="000000"/>
                <w:sz w:val="15"/>
                <w:szCs w:val="15"/>
                <w:shd w:val="clear" w:color="auto" w:fill="FFFFFF"/>
                <w:lang w:val="en-US" w:eastAsia="zh-CN"/>
              </w:rPr>
              <w:t>000</w:t>
            </w:r>
          </w:p>
        </w:tc>
        <w:tc>
          <w:tcPr>
            <w:tcW w:w="1537" w:type="dxa"/>
            <w:tcBorders>
              <w:top w:val="nil"/>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eastAsia="宋体" w:cs="Times New Roman"/>
                <w:bCs/>
                <w:color w:val="000000"/>
                <w:sz w:val="15"/>
                <w:szCs w:val="15"/>
                <w:shd w:val="clear" w:color="auto" w:fill="FFFFFF"/>
                <w:lang w:val="en-US" w:eastAsia="zh-CN"/>
              </w:rPr>
            </w:pPr>
            <w:r>
              <w:rPr>
                <w:rFonts w:hint="default" w:ascii="Times New Roman" w:hAnsi="Times New Roman" w:cs="Times New Roman"/>
                <w:bCs/>
                <w:color w:val="000000"/>
                <w:sz w:val="15"/>
                <w:szCs w:val="15"/>
                <w:shd w:val="clear" w:color="auto" w:fill="FFFFFF"/>
                <w:lang w:val="en-US" w:eastAsia="zh-CN"/>
              </w:rPr>
              <w:t>2</w:t>
            </w:r>
          </w:p>
        </w:tc>
      </w:tr>
    </w:tbl>
    <w:p>
      <w:pPr>
        <w:rPr>
          <w:rFonts w:hint="default" w:ascii="Times New Roman" w:hAnsi="Times New Roman" w:cs="Times New Roman"/>
          <w:sz w:val="15"/>
          <w:szCs w:val="15"/>
        </w:rPr>
      </w:pPr>
    </w:p>
    <w:p>
      <w:pPr>
        <w:rPr>
          <w:rFonts w:hint="default" w:ascii="Times New Roman" w:hAnsi="Times New Roman" w:cs="Times New Roman"/>
          <w:sz w:val="20"/>
          <w:szCs w:val="20"/>
          <w:lang w:val="en-US" w:eastAsia="zh-CN"/>
        </w:rPr>
      </w:pPr>
      <w:r>
        <w:rPr>
          <w:rFonts w:hint="default" w:ascii="Times New Roman" w:hAnsi="Times New Roman" w:cs="Times New Roman"/>
          <w:b/>
          <w:bCs/>
          <w:sz w:val="20"/>
          <w:szCs w:val="20"/>
          <w:shd w:val="clear" w:color="auto" w:fill="FFFFFF"/>
        </w:rPr>
        <w:t>Supplementary</w:t>
      </w:r>
      <w:r>
        <w:rPr>
          <w:rFonts w:hint="default" w:ascii="Times New Roman" w:hAnsi="Times New Roman" w:eastAsia="宋体" w:cs="Times New Roman"/>
          <w:b/>
          <w:bCs/>
          <w:sz w:val="20"/>
          <w:szCs w:val="20"/>
          <w:shd w:val="clear" w:color="auto" w:fill="FFFFFF"/>
          <w:lang w:val="en-US" w:eastAsia="zh-CN"/>
        </w:rPr>
        <w:t xml:space="preserve"> Material</w:t>
      </w:r>
      <w:r>
        <w:rPr>
          <w:rFonts w:hint="default" w:ascii="Times New Roman" w:hAnsi="Times New Roman" w:cs="Times New Roman"/>
          <w:b/>
          <w:bCs/>
          <w:sz w:val="20"/>
          <w:szCs w:val="20"/>
          <w:lang w:val="en-US" w:eastAsia="zh-CN"/>
        </w:rPr>
        <w:t xml:space="preserve"> 2 </w:t>
      </w:r>
      <w:r>
        <w:rPr>
          <w:rFonts w:hint="default" w:ascii="Times New Roman" w:hAnsi="Times New Roman" w:cs="Times New Roman"/>
          <w:b/>
          <w:bCs/>
          <w:color w:val="000000"/>
          <w:sz w:val="20"/>
          <w:szCs w:val="20"/>
          <w:shd w:val="clear" w:color="auto" w:fill="FFFFFF"/>
        </w:rPr>
        <w:t>Definition of underlying diseases</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Smoking </w:t>
      </w:r>
      <w:r>
        <w:rPr>
          <w:rFonts w:hint="default" w:ascii="Times New Roman" w:hAnsi="Times New Roman" w:eastAsia="TimesNewRomanPSMT" w:cs="Times New Roman"/>
          <w:color w:val="000000"/>
          <w:kern w:val="0"/>
          <w:sz w:val="20"/>
          <w:szCs w:val="20"/>
          <w:lang w:val="en-US" w:eastAsia="zh-CN" w:bidi="ar"/>
        </w:rPr>
        <w:t xml:space="preserve">was defined as </w:t>
      </w:r>
      <w:r>
        <w:rPr>
          <w:rFonts w:hint="default" w:ascii="Times New Roman" w:hAnsi="Times New Roman" w:cs="Times New Roman"/>
          <w:sz w:val="20"/>
          <w:szCs w:val="20"/>
          <w:lang w:val="en-US" w:eastAsia="zh-CN"/>
        </w:rPr>
        <w:t>cigarette smokers of 10 cigarettes/d during at least the previous year；</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color w:val="auto"/>
          <w:sz w:val="20"/>
          <w:szCs w:val="20"/>
          <w:lang w:val="en-US" w:eastAsia="zh-CN"/>
        </w:rPr>
        <w:t>Cardiovascular disease included coronary heart disease and chronic congestive heart failure;</w:t>
      </w:r>
      <w:r>
        <w:rPr>
          <w:rFonts w:hint="default" w:ascii="Times New Roman" w:hAnsi="Times New Roman" w:cs="Times New Roman"/>
          <w:sz w:val="20"/>
          <w:szCs w:val="20"/>
          <w:lang w:val="en-US" w:eastAsia="zh-CN"/>
        </w:rPr>
        <w:t>;</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Coronary heart disease included angina pectoris, myocardial infarction, ischemic cardiomyopathy;</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Heart failure was defined as a clinical syndrome consisting of dyspnea, malaise, swelling and/or decreased exercise capacity due to the loss of compensation for cardiac pumping function due to structural and/or functional abnormalities of the heart;</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Cerebrovascular diseases included transient ischemic attack, cerebral hemorrhage, subarachnoid hemorrhage, cerebral infarction;</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Diabetes mellitus: included diabetes mellitus type 1 and diabetes mellitus type 2, not included impaired glucose tolerance and impaired fasting glycaemia;</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Chronic obstructive pulmonary disease was defined as: persistent airflow limitation, FEV</w:t>
      </w:r>
      <w:r>
        <w:rPr>
          <w:rFonts w:hint="default" w:ascii="Times New Roman" w:hAnsi="Times New Roman" w:cs="Times New Roman"/>
          <w:sz w:val="20"/>
          <w:szCs w:val="20"/>
          <w:vertAlign w:val="subscript"/>
          <w:lang w:val="en-US" w:eastAsia="zh-CN"/>
        </w:rPr>
        <w:t>1</w:t>
      </w:r>
      <w:r>
        <w:rPr>
          <w:rFonts w:hint="default" w:ascii="Times New Roman" w:hAnsi="Times New Roman" w:cs="Times New Roman"/>
          <w:sz w:val="20"/>
          <w:szCs w:val="20"/>
          <w:lang w:val="en-US" w:eastAsia="zh-CN"/>
        </w:rPr>
        <w:t xml:space="preserve"> / FVC &lt; 70% post bronchodilator;</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Asthma was defined by the history of respiratory symptoms such as wheeze, cough that varied over time and intensity, together with variable respiratory airway limitation;</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cs="Times New Roman"/>
          <w:color w:val="000000"/>
          <w:sz w:val="20"/>
          <w:szCs w:val="20"/>
        </w:rPr>
      </w:pPr>
      <w:r>
        <w:rPr>
          <w:rFonts w:hint="default" w:ascii="Times New Roman" w:hAnsi="Times New Roman" w:cs="Times New Roman"/>
          <w:color w:val="000000"/>
          <w:sz w:val="20"/>
          <w:szCs w:val="20"/>
        </w:rPr>
        <w:t>Chronic kidney disease included diabetic nephropathy, hypertensive renal damage, chronic glomerulonephritis, chronic pyelonephritis, lupus nephritis, IgA nephropathy, nephrotic syndrome, hereditary kidney disease;</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eastAsia="宋体" w:cs="Times New Roman"/>
          <w:color w:val="000000"/>
          <w:sz w:val="20"/>
          <w:szCs w:val="20"/>
          <w:lang w:val="en-US" w:eastAsia="zh-CN"/>
        </w:rPr>
        <w:t>Obesity was defined as body mass index (BMI) ≥ 30 kg/m</w:t>
      </w:r>
      <w:r>
        <w:rPr>
          <w:rFonts w:hint="default" w:ascii="Times New Roman" w:hAnsi="Times New Roman" w:eastAsia="宋体" w:cs="Times New Roman"/>
          <w:color w:val="000000"/>
          <w:sz w:val="20"/>
          <w:szCs w:val="20"/>
          <w:vertAlign w:val="superscript"/>
          <w:lang w:val="en-US" w:eastAsia="zh-CN"/>
        </w:rPr>
        <w:t>2</w:t>
      </w:r>
      <w:r>
        <w:rPr>
          <w:rFonts w:hint="default" w:ascii="Times New Roman" w:hAnsi="Times New Roman" w:eastAsia="宋体" w:cs="Times New Roman"/>
          <w:color w:val="000000"/>
          <w:sz w:val="20"/>
          <w:szCs w:val="20"/>
          <w:lang w:val="en-US"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cs="Times New Roman"/>
          <w:sz w:val="20"/>
          <w:szCs w:val="20"/>
          <w:lang w:val="en-US" w:eastAsia="zh-CN"/>
        </w:rPr>
      </w:pPr>
      <w:r>
        <w:rPr>
          <w:rFonts w:hint="default" w:ascii="Times New Roman" w:hAnsi="Times New Roman" w:cs="Times New Roman"/>
          <w:color w:val="000000"/>
          <w:sz w:val="20"/>
          <w:szCs w:val="20"/>
        </w:rPr>
        <w:t>Immunosuppressive therapy: was defined as receiving cancer chemotherapy, receiving corticosteroid therapy with a dose ≥ 20 mg prednisone or equivalent daily for ≥ 14 d or a cumulative dose &gt; 600 mg of prednisone, receiving biological immune modulators, receiving disease-modifying antirheumatic drugs or other immunosuppressive drugs (eg, cyclosporin, cyclophosphamide, hydroxychloroquine, methotrexate)</w:t>
      </w:r>
      <w:r>
        <w:rPr>
          <w:rFonts w:hint="default" w:ascii="Times New Roman" w:hAnsi="Times New Roman" w:cs="Times New Roman"/>
          <w:bCs/>
          <w:color w:val="000000"/>
          <w:sz w:val="20"/>
          <w:szCs w:val="20"/>
          <w:shd w:val="clear" w:color="auto" w:fill="FFFFFF"/>
        </w:rPr>
        <w:t>.</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Mental confusion was defined as a mental test score of 8 or less or disorientation in person, place or time.</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shd w:val="clear" w:color="auto" w:fill="FFFFFF"/>
        </w:rPr>
        <w:t>Supplementary</w:t>
      </w:r>
      <w:r>
        <w:rPr>
          <w:rFonts w:hint="default" w:ascii="Times New Roman" w:hAnsi="Times New Roman" w:eastAsia="宋体" w:cs="Times New Roman"/>
          <w:b/>
          <w:bCs/>
          <w:sz w:val="20"/>
          <w:szCs w:val="20"/>
          <w:shd w:val="clear" w:color="auto" w:fill="FFFFFF"/>
          <w:lang w:val="en-US" w:eastAsia="zh-CN"/>
        </w:rPr>
        <w:t xml:space="preserve"> Material</w:t>
      </w:r>
      <w:r>
        <w:rPr>
          <w:rFonts w:hint="default" w:ascii="Times New Roman" w:hAnsi="Times New Roman" w:cs="Times New Roman"/>
          <w:b/>
          <w:bCs/>
          <w:sz w:val="20"/>
          <w:szCs w:val="20"/>
          <w:lang w:val="en-US" w:eastAsia="zh-CN"/>
        </w:rPr>
        <w:t xml:space="preserve"> 3 </w:t>
      </w:r>
      <w:r>
        <w:rPr>
          <w:rFonts w:hint="default" w:ascii="Times New Roman" w:hAnsi="Times New Roman" w:eastAsia="华文琥珀" w:cs="Times New Roman"/>
          <w:b/>
          <w:bCs/>
          <w:color w:val="000000"/>
          <w:sz w:val="20"/>
          <w:szCs w:val="20"/>
        </w:rPr>
        <w:t xml:space="preserve">Definition of </w:t>
      </w:r>
      <w:r>
        <w:rPr>
          <w:rFonts w:hint="default" w:ascii="Times New Roman" w:hAnsi="Times New Roman" w:cs="Times New Roman"/>
          <w:b/>
          <w:bCs/>
          <w:color w:val="000000"/>
          <w:sz w:val="20"/>
          <w:szCs w:val="20"/>
        </w:rPr>
        <w:t xml:space="preserve">microbiological criteria of </w:t>
      </w:r>
      <w:r>
        <w:rPr>
          <w:rFonts w:hint="default" w:ascii="Times New Roman" w:hAnsi="Times New Roman" w:cs="Times New Roman"/>
          <w:b/>
          <w:bCs/>
          <w:sz w:val="20"/>
          <w:szCs w:val="20"/>
          <w:vertAlign w:val="baseline"/>
          <w:lang w:val="en-US" w:eastAsia="zh-CN"/>
        </w:rPr>
        <w:t>coinfected with other pathogens</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Positive urinary antigen for </w:t>
      </w:r>
      <w:r>
        <w:rPr>
          <w:rFonts w:hint="default" w:ascii="Times New Roman" w:hAnsi="Times New Roman" w:eastAsia="华文琥珀" w:cs="Times New Roman"/>
          <w:bCs/>
          <w:i/>
          <w:color w:val="000000"/>
          <w:sz w:val="20"/>
          <w:szCs w:val="20"/>
        </w:rPr>
        <w:t>Legionella pneumophila</w:t>
      </w:r>
      <w:r>
        <w:rPr>
          <w:rFonts w:hint="default" w:ascii="Times New Roman" w:hAnsi="Times New Roman" w:eastAsia="华文琥珀" w:cs="Times New Roman"/>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Positive urinary antigen for </w:t>
      </w:r>
      <w:r>
        <w:rPr>
          <w:rFonts w:hint="default" w:ascii="Times New Roman" w:hAnsi="Times New Roman" w:eastAsia="华文琥珀" w:cs="Times New Roman"/>
          <w:bCs/>
          <w:i/>
          <w:color w:val="000000"/>
          <w:sz w:val="20"/>
          <w:szCs w:val="20"/>
        </w:rPr>
        <w:t>Streptococcus pneumoniae</w:t>
      </w:r>
      <w:r>
        <w:rPr>
          <w:rFonts w:hint="default" w:ascii="Times New Roman" w:hAnsi="Times New Roman" w:eastAsia="华文琥珀" w:cs="Times New Roman"/>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Positive bacterial culture from blood or plural fluid except for coagulase negative </w:t>
      </w:r>
      <w:r>
        <w:rPr>
          <w:rFonts w:hint="default" w:ascii="Times New Roman" w:hAnsi="Times New Roman" w:eastAsia="华文琥珀" w:cs="Times New Roman"/>
          <w:bCs/>
          <w:i/>
          <w:color w:val="000000"/>
          <w:sz w:val="20"/>
          <w:szCs w:val="20"/>
        </w:rPr>
        <w:t>Staphylococcus spp</w:t>
      </w:r>
      <w:r>
        <w:rPr>
          <w:rFonts w:hint="default" w:ascii="Times New Roman" w:hAnsi="Times New Roman" w:eastAsia="华文琥珀" w:cs="Times New Roman"/>
          <w:bCs/>
          <w:color w:val="000000"/>
          <w:sz w:val="20"/>
          <w:szCs w:val="20"/>
        </w:rPr>
        <w:t>.</w:t>
      </w:r>
      <w:r>
        <w:rPr>
          <w:rFonts w:hint="default" w:ascii="Times New Roman" w:hAnsi="Times New Roman" w:eastAsia="华文琥珀" w:cs="Times New Roman"/>
          <w:bCs/>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Paired sera with a fourfold or more increase in the titers of antibodies to </w:t>
      </w:r>
      <w:r>
        <w:rPr>
          <w:rFonts w:hint="default" w:ascii="Times New Roman" w:hAnsi="Times New Roman" w:eastAsia="华文琥珀" w:cs="Times New Roman"/>
          <w:bCs/>
          <w:i/>
          <w:color w:val="000000"/>
          <w:sz w:val="20"/>
          <w:szCs w:val="20"/>
        </w:rPr>
        <w:t>Mycoplasma pneumoniae</w:t>
      </w:r>
      <w:r>
        <w:rPr>
          <w:rFonts w:hint="default" w:ascii="Times New Roman" w:hAnsi="Times New Roman" w:eastAsia="华文琥珀" w:cs="Times New Roman"/>
          <w:bCs/>
          <w:color w:val="000000"/>
          <w:sz w:val="20"/>
          <w:szCs w:val="20"/>
        </w:rPr>
        <w:t xml:space="preserve"> (MP), </w:t>
      </w:r>
      <w:r>
        <w:rPr>
          <w:rFonts w:hint="default" w:ascii="Times New Roman" w:hAnsi="Times New Roman" w:eastAsia="华文琥珀" w:cs="Times New Roman"/>
          <w:bCs/>
          <w:i/>
          <w:color w:val="000000"/>
          <w:sz w:val="20"/>
          <w:szCs w:val="20"/>
        </w:rPr>
        <w:t>Chlamydia pneumonia</w:t>
      </w:r>
      <w:r>
        <w:rPr>
          <w:rFonts w:hint="default" w:ascii="Times New Roman" w:hAnsi="Times New Roman" w:eastAsia="华文琥珀" w:cs="Times New Roman"/>
          <w:bCs/>
          <w:color w:val="000000"/>
          <w:sz w:val="20"/>
          <w:szCs w:val="20"/>
        </w:rPr>
        <w:t xml:space="preserve">, </w:t>
      </w:r>
      <w:r>
        <w:rPr>
          <w:rFonts w:hint="default" w:ascii="Times New Roman" w:hAnsi="Times New Roman" w:eastAsia="华文琥珀" w:cs="Times New Roman"/>
          <w:bCs/>
          <w:i/>
          <w:color w:val="000000"/>
          <w:sz w:val="20"/>
          <w:szCs w:val="20"/>
        </w:rPr>
        <w:t xml:space="preserve">L pneumophila or </w:t>
      </w:r>
      <w:r>
        <w:rPr>
          <w:rFonts w:hint="default" w:ascii="Times New Roman" w:hAnsi="Times New Roman" w:eastAsia="华文琥珀" w:cs="Times New Roman"/>
          <w:bCs/>
          <w:color w:val="000000"/>
          <w:sz w:val="20"/>
          <w:szCs w:val="20"/>
        </w:rPr>
        <w:t>respiratory viruses (</w:t>
      </w:r>
      <w:r>
        <w:rPr>
          <w:rFonts w:hint="default" w:ascii="Times New Roman" w:hAnsi="Times New Roman" w:eastAsia="华文琥珀" w:cs="Times New Roman"/>
          <w:bCs/>
          <w:i/>
          <w:color w:val="000000"/>
          <w:sz w:val="20"/>
          <w:szCs w:val="20"/>
        </w:rPr>
        <w:t xml:space="preserve"> </w:t>
      </w:r>
      <w:r>
        <w:rPr>
          <w:rFonts w:hint="default" w:ascii="Times New Roman" w:hAnsi="Times New Roman" w:eastAsia="华文琥珀" w:cs="Times New Roman"/>
          <w:bCs/>
          <w:color w:val="000000"/>
          <w:sz w:val="20"/>
          <w:szCs w:val="20"/>
        </w:rPr>
        <w:t>Parainfluenza, Adenovirus,</w:t>
      </w:r>
      <w:r>
        <w:rPr>
          <w:rFonts w:hint="default" w:ascii="Times New Roman" w:hAnsi="Times New Roman" w:eastAsia="华文琥珀" w:cs="Times New Roman"/>
          <w:bCs/>
          <w:i/>
          <w:color w:val="000000"/>
          <w:sz w:val="20"/>
          <w:szCs w:val="20"/>
        </w:rPr>
        <w:t xml:space="preserve"> </w:t>
      </w:r>
      <w:r>
        <w:rPr>
          <w:rFonts w:hint="default" w:ascii="Times New Roman" w:hAnsi="Times New Roman" w:eastAsia="华文琥珀" w:cs="Times New Roman"/>
          <w:color w:val="000000"/>
          <w:sz w:val="20"/>
          <w:szCs w:val="20"/>
        </w:rPr>
        <w:t>Respiratory syncytial virus)</w:t>
      </w:r>
      <w:r>
        <w:rPr>
          <w:rFonts w:hint="default" w:ascii="Times New Roman" w:hAnsi="Times New Roman" w:eastAsia="华文琥珀" w:cs="Times New Roman"/>
          <w:bCs/>
          <w:i/>
          <w:color w:val="000000"/>
          <w:sz w:val="20"/>
          <w:szCs w:val="20"/>
        </w:rPr>
        <w:t xml:space="preserve">. </w:t>
      </w:r>
      <w:r>
        <w:rPr>
          <w:rFonts w:hint="default" w:ascii="Times New Roman" w:hAnsi="Times New Roman" w:eastAsia="华文琥珀" w:cs="Times New Roman"/>
          <w:bCs/>
          <w:color w:val="000000"/>
          <w:sz w:val="20"/>
          <w:szCs w:val="20"/>
        </w:rPr>
        <w:t xml:space="preserve">Or Serum IgM antibody (MIF) </w:t>
      </w:r>
      <w:r>
        <w:rPr>
          <w:rFonts w:hint="default" w:ascii="Times New Roman" w:hAnsi="Times New Roman" w:eastAsia="华文琥珀" w:cs="Times New Roman"/>
          <w:bCs/>
          <w:color w:val="000000"/>
          <w:sz w:val="20"/>
          <w:szCs w:val="20"/>
        </w:rPr>
        <w:sym w:font="Symbol" w:char="F0B3"/>
      </w:r>
      <w:r>
        <w:rPr>
          <w:rFonts w:hint="default" w:ascii="Times New Roman" w:hAnsi="Times New Roman" w:eastAsia="华文琥珀" w:cs="Times New Roman"/>
          <w:bCs/>
          <w:color w:val="000000"/>
          <w:sz w:val="20"/>
          <w:szCs w:val="20"/>
        </w:rPr>
        <w:t xml:space="preserve"> 1:16 for </w:t>
      </w:r>
      <w:r>
        <w:rPr>
          <w:rFonts w:hint="default" w:ascii="Times New Roman" w:hAnsi="Times New Roman" w:eastAsia="华文琥珀" w:cs="Times New Roman"/>
          <w:bCs/>
          <w:i/>
          <w:color w:val="000000"/>
          <w:sz w:val="20"/>
          <w:szCs w:val="20"/>
        </w:rPr>
        <w:t>Chlamydia pneumonia</w:t>
      </w:r>
      <w:r>
        <w:rPr>
          <w:rFonts w:hint="default" w:ascii="Times New Roman" w:hAnsi="Times New Roman" w:eastAsia="华文琥珀" w:cs="Times New Roman"/>
          <w:bCs/>
          <w:i w:val="0"/>
          <w:iCs/>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Detection of respiratory virus in sputum/bronchoalveolar lavage (BALF)/throat swabs by Realtime-PCR according to manufacturer’s instructions, including respiratory syncytial virus (RSV) types A and B, parainfluenza virus (PIV) types 1, 2, 3 and 4, rhinovirus (HRV), enterovirus (EV), coronavirus (hCoV) types 229E, NL63, OC43 and HKU1, parapneumovirus (hMPV), and adenovirus (AdV), bocavirus;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Bacteria isolated form purulent sputum (defined as an adequate quality sputum sample with &gt; 25 leukocytes and &lt; 10 epithelial cells per × 100 magnification field) with compatible findings of Gram staining;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Detection of </w:t>
      </w:r>
      <w:r>
        <w:rPr>
          <w:rFonts w:hint="default" w:ascii="Times New Roman" w:hAnsi="Times New Roman" w:eastAsia="华文琥珀" w:cs="Times New Roman"/>
          <w:bCs/>
          <w:i/>
          <w:color w:val="000000"/>
          <w:sz w:val="20"/>
          <w:szCs w:val="20"/>
        </w:rPr>
        <w:t>Mycoplasma pneumoniae</w:t>
      </w:r>
      <w:r>
        <w:rPr>
          <w:rFonts w:hint="default" w:ascii="Times New Roman" w:hAnsi="Times New Roman" w:eastAsia="华文琥珀" w:cs="Times New Roman"/>
          <w:bCs/>
          <w:color w:val="000000"/>
          <w:sz w:val="20"/>
          <w:szCs w:val="20"/>
        </w:rPr>
        <w:t xml:space="preserve"> (MP), </w:t>
      </w:r>
      <w:r>
        <w:rPr>
          <w:rFonts w:hint="default" w:ascii="Times New Roman" w:hAnsi="Times New Roman" w:eastAsia="华文琥珀" w:cs="Times New Roman"/>
          <w:bCs/>
          <w:i/>
          <w:color w:val="000000"/>
          <w:sz w:val="20"/>
          <w:szCs w:val="20"/>
        </w:rPr>
        <w:t>Chlamydia pneumonia</w:t>
      </w:r>
      <w:r>
        <w:rPr>
          <w:rFonts w:hint="default" w:ascii="Times New Roman" w:hAnsi="Times New Roman" w:eastAsia="华文琥珀" w:cs="Times New Roman"/>
          <w:bCs/>
          <w:color w:val="000000"/>
          <w:sz w:val="20"/>
          <w:szCs w:val="20"/>
        </w:rPr>
        <w:t xml:space="preserve"> or </w:t>
      </w:r>
      <w:r>
        <w:rPr>
          <w:rFonts w:hint="default" w:ascii="Times New Roman" w:hAnsi="Times New Roman" w:eastAsia="华文琥珀" w:cs="Times New Roman"/>
          <w:bCs/>
          <w:i/>
          <w:color w:val="000000"/>
          <w:sz w:val="20"/>
          <w:szCs w:val="20"/>
        </w:rPr>
        <w:t>L pneumophila</w:t>
      </w:r>
      <w:r>
        <w:rPr>
          <w:rFonts w:hint="default" w:ascii="Times New Roman" w:hAnsi="Times New Roman" w:eastAsia="华文琥珀" w:cs="Times New Roman"/>
          <w:bCs/>
          <w:color w:val="000000"/>
          <w:sz w:val="20"/>
          <w:szCs w:val="20"/>
        </w:rPr>
        <w:t xml:space="preserve"> in sputum/BALF/throat swabs by Realtime-PCR</w:t>
      </w:r>
      <w:r>
        <w:rPr>
          <w:rFonts w:hint="default" w:ascii="Times New Roman" w:hAnsi="Times New Roman" w:eastAsia="华文琥珀" w:cs="Times New Roman"/>
          <w:bCs/>
          <w:color w:val="000000"/>
          <w:sz w:val="20"/>
          <w:szCs w:val="20"/>
          <w:lang w:val="en-US" w:eastAsia="zh-CN"/>
        </w:rPr>
        <w:t>;</w:t>
      </w:r>
      <w:r>
        <w:rPr>
          <w:rFonts w:hint="default" w:ascii="Times New Roman" w:hAnsi="Times New Roman" w:eastAsia="华文琥珀" w:cs="Times New Roman"/>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lang w:val="en-US" w:eastAsia="zh-CN"/>
        </w:rPr>
        <w:t>s</w:t>
      </w:r>
      <w:r>
        <w:rPr>
          <w:rFonts w:hint="default" w:ascii="Times New Roman" w:hAnsi="Times New Roman" w:eastAsia="华文琥珀" w:cs="Times New Roman"/>
          <w:bCs/>
          <w:color w:val="000000"/>
          <w:sz w:val="20"/>
          <w:szCs w:val="20"/>
        </w:rPr>
        <w:t xml:space="preserve">erum IgM antibody positive for </w:t>
      </w:r>
      <w:r>
        <w:rPr>
          <w:rFonts w:hint="default" w:ascii="Times New Roman" w:hAnsi="Times New Roman" w:eastAsia="华文琥珀" w:cs="Times New Roman"/>
          <w:bCs/>
          <w:i/>
          <w:color w:val="000000"/>
          <w:sz w:val="20"/>
          <w:szCs w:val="20"/>
        </w:rPr>
        <w:t>Mycoplasma pneumoniae</w:t>
      </w:r>
      <w:r>
        <w:rPr>
          <w:rFonts w:hint="default" w:ascii="Times New Roman" w:hAnsi="Times New Roman" w:eastAsia="华文琥珀" w:cs="Times New Roman"/>
          <w:bCs/>
          <w:color w:val="000000"/>
          <w:sz w:val="20"/>
          <w:szCs w:val="20"/>
        </w:rPr>
        <w:t xml:space="preserve"> (MP), or Serum IgG antibody (MIF) </w:t>
      </w:r>
      <w:r>
        <w:rPr>
          <w:rFonts w:hint="default" w:ascii="Times New Roman" w:hAnsi="Times New Roman" w:eastAsia="华文琥珀" w:cs="Times New Roman"/>
          <w:bCs/>
          <w:color w:val="000000"/>
          <w:sz w:val="20"/>
          <w:szCs w:val="20"/>
        </w:rPr>
        <w:sym w:font="Symbol" w:char="F0B3"/>
      </w:r>
      <w:r>
        <w:rPr>
          <w:rFonts w:hint="default" w:ascii="Times New Roman" w:hAnsi="Times New Roman" w:eastAsia="华文琥珀" w:cs="Times New Roman"/>
          <w:bCs/>
          <w:color w:val="000000"/>
          <w:sz w:val="20"/>
          <w:szCs w:val="20"/>
        </w:rPr>
        <w:t xml:space="preserve"> 1:512 for </w:t>
      </w:r>
      <w:r>
        <w:rPr>
          <w:rFonts w:hint="default" w:ascii="Times New Roman" w:hAnsi="Times New Roman" w:eastAsia="华文琥珀" w:cs="Times New Roman"/>
          <w:bCs/>
          <w:i/>
          <w:color w:val="000000"/>
          <w:sz w:val="20"/>
          <w:szCs w:val="20"/>
        </w:rPr>
        <w:t>Chlamydia pneumonia</w:t>
      </w:r>
      <w:r>
        <w:rPr>
          <w:rFonts w:hint="default" w:ascii="Times New Roman" w:hAnsi="Times New Roman" w:eastAsia="华文琥珀" w:cs="Times New Roman"/>
          <w:bCs/>
          <w:i/>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color w:val="000000"/>
          <w:sz w:val="20"/>
          <w:szCs w:val="20"/>
        </w:rPr>
        <w:t>Invasive pulmonary aspergillosis were diagnosed in accordance with the revised definitions of invasive fungal diseases from the European Organization for Research and Treatment of Cancer and the Mycoses Study Group Education and Research Consortium</w:t>
      </w:r>
      <w:r>
        <w:rPr>
          <w:rFonts w:hint="default" w:ascii="Times New Roman" w:hAnsi="Times New Roman" w:eastAsia="华文琥珀" w:cs="Times New Roman"/>
          <w:color w:val="000000"/>
          <w:sz w:val="20"/>
          <w:szCs w:val="20"/>
          <w:lang w:val="en-US" w:eastAsia="zh-CN"/>
        </w:rPr>
        <w:t xml:space="preserve"> [1].</w:t>
      </w:r>
      <w:r>
        <w:rPr>
          <w:rFonts w:hint="default" w:ascii="Times New Roman" w:hAnsi="Times New Roman" w:eastAsia="华文琥珀" w:cs="Times New Roman"/>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color w:val="000000"/>
          <w:sz w:val="20"/>
          <w:szCs w:val="20"/>
        </w:rPr>
        <w:t>Cytomegalovirus</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CMV</w:t>
      </w:r>
      <w:r>
        <w:rPr>
          <w:rFonts w:hint="default" w:ascii="Times New Roman" w:hAnsi="Times New Roman" w:eastAsia="华文琥珀" w:cs="Times New Roman"/>
          <w:color w:val="000000"/>
          <w:sz w:val="20"/>
          <w:szCs w:val="20"/>
          <w:lang w:val="en-US" w:eastAsia="zh-CN"/>
        </w:rPr>
        <w:t>)</w:t>
      </w:r>
      <w:r>
        <w:rPr>
          <w:rFonts w:hint="default" w:ascii="Times New Roman" w:hAnsi="Times New Roman" w:eastAsia="华文琥珀" w:cs="Times New Roman"/>
          <w:color w:val="000000"/>
          <w:sz w:val="20"/>
          <w:szCs w:val="20"/>
        </w:rPr>
        <w:t xml:space="preserve"> pneumonia </w:t>
      </w:r>
      <w:r>
        <w:rPr>
          <w:rFonts w:hint="default" w:ascii="Times New Roman" w:hAnsi="Times New Roman" w:eastAsia="华文琥珀" w:cs="Times New Roman"/>
          <w:color w:val="000000"/>
          <w:sz w:val="20"/>
          <w:szCs w:val="20"/>
          <w:lang w:val="en-US" w:eastAsia="zh-CN"/>
        </w:rPr>
        <w:t>wa</w:t>
      </w:r>
      <w:r>
        <w:rPr>
          <w:rFonts w:hint="default" w:ascii="Times New Roman" w:hAnsi="Times New Roman" w:eastAsia="华文琥珀" w:cs="Times New Roman"/>
          <w:color w:val="000000"/>
          <w:sz w:val="20"/>
          <w:szCs w:val="20"/>
        </w:rPr>
        <w:t>s defined by the presence</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of signs and/or symptoms of pulmonary disease combined with</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the detection of CMV in bronchoalveolar lavage fluid or lung</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tissue samples</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Detection of CMV should be performed by virus</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isolation, histopathologic testing, immunohistochemical analysis, or in situhybridization</w:t>
      </w:r>
      <w:r>
        <w:rPr>
          <w:rFonts w:hint="default" w:ascii="Times New Roman" w:hAnsi="Times New Roman" w:eastAsia="华文琥珀" w:cs="Times New Roman"/>
          <w:color w:val="000000"/>
          <w:sz w:val="20"/>
          <w:szCs w:val="20"/>
          <w:lang w:val="en-US" w:eastAsia="zh-CN"/>
        </w:rPr>
        <w:t xml:space="preserve"> [2]</w:t>
      </w:r>
      <w:r>
        <w:rPr>
          <w:rFonts w:hint="default" w:ascii="Times New Roman" w:hAnsi="Times New Roman" w:eastAsia="华文琥珀" w:cs="Times New Roman"/>
          <w:color w:val="000000"/>
          <w:sz w:val="20"/>
          <w:szCs w:val="20"/>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color w:val="000000"/>
          <w:sz w:val="20"/>
          <w:szCs w:val="20"/>
        </w:rPr>
        <w:t>Pneumocystis jirovecii</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PJP</w:t>
      </w:r>
      <w:r>
        <w:rPr>
          <w:rFonts w:hint="default" w:ascii="Times New Roman" w:hAnsi="Times New Roman" w:eastAsia="华文琥珀" w:cs="Times New Roman"/>
          <w:color w:val="000000"/>
          <w:sz w:val="20"/>
          <w:szCs w:val="20"/>
          <w:lang w:val="en-US" w:eastAsia="zh-CN"/>
        </w:rPr>
        <w:t>)</w:t>
      </w:r>
      <w:r>
        <w:rPr>
          <w:rFonts w:hint="default" w:ascii="Times New Roman" w:hAnsi="Times New Roman" w:eastAsia="华文琥珀" w:cs="Times New Roman"/>
          <w:color w:val="000000"/>
          <w:sz w:val="20"/>
          <w:szCs w:val="20"/>
        </w:rPr>
        <w:t xml:space="preserve"> diagnosis was based on a positive direct microscopy</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by immunofluorescence on induced sputum or bronchoalveolar lavage (BAL) and/or a positive PCR</w:t>
      </w:r>
      <w:r>
        <w:rPr>
          <w:rFonts w:hint="default" w:ascii="Times New Roman" w:hAnsi="Times New Roman" w:eastAsia="华文琥珀" w:cs="Times New Roman"/>
          <w:color w:val="000000"/>
          <w:sz w:val="20"/>
          <w:szCs w:val="20"/>
          <w:lang w:val="en-US" w:eastAsia="zh-CN"/>
        </w:rPr>
        <w:t xml:space="preserve"> </w:t>
      </w:r>
      <w:r>
        <w:rPr>
          <w:rFonts w:hint="default" w:ascii="Times New Roman" w:hAnsi="Times New Roman" w:eastAsia="华文琥珀" w:cs="Times New Roman"/>
          <w:color w:val="000000"/>
          <w:sz w:val="20"/>
          <w:szCs w:val="20"/>
        </w:rPr>
        <w:t xml:space="preserve">assay on a BAL specimen </w:t>
      </w:r>
      <w:r>
        <w:rPr>
          <w:rFonts w:hint="default" w:ascii="Times New Roman" w:hAnsi="Times New Roman" w:eastAsia="华文琥珀" w:cs="Times New Roman"/>
          <w:color w:val="000000"/>
          <w:sz w:val="20"/>
          <w:szCs w:val="20"/>
          <w:lang w:val="en-US" w:eastAsia="zh-CN"/>
        </w:rPr>
        <w:t>[3].</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hint="default" w:ascii="Times New Roman" w:hAnsi="Times New Roman" w:eastAsia="华文琥珀" w:cs="Times New Roman"/>
          <w:color w:val="000000"/>
          <w:sz w:val="20"/>
          <w:szCs w:val="20"/>
          <w:lang w:val="en-US" w:eastAsia="zh-CN"/>
        </w:rPr>
      </w:pPr>
      <w:r>
        <w:rPr>
          <w:rFonts w:hint="default" w:ascii="Times New Roman" w:hAnsi="Times New Roman" w:eastAsia="华文琥珀" w:cs="Times New Roman"/>
          <w:color w:val="000000"/>
          <w:sz w:val="20"/>
          <w:szCs w:val="20"/>
          <w:lang w:val="en-US" w:eastAsia="zh-CN"/>
        </w:rPr>
        <w:t>References</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0"/>
        <w:jc w:val="both"/>
        <w:textAlignment w:val="auto"/>
        <w:outlineLvl w:val="0"/>
        <w:rPr>
          <w:rFonts w:hint="default" w:ascii="Times New Roman" w:hAnsi="Times New Roman" w:eastAsia="华文琥珀" w:cs="Times New Roman"/>
          <w:color w:val="000000"/>
          <w:sz w:val="20"/>
          <w:szCs w:val="20"/>
          <w:lang w:val="en-US" w:eastAsia="zh-CN"/>
        </w:rPr>
      </w:pPr>
      <w:r>
        <w:rPr>
          <w:rFonts w:hint="default" w:ascii="Times New Roman" w:hAnsi="Times New Roman" w:eastAsia="华文琥珀" w:cs="Times New Roman"/>
          <w:color w:val="000000"/>
          <w:sz w:val="20"/>
          <w:szCs w:val="20"/>
          <w:lang w:val="en-US" w:eastAsia="zh-CN"/>
        </w:rPr>
        <w:t xml:space="preserve">Donnelly JP, Chen SC, Kauffman CA, et al. Revision and Update of the Consensus Definitions of Invasive Fungal Disease From the European Organization for Research and Treatment of Cancer and the Mycoses Study Group Education and Research Consortium. Clin Infect Dis. 2019, pii: ciz1008.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0"/>
        <w:jc w:val="both"/>
        <w:textAlignment w:val="auto"/>
        <w:outlineLvl w:val="0"/>
        <w:rPr>
          <w:rFonts w:hint="default" w:ascii="Times New Roman" w:hAnsi="Times New Roman" w:eastAsia="华文琥珀" w:cs="Times New Roman"/>
          <w:color w:val="000000"/>
          <w:sz w:val="20"/>
          <w:szCs w:val="20"/>
          <w:lang w:val="en-US" w:eastAsia="zh-CN"/>
        </w:rPr>
      </w:pPr>
      <w:r>
        <w:rPr>
          <w:rFonts w:hint="default" w:ascii="Times New Roman" w:hAnsi="Times New Roman" w:eastAsia="华文琥珀" w:cs="Times New Roman"/>
          <w:color w:val="000000"/>
          <w:sz w:val="20"/>
          <w:szCs w:val="20"/>
          <w:lang w:val="en-US" w:eastAsia="zh-CN"/>
        </w:rPr>
        <w:t>Per Ljungman, Paul Griffiths, Carlos Paya. Definitions of cytomegalovirus infection and disease in transplant recipients. Clin Infect Dis. 2002;34(8):1094-7</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0"/>
        <w:jc w:val="both"/>
        <w:textAlignment w:val="auto"/>
        <w:outlineLvl w:val="0"/>
        <w:rPr>
          <w:rFonts w:hint="default" w:ascii="Times New Roman" w:hAnsi="Times New Roman" w:eastAsia="华文琥珀" w:cs="Times New Roman"/>
          <w:color w:val="000000"/>
          <w:sz w:val="20"/>
          <w:szCs w:val="20"/>
          <w:lang w:val="en-US" w:eastAsia="zh-CN"/>
        </w:rPr>
      </w:pPr>
      <w:r>
        <w:rPr>
          <w:rFonts w:hint="default" w:ascii="Times New Roman" w:hAnsi="Times New Roman" w:eastAsia="华文琥珀" w:cs="Times New Roman"/>
          <w:color w:val="000000"/>
          <w:sz w:val="20"/>
          <w:szCs w:val="20"/>
          <w:lang w:val="en-US" w:eastAsia="zh-CN"/>
        </w:rPr>
        <w:t>Alanio A, Hauser PM, Lagrou K, Melchers WJ, Helweg-Larsen J, Matos O, et al. ECIL guidelines for the diagnosis of Pneumocystis jirovecii pneumonia in patients with haematological malignancies and stem cell transplant recipients. J Antimicrob Chemother. 2016;71(9):2386-96.</w:t>
      </w:r>
    </w:p>
    <w:p>
      <w:pPr>
        <w:rPr>
          <w:rFonts w:hint="default" w:ascii="Times New Roman" w:hAnsi="Times New Roman" w:cs="Times New Roman"/>
          <w:sz w:val="20"/>
          <w:szCs w:val="20"/>
        </w:rPr>
      </w:pPr>
    </w:p>
    <w:p>
      <w:pPr>
        <w:rPr>
          <w:rFonts w:hint="default" w:ascii="Times New Roman" w:hAnsi="Times New Roman" w:cs="Times New Roman"/>
          <w:sz w:val="20"/>
          <w:szCs w:val="20"/>
          <w:lang w:val="en-US"/>
        </w:rPr>
      </w:pPr>
      <w:r>
        <w:rPr>
          <w:rFonts w:hint="default" w:ascii="Times New Roman" w:hAnsi="Times New Roman" w:cs="Times New Roman"/>
          <w:b/>
          <w:bCs/>
          <w:sz w:val="18"/>
          <w:szCs w:val="18"/>
          <w:shd w:val="clear" w:color="auto" w:fill="FFFFFF"/>
        </w:rPr>
        <w:t>Supplementary</w:t>
      </w:r>
      <w:r>
        <w:rPr>
          <w:rFonts w:hint="default" w:ascii="Times New Roman" w:hAnsi="Times New Roman" w:eastAsia="宋体" w:cs="Times New Roman"/>
          <w:b/>
          <w:bCs/>
          <w:sz w:val="18"/>
          <w:szCs w:val="18"/>
          <w:shd w:val="clear" w:color="auto" w:fill="FFFFFF"/>
          <w:lang w:val="en-US" w:eastAsia="zh-CN"/>
        </w:rPr>
        <w:t xml:space="preserve"> Material</w:t>
      </w:r>
      <w:r>
        <w:rPr>
          <w:rFonts w:hint="eastAsia" w:ascii="Times New Roman" w:hAnsi="Times New Roman" w:eastAsia="宋体" w:cs="Times New Roman"/>
          <w:b/>
          <w:bCs/>
          <w:sz w:val="18"/>
          <w:szCs w:val="18"/>
          <w:shd w:val="clear" w:color="auto" w:fill="FFFFFF"/>
          <w:lang w:val="en-US" w:eastAsia="zh-CN"/>
        </w:rPr>
        <w:t xml:space="preserve"> 4 Underlying immunocompromising conditions of the IC patients with Flu-p</w:t>
      </w:r>
    </w:p>
    <w:tbl>
      <w:tblPr>
        <w:tblStyle w:val="3"/>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6061"/>
        <w:gridCol w:w="221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6061" w:type="dxa"/>
            <w:tcBorders>
              <w:tl2br w:val="nil"/>
              <w:tr2bl w:val="nil"/>
            </w:tcBorders>
          </w:tcPr>
          <w:p>
            <w:pPr>
              <w:jc w:val="both"/>
              <w:rPr>
                <w:rFonts w:hint="default" w:ascii="Times New Roman" w:hAnsi="Times New Roman" w:eastAsia="宋体" w:cs="Times New Roman"/>
                <w:b/>
                <w:bCs/>
                <w:color w:val="000000"/>
                <w:sz w:val="15"/>
                <w:szCs w:val="15"/>
                <w:vertAlign w:val="baseline"/>
                <w:lang w:val="en-US" w:eastAsia="zh-CN"/>
              </w:rPr>
            </w:pPr>
            <w:r>
              <w:rPr>
                <w:rFonts w:hint="default" w:ascii="Times New Roman" w:hAnsi="Times New Roman" w:eastAsia="宋体" w:cs="Times New Roman"/>
                <w:b/>
                <w:bCs/>
                <w:color w:val="000000"/>
                <w:sz w:val="15"/>
                <w:szCs w:val="15"/>
                <w:vertAlign w:val="baseline"/>
                <w:lang w:val="en-US" w:eastAsia="zh-CN"/>
              </w:rPr>
              <w:t>Immunocompromised</w:t>
            </w:r>
            <w:r>
              <w:rPr>
                <w:rFonts w:hint="eastAsia" w:ascii="Times New Roman" w:hAnsi="Times New Roman" w:eastAsia="宋体" w:cs="Times New Roman"/>
                <w:b/>
                <w:bCs/>
                <w:color w:val="000000"/>
                <w:sz w:val="15"/>
                <w:szCs w:val="15"/>
                <w:vertAlign w:val="baseline"/>
                <w:lang w:val="en-US" w:eastAsia="zh-CN"/>
              </w:rPr>
              <w:t xml:space="preserve"> factor</w:t>
            </w:r>
          </w:p>
        </w:tc>
        <w:tc>
          <w:tcPr>
            <w:tcW w:w="2210" w:type="dxa"/>
            <w:tcBorders>
              <w:tl2br w:val="nil"/>
              <w:tr2bl w:val="nil"/>
            </w:tcBorders>
          </w:tcPr>
          <w:p>
            <w:pPr>
              <w:jc w:val="center"/>
              <w:rPr>
                <w:rFonts w:hint="default" w:ascii="Times New Roman" w:hAnsi="Times New Roman" w:eastAsia="宋体" w:cs="Times New Roman"/>
                <w:b/>
                <w:bCs/>
                <w:color w:val="000000"/>
                <w:sz w:val="15"/>
                <w:szCs w:val="15"/>
                <w:vertAlign w:val="baseline"/>
                <w:lang w:val="en-US" w:eastAsia="zh-CN"/>
              </w:rPr>
            </w:pPr>
            <w:r>
              <w:rPr>
                <w:rFonts w:hint="eastAsia" w:ascii="Times New Roman" w:hAnsi="Times New Roman" w:eastAsia="宋体" w:cs="Times New Roman"/>
                <w:b/>
                <w:bCs/>
                <w:color w:val="000000"/>
                <w:sz w:val="15"/>
                <w:szCs w:val="15"/>
                <w:vertAlign w:val="baseline"/>
                <w:lang w:val="en-US" w:eastAsia="zh-CN"/>
              </w:rPr>
              <w:t>Cases (</w:t>
            </w:r>
            <w:r>
              <w:rPr>
                <w:rFonts w:hint="eastAsia" w:ascii="Times New Roman" w:hAnsi="Times New Roman" w:eastAsia="宋体" w:cs="Times New Roman"/>
                <w:b/>
                <w:bCs/>
                <w:i/>
                <w:iCs/>
                <w:color w:val="000000"/>
                <w:sz w:val="15"/>
                <w:szCs w:val="15"/>
                <w:vertAlign w:val="baseline"/>
                <w:lang w:val="en-US" w:eastAsia="zh-CN"/>
              </w:rPr>
              <w:t>n</w:t>
            </w:r>
            <w:r>
              <w:rPr>
                <w:rFonts w:hint="eastAsia" w:ascii="Times New Roman" w:hAnsi="Times New Roman" w:eastAsia="宋体" w:cs="Times New Roman"/>
                <w:b/>
                <w:bCs/>
                <w:color w:val="000000"/>
                <w:sz w:val="15"/>
                <w:szCs w:val="15"/>
                <w:vertAlign w:val="baseline"/>
                <w:lang w:val="en-US" w:eastAsia="zh-CN"/>
              </w:rPr>
              <w:t>,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07" w:hRule="atLeast"/>
        </w:trPr>
        <w:tc>
          <w:tcPr>
            <w:tcW w:w="6061" w:type="dxa"/>
            <w:tcBorders>
              <w:tl2br w:val="nil"/>
              <w:tr2bl w:val="nil"/>
            </w:tcBorders>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eastAsia="宋体" w:cs="Times New Roman"/>
                <w:color w:val="000000"/>
                <w:sz w:val="15"/>
                <w:szCs w:val="15"/>
                <w:vertAlign w:val="baseline"/>
                <w:lang w:val="en-US" w:eastAsia="zh-CN"/>
              </w:rPr>
            </w:pPr>
            <w:r>
              <w:rPr>
                <w:rFonts w:hint="eastAsia" w:ascii="Times New Roman" w:hAnsi="Times New Roman" w:cs="Times New Roman"/>
                <w:color w:val="000000"/>
                <w:sz w:val="15"/>
                <w:szCs w:val="15"/>
                <w:lang w:val="en-US" w:eastAsia="zh-CN"/>
              </w:rPr>
              <w:t>Immunosuppressive therapy</w:t>
            </w:r>
          </w:p>
        </w:tc>
        <w:tc>
          <w:tcPr>
            <w:tcW w:w="2210" w:type="dxa"/>
            <w:tcBorders>
              <w:tl2br w:val="nil"/>
              <w:tr2bl w:val="nil"/>
            </w:tcBorders>
            <w:vAlign w:val="center"/>
          </w:tcPr>
          <w:p>
            <w:pPr>
              <w:jc w:val="center"/>
              <w:rPr>
                <w:rFonts w:hint="default" w:ascii="Times New Roman" w:hAnsi="Times New Roman" w:eastAsia="宋体" w:cs="Times New Roman"/>
                <w:color w:val="000000"/>
                <w:sz w:val="15"/>
                <w:szCs w:val="15"/>
                <w:vertAlign w:val="baseline"/>
                <w:lang w:val="en-US" w:eastAsia="zh-CN"/>
              </w:rPr>
            </w:pPr>
            <w:r>
              <w:rPr>
                <w:rFonts w:hint="eastAsia" w:ascii="Times New Roman" w:hAnsi="Times New Roman" w:eastAsia="宋体" w:cs="Times New Roman"/>
                <w:color w:val="000000"/>
                <w:sz w:val="15"/>
                <w:szCs w:val="15"/>
                <w:vertAlign w:val="baseline"/>
                <w:lang w:val="en-US" w:eastAsia="zh-CN"/>
              </w:rPr>
              <w:t>57 (46.7)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6061" w:type="dxa"/>
            <w:tcBorders>
              <w:tl2br w:val="nil"/>
              <w:tr2bl w:val="nil"/>
            </w:tcBorders>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eastAsia" w:ascii="Times New Roman" w:hAnsi="Times New Roman" w:eastAsia="宋体" w:cs="Times New Roman"/>
                <w:color w:val="000000"/>
                <w:sz w:val="15"/>
                <w:szCs w:val="15"/>
                <w:vertAlign w:val="baseline"/>
                <w:lang w:val="en-US" w:eastAsia="zh-CN"/>
              </w:rPr>
            </w:pPr>
            <w:r>
              <w:rPr>
                <w:rFonts w:hint="eastAsia" w:ascii="Times New Roman" w:hAnsi="Times New Roman" w:cs="Times New Roman"/>
                <w:color w:val="000000"/>
                <w:sz w:val="15"/>
                <w:szCs w:val="15"/>
                <w:lang w:val="en-US" w:eastAsia="zh-CN"/>
              </w:rPr>
              <w:t xml:space="preserve">Active malignancy (no </w:t>
            </w:r>
            <w:r>
              <w:rPr>
                <w:rFonts w:hint="default" w:ascii="Times New Roman" w:hAnsi="Times New Roman" w:cs="Times New Roman"/>
                <w:color w:val="000000"/>
                <w:sz w:val="15"/>
                <w:szCs w:val="15"/>
              </w:rPr>
              <w:t>transplant</w:t>
            </w:r>
            <w:r>
              <w:rPr>
                <w:rFonts w:hint="eastAsia" w:ascii="Times New Roman" w:hAnsi="Times New Roman" w:eastAsia="宋体" w:cs="Times New Roman"/>
                <w:color w:val="000000"/>
                <w:sz w:val="15"/>
                <w:szCs w:val="15"/>
                <w:lang w:val="en-US" w:eastAsia="zh-CN"/>
              </w:rPr>
              <w:t>)</w:t>
            </w:r>
          </w:p>
        </w:tc>
        <w:tc>
          <w:tcPr>
            <w:tcW w:w="2210" w:type="dxa"/>
            <w:tcBorders>
              <w:tl2br w:val="nil"/>
              <w:tr2bl w:val="nil"/>
            </w:tcBorders>
          </w:tcPr>
          <w:p>
            <w:pPr>
              <w:jc w:val="center"/>
              <w:rPr>
                <w:rFonts w:hint="default" w:ascii="Times New Roman" w:hAnsi="Times New Roman" w:eastAsia="宋体" w:cs="Times New Roman"/>
                <w:color w:val="000000"/>
                <w:sz w:val="15"/>
                <w:szCs w:val="15"/>
                <w:vertAlign w:val="baseline"/>
                <w:lang w:val="en-US" w:eastAsia="zh-CN"/>
              </w:rPr>
            </w:pPr>
            <w:r>
              <w:rPr>
                <w:rFonts w:hint="eastAsia" w:ascii="Times New Roman" w:hAnsi="Times New Roman" w:eastAsia="宋体" w:cs="Times New Roman"/>
                <w:color w:val="000000"/>
                <w:sz w:val="15"/>
                <w:szCs w:val="15"/>
                <w:vertAlign w:val="baseline"/>
                <w:lang w:val="en-US" w:eastAsia="zh-CN"/>
              </w:rPr>
              <w:t>25 (20.5)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6061"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eastAsia" w:ascii="Times New Roman" w:hAnsi="Times New Roman" w:eastAsia="宋体" w:cs="Times New Roman"/>
                <w:color w:val="000000"/>
                <w:sz w:val="15"/>
                <w:szCs w:val="15"/>
                <w:vertAlign w:val="baseline"/>
                <w:lang w:val="en-US" w:eastAsia="zh-CN"/>
              </w:rPr>
            </w:pPr>
            <w:r>
              <w:rPr>
                <w:rFonts w:hint="eastAsia" w:ascii="Times New Roman" w:hAnsi="Times New Roman" w:cs="Times New Roman"/>
                <w:color w:val="000000"/>
                <w:sz w:val="15"/>
                <w:szCs w:val="15"/>
                <w:lang w:val="en-US" w:eastAsia="zh-CN"/>
              </w:rPr>
              <w:t>O</w:t>
            </w:r>
            <w:r>
              <w:rPr>
                <w:rFonts w:hint="default" w:ascii="Times New Roman" w:hAnsi="Times New Roman" w:cs="Times New Roman"/>
                <w:color w:val="000000"/>
                <w:sz w:val="15"/>
                <w:szCs w:val="15"/>
              </w:rPr>
              <w:t>rgan transplantation</w:t>
            </w:r>
          </w:p>
        </w:tc>
        <w:tc>
          <w:tcPr>
            <w:tcW w:w="2210" w:type="dxa"/>
            <w:tcBorders>
              <w:tl2br w:val="nil"/>
              <w:tr2bl w:val="nil"/>
            </w:tcBorders>
            <w:vAlign w:val="top"/>
          </w:tcPr>
          <w:p>
            <w:pPr>
              <w:jc w:val="center"/>
              <w:rPr>
                <w:rFonts w:hint="eastAsia" w:ascii="Times New Roman" w:hAnsi="Times New Roman" w:eastAsia="宋体" w:cs="Times New Roman"/>
                <w:color w:val="000000"/>
                <w:sz w:val="15"/>
                <w:szCs w:val="15"/>
                <w:vertAlign w:val="baseline"/>
                <w:lang w:val="en-US" w:eastAsia="zh-CN"/>
              </w:rPr>
            </w:pPr>
            <w:r>
              <w:rPr>
                <w:rFonts w:hint="eastAsia" w:ascii="Times New Roman" w:hAnsi="Times New Roman" w:eastAsia="宋体" w:cs="Times New Roman"/>
                <w:color w:val="000000"/>
                <w:sz w:val="15"/>
                <w:szCs w:val="15"/>
                <w:vertAlign w:val="baseline"/>
                <w:lang w:val="en-US" w:eastAsia="zh-CN"/>
              </w:rPr>
              <w:t>17 (13.9)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6061" w:type="dxa"/>
            <w:tcBorders>
              <w:tl2br w:val="nil"/>
              <w:tr2bl w:val="nil"/>
            </w:tcBorders>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eastAsia" w:ascii="Times New Roman" w:hAnsi="Times New Roman" w:cs="Times New Roman"/>
                <w:color w:val="000000"/>
                <w:sz w:val="15"/>
                <w:szCs w:val="15"/>
                <w:lang w:val="en-US" w:eastAsia="zh-CN"/>
              </w:rPr>
            </w:pPr>
            <w:r>
              <w:rPr>
                <w:rFonts w:hint="eastAsia" w:ascii="Times New Roman" w:hAnsi="Times New Roman" w:cs="Times New Roman"/>
                <w:color w:val="000000"/>
                <w:sz w:val="15"/>
                <w:szCs w:val="15"/>
                <w:lang w:val="en-US" w:eastAsia="zh-CN"/>
              </w:rPr>
              <w:t>Stem-cell transplant</w:t>
            </w:r>
            <w:r>
              <w:rPr>
                <w:rFonts w:hint="eastAsia" w:ascii="Times New Roman" w:hAnsi="Times New Roman" w:cs="Times New Roman"/>
                <w:color w:val="000000"/>
                <w:sz w:val="15"/>
                <w:szCs w:val="15"/>
                <w:lang w:val="en-US" w:eastAsia="zh-CN"/>
              </w:rPr>
              <w:tab/>
            </w:r>
          </w:p>
        </w:tc>
        <w:tc>
          <w:tcPr>
            <w:tcW w:w="2210" w:type="dxa"/>
            <w:tcBorders>
              <w:tl2br w:val="nil"/>
              <w:tr2bl w:val="nil"/>
            </w:tcBorders>
          </w:tcPr>
          <w:p>
            <w:pPr>
              <w:jc w:val="center"/>
              <w:rPr>
                <w:rFonts w:hint="eastAsia" w:ascii="Times New Roman" w:hAnsi="Times New Roman" w:eastAsia="宋体" w:cs="Times New Roman"/>
                <w:color w:val="000000"/>
                <w:sz w:val="15"/>
                <w:szCs w:val="15"/>
                <w:vertAlign w:val="baseline"/>
                <w:lang w:val="en-US" w:eastAsia="zh-CN"/>
              </w:rPr>
            </w:pPr>
            <w:r>
              <w:rPr>
                <w:rFonts w:hint="eastAsia" w:ascii="Times New Roman" w:hAnsi="Times New Roman" w:cs="Times New Roman"/>
                <w:color w:val="000000"/>
                <w:sz w:val="15"/>
                <w:szCs w:val="15"/>
                <w:lang w:val="en-US" w:eastAsia="zh-CN"/>
              </w:rPr>
              <w:t>13 (10.7)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6061" w:type="dxa"/>
            <w:tcBorders>
              <w:tl2br w:val="nil"/>
              <w:tr2bl w:val="nil"/>
            </w:tcBorders>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eastAsia="宋体" w:cs="Times New Roman"/>
                <w:color w:val="000000"/>
                <w:sz w:val="15"/>
                <w:szCs w:val="15"/>
                <w:vertAlign w:val="baseline"/>
                <w:lang w:val="en-US" w:eastAsia="zh-CN"/>
              </w:rPr>
            </w:pPr>
            <w:r>
              <w:rPr>
                <w:rFonts w:hint="default" w:ascii="Times New Roman" w:hAnsi="Times New Roman" w:cs="Times New Roman"/>
                <w:color w:val="000000"/>
                <w:sz w:val="15"/>
                <w:szCs w:val="15"/>
              </w:rPr>
              <w:t>HIV(+</w:t>
            </w:r>
            <w:r>
              <w:rPr>
                <w:rFonts w:hint="default" w:ascii="Times New Roman" w:hAnsi="Times New Roman" w:cs="Times New Roman"/>
                <w:color w:val="000000"/>
                <w:sz w:val="15"/>
                <w:szCs w:val="15"/>
                <w:lang w:val="en-US" w:eastAsia="zh-CN"/>
              </w:rPr>
              <w:t>)</w:t>
            </w:r>
            <w:r>
              <w:rPr>
                <w:rFonts w:hint="eastAsia" w:ascii="Times New Roman" w:hAnsi="Times New Roman" w:cs="Times New Roman"/>
                <w:color w:val="000000"/>
                <w:sz w:val="15"/>
                <w:szCs w:val="15"/>
                <w:lang w:val="en-US" w:eastAsia="zh-CN"/>
              </w:rPr>
              <w:t>/AIDS</w:t>
            </w:r>
          </w:p>
        </w:tc>
        <w:tc>
          <w:tcPr>
            <w:tcW w:w="2210" w:type="dxa"/>
            <w:tcBorders>
              <w:tl2br w:val="nil"/>
              <w:tr2bl w:val="nil"/>
            </w:tcBorders>
          </w:tcPr>
          <w:p>
            <w:pPr>
              <w:jc w:val="center"/>
              <w:rPr>
                <w:rFonts w:hint="default" w:ascii="Times New Roman" w:hAnsi="Times New Roman" w:eastAsia="宋体" w:cs="Times New Roman"/>
                <w:color w:val="000000"/>
                <w:sz w:val="15"/>
                <w:szCs w:val="15"/>
                <w:vertAlign w:val="baseline"/>
                <w:lang w:val="en-US" w:eastAsia="zh-CN"/>
              </w:rPr>
            </w:pPr>
            <w:r>
              <w:rPr>
                <w:rFonts w:hint="eastAsia" w:ascii="Times New Roman" w:hAnsi="Times New Roman" w:eastAsia="宋体" w:cs="Times New Roman"/>
                <w:color w:val="000000"/>
                <w:sz w:val="15"/>
                <w:szCs w:val="15"/>
                <w:vertAlign w:val="baseline"/>
                <w:lang w:val="en-US" w:eastAsia="zh-CN"/>
              </w:rPr>
              <w:t>6 (4.9)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6061" w:type="dxa"/>
            <w:tcBorders>
              <w:tl2br w:val="nil"/>
              <w:tr2bl w:val="nil"/>
            </w:tcBorders>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eastAsia="宋体" w:cs="Times New Roman"/>
                <w:color w:val="000000"/>
                <w:sz w:val="15"/>
                <w:szCs w:val="15"/>
                <w:vertAlign w:val="baseline"/>
                <w:lang w:val="en-US" w:eastAsia="zh-CN"/>
              </w:rPr>
            </w:pPr>
            <w:r>
              <w:rPr>
                <w:rFonts w:hint="eastAsia" w:ascii="Times New Roman" w:hAnsi="Times New Roman" w:eastAsia="宋体" w:cs="Times New Roman"/>
                <w:color w:val="000000"/>
                <w:sz w:val="15"/>
                <w:szCs w:val="15"/>
                <w:lang w:val="en-US" w:eastAsia="zh-CN"/>
              </w:rPr>
              <w:t>Primary immune deficiency diseases</w:t>
            </w:r>
          </w:p>
        </w:tc>
        <w:tc>
          <w:tcPr>
            <w:tcW w:w="2210" w:type="dxa"/>
            <w:tcBorders>
              <w:tl2br w:val="nil"/>
              <w:tr2bl w:val="nil"/>
            </w:tcBorders>
          </w:tcPr>
          <w:p>
            <w:pPr>
              <w:jc w:val="center"/>
              <w:rPr>
                <w:rFonts w:hint="default" w:ascii="Times New Roman" w:hAnsi="Times New Roman" w:eastAsia="宋体" w:cs="Times New Roman"/>
                <w:color w:val="000000"/>
                <w:sz w:val="15"/>
                <w:szCs w:val="15"/>
                <w:vertAlign w:val="baseline"/>
                <w:lang w:val="en-US" w:eastAsia="zh-CN"/>
              </w:rPr>
            </w:pPr>
            <w:r>
              <w:rPr>
                <w:rFonts w:hint="eastAsia" w:ascii="Times New Roman" w:hAnsi="Times New Roman" w:eastAsia="宋体" w:cs="Times New Roman"/>
                <w:color w:val="000000"/>
                <w:sz w:val="15"/>
                <w:szCs w:val="15"/>
                <w:vertAlign w:val="baseline"/>
                <w:lang w:val="en-US" w:eastAsia="zh-CN"/>
              </w:rPr>
              <w:t>2 (1.6)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6061" w:type="dxa"/>
            <w:tcBorders>
              <w:tl2br w:val="nil"/>
              <w:tr2bl w:val="nil"/>
            </w:tcBorders>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eastAsia="宋体" w:cs="Times New Roman"/>
                <w:color w:val="000000"/>
                <w:sz w:val="15"/>
                <w:szCs w:val="15"/>
                <w:vertAlign w:val="baseline"/>
                <w:lang w:val="en-US" w:eastAsia="zh-CN"/>
              </w:rPr>
            </w:pPr>
            <w:r>
              <w:rPr>
                <w:rFonts w:hint="eastAsia" w:ascii="Times New Roman" w:hAnsi="Times New Roman" w:cs="Times New Roman"/>
                <w:color w:val="000000"/>
                <w:sz w:val="15"/>
                <w:szCs w:val="15"/>
                <w:lang w:val="en-US" w:eastAsia="zh-CN"/>
              </w:rPr>
              <w:t>S</w:t>
            </w:r>
            <w:r>
              <w:rPr>
                <w:rFonts w:hint="default" w:ascii="Times New Roman" w:hAnsi="Times New Roman" w:cs="Times New Roman"/>
                <w:color w:val="000000"/>
                <w:sz w:val="15"/>
                <w:szCs w:val="15"/>
              </w:rPr>
              <w:t>plenectomy</w:t>
            </w:r>
          </w:p>
        </w:tc>
        <w:tc>
          <w:tcPr>
            <w:tcW w:w="2210" w:type="dxa"/>
            <w:tcBorders>
              <w:tl2br w:val="nil"/>
              <w:tr2bl w:val="nil"/>
            </w:tcBorders>
          </w:tcPr>
          <w:p>
            <w:pPr>
              <w:jc w:val="center"/>
              <w:rPr>
                <w:rFonts w:hint="default" w:ascii="Times New Roman" w:hAnsi="Times New Roman" w:eastAsia="宋体" w:cs="Times New Roman"/>
                <w:color w:val="000000"/>
                <w:sz w:val="15"/>
                <w:szCs w:val="15"/>
                <w:vertAlign w:val="baseline"/>
                <w:lang w:val="en-US" w:eastAsia="zh-CN"/>
              </w:rPr>
            </w:pPr>
            <w:r>
              <w:rPr>
                <w:rFonts w:hint="eastAsia" w:ascii="Times New Roman" w:hAnsi="Times New Roman" w:eastAsia="宋体" w:cs="Times New Roman"/>
                <w:color w:val="000000"/>
                <w:sz w:val="15"/>
                <w:szCs w:val="15"/>
                <w:vertAlign w:val="baseline"/>
                <w:lang w:val="en-US" w:eastAsia="zh-CN"/>
              </w:rPr>
              <w:t>2 (1.6)</w:t>
            </w:r>
          </w:p>
        </w:tc>
      </w:tr>
    </w:tbl>
    <w:p>
      <w:pPr>
        <w:rPr>
          <w:rFonts w:hint="default" w:ascii="Times New Roman" w:hAnsi="Times New Roman" w:cs="Times New Roman"/>
          <w:sz w:val="20"/>
          <w:szCs w:val="20"/>
        </w:rPr>
      </w:pP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sz w:val="20"/>
          <w:szCs w:val="20"/>
          <w:lang w:val="en-US" w:eastAsia="zh-CN"/>
        </w:rPr>
      </w:pPr>
    </w:p>
    <w:p>
      <w:pPr>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shd w:val="clear" w:color="auto" w:fill="FFFFFF"/>
        </w:rPr>
        <w:t>Supplementary</w:t>
      </w:r>
      <w:r>
        <w:rPr>
          <w:rFonts w:hint="default" w:ascii="Times New Roman" w:hAnsi="Times New Roman" w:eastAsia="宋体" w:cs="Times New Roman"/>
          <w:b/>
          <w:bCs/>
          <w:sz w:val="20"/>
          <w:szCs w:val="20"/>
          <w:shd w:val="clear" w:color="auto" w:fill="FFFFFF"/>
          <w:lang w:val="en-US" w:eastAsia="zh-CN"/>
        </w:rPr>
        <w:t xml:space="preserve"> Material</w:t>
      </w:r>
      <w:r>
        <w:rPr>
          <w:rFonts w:hint="default" w:ascii="Times New Roman" w:hAnsi="Times New Roman" w:cs="Times New Roman"/>
          <w:b/>
          <w:bCs/>
          <w:color w:val="000000"/>
          <w:sz w:val="20"/>
          <w:szCs w:val="20"/>
          <w:lang w:val="en-US" w:eastAsia="zh-CN"/>
        </w:rPr>
        <w:t xml:space="preserve"> </w:t>
      </w:r>
      <w:r>
        <w:rPr>
          <w:rFonts w:hint="eastAsia" w:ascii="Times New Roman" w:hAnsi="Times New Roman" w:cs="Times New Roman"/>
          <w:b/>
          <w:bCs/>
          <w:color w:val="000000"/>
          <w:sz w:val="20"/>
          <w:szCs w:val="20"/>
          <w:lang w:val="en-US" w:eastAsia="zh-CN"/>
        </w:rPr>
        <w:t>5</w:t>
      </w:r>
      <w:r>
        <w:rPr>
          <w:rFonts w:hint="default" w:ascii="Times New Roman" w:hAnsi="Times New Roman" w:cs="Times New Roman"/>
          <w:b/>
          <w:bCs/>
          <w:sz w:val="20"/>
          <w:szCs w:val="20"/>
          <w:lang w:val="en-US" w:eastAsia="zh-CN"/>
        </w:rPr>
        <w:t xml:space="preserve"> coinfections with other community-acquired pathogens </w:t>
      </w:r>
    </w:p>
    <w:tbl>
      <w:tblPr>
        <w:tblStyle w:val="3"/>
        <w:tblW w:w="8616"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77"/>
        <w:gridCol w:w="2291"/>
        <w:gridCol w:w="2147"/>
        <w:gridCol w:w="140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bottom w:val="single" w:color="auto" w:sz="4" w:space="0"/>
              <w:right w:val="nil"/>
            </w:tcBorders>
            <w:noWrap w:val="0"/>
            <w:vAlign w:val="center"/>
          </w:tcPr>
          <w:p>
            <w:pPr>
              <w:jc w:val="both"/>
              <w:rPr>
                <w:rFonts w:hint="default" w:ascii="Times New Roman" w:hAnsi="Times New Roman" w:eastAsia="宋体" w:cs="Times New Roman"/>
                <w:b/>
                <w:bCs/>
                <w:color w:val="auto"/>
                <w:sz w:val="15"/>
                <w:szCs w:val="15"/>
                <w:vertAlign w:val="baseline"/>
                <w:lang w:val="en-US" w:eastAsia="zh-CN"/>
              </w:rPr>
            </w:pPr>
            <w:r>
              <w:rPr>
                <w:rFonts w:hint="default" w:ascii="Times New Roman" w:hAnsi="Times New Roman" w:cs="Times New Roman"/>
                <w:b/>
                <w:bCs/>
                <w:color w:val="auto"/>
                <w:sz w:val="15"/>
                <w:szCs w:val="15"/>
                <w:vertAlign w:val="baseline"/>
                <w:lang w:val="en-US" w:eastAsia="zh-CN"/>
              </w:rPr>
              <w:t>Variable</w:t>
            </w:r>
          </w:p>
        </w:tc>
        <w:tc>
          <w:tcPr>
            <w:tcW w:w="2291" w:type="dxa"/>
            <w:tcBorders>
              <w:left w:val="nil"/>
              <w:bottom w:val="single" w:color="auto" w:sz="4" w:space="0"/>
              <w:right w:val="nil"/>
            </w:tcBorders>
            <w:noWrap w:val="0"/>
            <w:vAlign w:val="center"/>
          </w:tcPr>
          <w:p>
            <w:pPr>
              <w:jc w:val="center"/>
              <w:rPr>
                <w:rFonts w:hint="default" w:ascii="Times New Roman" w:hAnsi="Times New Roman" w:cs="Times New Roman"/>
                <w:b/>
                <w:bCs/>
                <w:color w:val="auto"/>
                <w:sz w:val="15"/>
                <w:szCs w:val="15"/>
                <w:vertAlign w:val="baseline"/>
                <w:lang w:val="en-US" w:eastAsia="zh-CN"/>
              </w:rPr>
            </w:pPr>
            <w:r>
              <w:rPr>
                <w:rFonts w:hint="default" w:ascii="Times New Roman" w:hAnsi="Times New Roman" w:cs="Times New Roman"/>
                <w:b/>
                <w:bCs/>
                <w:color w:val="auto"/>
                <w:sz w:val="15"/>
                <w:szCs w:val="15"/>
                <w:vertAlign w:val="baseline"/>
                <w:lang w:val="en-US" w:eastAsia="zh-CN"/>
              </w:rPr>
              <w:t>IC Flu-p (</w:t>
            </w:r>
            <w:r>
              <w:rPr>
                <w:rFonts w:hint="default" w:ascii="Times New Roman" w:hAnsi="Times New Roman" w:cs="Times New Roman"/>
                <w:b/>
                <w:bCs/>
                <w:i/>
                <w:iCs/>
                <w:color w:val="auto"/>
                <w:sz w:val="15"/>
                <w:szCs w:val="15"/>
                <w:vertAlign w:val="baseline"/>
                <w:lang w:val="en-US" w:eastAsia="zh-CN"/>
              </w:rPr>
              <w:t>n</w:t>
            </w:r>
            <w:r>
              <w:rPr>
                <w:rFonts w:hint="default" w:ascii="Times New Roman" w:hAnsi="Times New Roman" w:cs="Times New Roman"/>
                <w:b/>
                <w:bCs/>
                <w:color w:val="auto"/>
                <w:sz w:val="15"/>
                <w:szCs w:val="15"/>
                <w:vertAlign w:val="baseline"/>
                <w:lang w:val="en-US" w:eastAsia="zh-CN"/>
              </w:rPr>
              <w:t xml:space="preserve"> = 122)</w:t>
            </w:r>
          </w:p>
        </w:tc>
        <w:tc>
          <w:tcPr>
            <w:tcW w:w="2147" w:type="dxa"/>
            <w:tcBorders>
              <w:left w:val="nil"/>
              <w:bottom w:val="single" w:color="auto" w:sz="4" w:space="0"/>
              <w:right w:val="nil"/>
            </w:tcBorders>
            <w:noWrap w:val="0"/>
            <w:vAlign w:val="center"/>
          </w:tcPr>
          <w:p>
            <w:pPr>
              <w:jc w:val="center"/>
              <w:rPr>
                <w:rFonts w:hint="default" w:ascii="Times New Roman" w:hAnsi="Times New Roman" w:cs="Times New Roman"/>
                <w:b/>
                <w:bCs/>
                <w:color w:val="auto"/>
                <w:sz w:val="15"/>
                <w:szCs w:val="15"/>
                <w:vertAlign w:val="baseline"/>
                <w:lang w:val="en-US" w:eastAsia="zh-CN"/>
              </w:rPr>
            </w:pPr>
            <w:r>
              <w:rPr>
                <w:rFonts w:hint="default" w:ascii="Times New Roman" w:hAnsi="Times New Roman" w:cs="Times New Roman"/>
                <w:b/>
                <w:bCs/>
                <w:color w:val="auto"/>
                <w:sz w:val="15"/>
                <w:szCs w:val="15"/>
                <w:vertAlign w:val="baseline"/>
                <w:lang w:val="en-US" w:eastAsia="zh-CN"/>
              </w:rPr>
              <w:t>Non-IC Flu-p (</w:t>
            </w:r>
            <w:r>
              <w:rPr>
                <w:rFonts w:hint="default" w:ascii="Times New Roman" w:hAnsi="Times New Roman" w:cs="Times New Roman"/>
                <w:b/>
                <w:bCs/>
                <w:i/>
                <w:iCs/>
                <w:color w:val="auto"/>
                <w:sz w:val="15"/>
                <w:szCs w:val="15"/>
                <w:vertAlign w:val="baseline"/>
                <w:lang w:val="en-US" w:eastAsia="zh-CN"/>
              </w:rPr>
              <w:t>n</w:t>
            </w:r>
            <w:r>
              <w:rPr>
                <w:rFonts w:hint="default" w:ascii="Times New Roman" w:hAnsi="Times New Roman" w:cs="Times New Roman"/>
                <w:b/>
                <w:bCs/>
                <w:color w:val="auto"/>
                <w:sz w:val="15"/>
                <w:szCs w:val="15"/>
                <w:vertAlign w:val="baseline"/>
                <w:lang w:val="en-US" w:eastAsia="zh-CN"/>
              </w:rPr>
              <w:t xml:space="preserve"> = 1191)</w:t>
            </w:r>
          </w:p>
        </w:tc>
        <w:tc>
          <w:tcPr>
            <w:tcW w:w="1401" w:type="dxa"/>
            <w:tcBorders>
              <w:left w:val="nil"/>
              <w:bottom w:val="single" w:color="auto" w:sz="4" w:space="0"/>
            </w:tcBorders>
            <w:noWrap w:val="0"/>
            <w:vAlign w:val="center"/>
          </w:tcPr>
          <w:p>
            <w:pPr>
              <w:jc w:val="center"/>
              <w:rPr>
                <w:rFonts w:hint="default" w:ascii="Times New Roman" w:hAnsi="Times New Roman" w:cs="Times New Roman"/>
                <w:b/>
                <w:bCs/>
                <w:color w:val="auto"/>
                <w:sz w:val="15"/>
                <w:szCs w:val="15"/>
                <w:vertAlign w:val="baseline"/>
                <w:lang w:val="en-US" w:eastAsia="zh-CN"/>
              </w:rPr>
            </w:pPr>
            <w:r>
              <w:rPr>
                <w:rFonts w:hint="eastAsia" w:ascii="Times New Roman" w:hAnsi="Times New Roman" w:cs="Times New Roman"/>
                <w:b/>
                <w:bCs/>
                <w:i/>
                <w:iCs/>
                <w:color w:val="auto"/>
                <w:sz w:val="15"/>
                <w:szCs w:val="15"/>
                <w:vertAlign w:val="baseline"/>
                <w:lang w:val="en-US" w:eastAsia="zh-CN"/>
              </w:rPr>
              <w:t>P</w:t>
            </w:r>
            <w:r>
              <w:rPr>
                <w:rFonts w:hint="eastAsia" w:ascii="Times New Roman" w:hAnsi="Times New Roman" w:cs="Times New Roman"/>
                <w:b/>
                <w:bCs/>
                <w:color w:val="auto"/>
                <w:sz w:val="15"/>
                <w:szCs w:val="15"/>
                <w:vertAlign w:val="baseline"/>
                <w:lang w:val="en-US" w:eastAsia="zh-CN"/>
              </w:rPr>
              <w:t xml:space="preserve">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op w:val="single" w:color="auto" w:sz="4" w:space="0"/>
              <w:tl2br w:val="nil"/>
              <w:tr2bl w:val="nil"/>
            </w:tcBorders>
            <w:noWrap w:val="0"/>
            <w:vAlign w:val="top"/>
          </w:tcPr>
          <w:p>
            <w:pPr>
              <w:jc w:val="both"/>
              <w:rPr>
                <w:rFonts w:hint="default" w:ascii="Times New Roman" w:hAnsi="Times New Roman" w:eastAsia="宋体" w:cs="Times New Roman"/>
                <w:color w:val="auto"/>
                <w:sz w:val="15"/>
                <w:szCs w:val="15"/>
                <w:vertAlign w:val="baseline"/>
                <w:lang w:val="en-US" w:eastAsia="zh-CN"/>
              </w:rPr>
            </w:pPr>
            <w:r>
              <w:rPr>
                <w:rFonts w:hint="default" w:ascii="Times New Roman" w:hAnsi="Times New Roman" w:cs="Times New Roman"/>
                <w:color w:val="auto"/>
                <w:sz w:val="15"/>
                <w:szCs w:val="15"/>
                <w:vertAlign w:val="baseline"/>
                <w:lang w:val="en-US" w:eastAsia="zh-CN"/>
              </w:rPr>
              <w:t>Coinfection (</w:t>
            </w:r>
            <w:r>
              <w:rPr>
                <w:rFonts w:hint="default" w:ascii="Times New Roman" w:hAnsi="Times New Roman" w:cs="Times New Roman"/>
                <w:i/>
                <w:iCs/>
                <w:color w:val="auto"/>
                <w:sz w:val="15"/>
                <w:szCs w:val="15"/>
                <w:vertAlign w:val="baseline"/>
                <w:lang w:val="en-US" w:eastAsia="zh-CN"/>
              </w:rPr>
              <w:t>n</w:t>
            </w:r>
            <w:r>
              <w:rPr>
                <w:rFonts w:hint="default" w:ascii="Times New Roman" w:hAnsi="Times New Roman" w:cs="Times New Roman"/>
                <w:color w:val="auto"/>
                <w:sz w:val="15"/>
                <w:szCs w:val="15"/>
                <w:vertAlign w:val="baseline"/>
                <w:lang w:val="en-US" w:eastAsia="zh-CN"/>
              </w:rPr>
              <w:t>, %)</w:t>
            </w:r>
          </w:p>
        </w:tc>
        <w:tc>
          <w:tcPr>
            <w:tcW w:w="2291" w:type="dxa"/>
            <w:tcBorders>
              <w:top w:val="single" w:color="auto" w:sz="4" w:space="0"/>
              <w:tl2br w:val="nil"/>
              <w:tr2bl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default" w:ascii="Times New Roman" w:hAnsi="Times New Roman" w:cs="Times New Roman"/>
                <w:color w:val="auto"/>
                <w:sz w:val="15"/>
                <w:szCs w:val="15"/>
                <w:vertAlign w:val="baseline"/>
                <w:lang w:val="en-US" w:eastAsia="zh-CN"/>
              </w:rPr>
              <w:t>53 (43.4)</w:t>
            </w:r>
          </w:p>
        </w:tc>
        <w:tc>
          <w:tcPr>
            <w:tcW w:w="2147" w:type="dxa"/>
            <w:tcBorders>
              <w:top w:val="single" w:color="auto" w:sz="4" w:space="0"/>
              <w:right w:val="nil"/>
              <w:tl2br w:val="nil"/>
              <w:tr2bl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default" w:ascii="Times New Roman" w:hAnsi="Times New Roman" w:cs="Times New Roman"/>
                <w:color w:val="auto"/>
                <w:sz w:val="15"/>
                <w:szCs w:val="15"/>
                <w:vertAlign w:val="baseline"/>
                <w:lang w:val="en-US" w:eastAsia="zh-CN"/>
              </w:rPr>
              <w:t>405 (34.0)</w:t>
            </w:r>
          </w:p>
        </w:tc>
        <w:tc>
          <w:tcPr>
            <w:tcW w:w="1401" w:type="dxa"/>
            <w:tcBorders>
              <w:top w:val="single" w:color="auto" w:sz="4" w:space="0"/>
              <w:left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0.037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jc w:val="both"/>
              <w:rPr>
                <w:rFonts w:hint="default" w:ascii="Times New Roman" w:hAnsi="Times New Roman" w:eastAsia="宋体" w:cs="Times New Roman"/>
                <w:color w:val="auto"/>
                <w:sz w:val="15"/>
                <w:szCs w:val="15"/>
                <w:vertAlign w:val="baseline"/>
                <w:lang w:val="en-US" w:eastAsia="zh-CN"/>
              </w:rPr>
            </w:pPr>
            <w:r>
              <w:rPr>
                <w:rFonts w:hint="default" w:ascii="Times New Roman" w:hAnsi="Times New Roman" w:cs="Times New Roman"/>
                <w:color w:val="auto"/>
                <w:sz w:val="15"/>
                <w:szCs w:val="15"/>
                <w:vertAlign w:val="baseline"/>
                <w:lang w:val="en-US" w:eastAsia="zh-CN"/>
              </w:rPr>
              <w:t>Pathogens (</w:t>
            </w:r>
            <w:r>
              <w:rPr>
                <w:rFonts w:hint="default" w:ascii="Times New Roman" w:hAnsi="Times New Roman" w:cs="Times New Roman"/>
                <w:i/>
                <w:iCs/>
                <w:color w:val="auto"/>
                <w:sz w:val="15"/>
                <w:szCs w:val="15"/>
                <w:vertAlign w:val="baseline"/>
                <w:lang w:val="en-US" w:eastAsia="zh-CN"/>
              </w:rPr>
              <w:t>n</w:t>
            </w:r>
            <w:r>
              <w:rPr>
                <w:rFonts w:hint="default" w:ascii="Times New Roman" w:hAnsi="Times New Roman" w:cs="Times New Roman"/>
                <w:color w:val="auto"/>
                <w:sz w:val="15"/>
                <w:szCs w:val="15"/>
                <w:vertAlign w:val="baseline"/>
                <w:lang w:val="en-US" w:eastAsia="zh-CN"/>
              </w:rPr>
              <w:t>, %)</w:t>
            </w:r>
          </w:p>
        </w:tc>
        <w:tc>
          <w:tcPr>
            <w:tcW w:w="2291" w:type="dxa"/>
            <w:tcBorders>
              <w:tl2br w:val="nil"/>
              <w:tr2bl w:val="nil"/>
            </w:tcBorders>
            <w:noWrap w:val="0"/>
            <w:vAlign w:val="top"/>
          </w:tcPr>
          <w:p>
            <w:pPr>
              <w:jc w:val="center"/>
              <w:rPr>
                <w:rFonts w:hint="default" w:ascii="Times New Roman" w:hAnsi="Times New Roman" w:cs="Times New Roman"/>
                <w:color w:val="auto"/>
                <w:sz w:val="15"/>
                <w:szCs w:val="15"/>
                <w:vertAlign w:val="baseline"/>
                <w:lang w:val="en-US" w:eastAsia="zh-CN"/>
              </w:rPr>
            </w:pPr>
          </w:p>
        </w:tc>
        <w:tc>
          <w:tcPr>
            <w:tcW w:w="2147" w:type="dxa"/>
            <w:tcBorders>
              <w:right w:val="nil"/>
              <w:tl2br w:val="nil"/>
              <w:tr2bl w:val="nil"/>
            </w:tcBorders>
            <w:noWrap w:val="0"/>
            <w:vAlign w:val="top"/>
          </w:tcPr>
          <w:p>
            <w:pPr>
              <w:jc w:val="both"/>
              <w:rPr>
                <w:rFonts w:hint="default" w:ascii="Times New Roman" w:hAnsi="Times New Roman" w:cs="Times New Roman"/>
                <w:color w:val="auto"/>
                <w:sz w:val="15"/>
                <w:szCs w:val="15"/>
                <w:vertAlign w:val="baseline"/>
                <w:lang w:val="en-US" w:eastAsia="zh-CN"/>
              </w:rPr>
            </w:pPr>
          </w:p>
        </w:tc>
        <w:tc>
          <w:tcPr>
            <w:tcW w:w="1401" w:type="dxa"/>
            <w:tcBorders>
              <w:left w:val="nil"/>
            </w:tcBorders>
            <w:noWrap w:val="0"/>
            <w:vAlign w:val="top"/>
          </w:tcPr>
          <w:p>
            <w:pPr>
              <w:jc w:val="both"/>
              <w:rPr>
                <w:rFonts w:hint="default" w:ascii="Times New Roman" w:hAnsi="Times New Roman" w:cs="Times New Roman"/>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jc w:val="both"/>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Gram postive</w:t>
            </w:r>
          </w:p>
        </w:tc>
        <w:tc>
          <w:tcPr>
            <w:tcW w:w="2291" w:type="dxa"/>
            <w:tcBorders>
              <w:tl2br w:val="nil"/>
              <w:tr2bl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20 (37.7)</w:t>
            </w:r>
          </w:p>
        </w:tc>
        <w:tc>
          <w:tcPr>
            <w:tcW w:w="2147" w:type="dxa"/>
            <w:tcBorders>
              <w:right w:val="nil"/>
              <w:tl2br w:val="nil"/>
              <w:tr2bl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223 (55.1)</w:t>
            </w:r>
          </w:p>
        </w:tc>
        <w:tc>
          <w:tcPr>
            <w:tcW w:w="1401" w:type="dxa"/>
            <w:tcBorders>
              <w:left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0.017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eastAsia" w:ascii="Times New Roman" w:hAnsi="Times New Roman" w:eastAsia="宋体" w:cs="Times New Roman"/>
                <w:i/>
                <w:iCs/>
                <w:color w:val="auto"/>
                <w:sz w:val="15"/>
                <w:szCs w:val="15"/>
                <w:vertAlign w:val="baseline"/>
                <w:lang w:val="en-US" w:eastAsia="zh-CN"/>
              </w:rPr>
            </w:pPr>
            <w:r>
              <w:rPr>
                <w:rFonts w:hint="default" w:ascii="Times New Roman" w:hAnsi="Times New Roman" w:cs="Times New Roman"/>
                <w:i/>
                <w:iCs/>
                <w:color w:val="auto"/>
                <w:sz w:val="15"/>
                <w:szCs w:val="15"/>
                <w:vertAlign w:val="baseline"/>
                <w:lang w:val="en-US" w:eastAsia="zh-CN"/>
              </w:rPr>
              <w:t>Streptococcus pneumoniae</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MingLiU"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5 (9.4)</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MingLiU" w:cs="Times New Roman"/>
                <w:i/>
                <w:iCs/>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121 (29.9)</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eastAsia" w:ascii="Times New Roman" w:hAnsi="Times New Roman" w:eastAsia="宋体" w:cs="Times New Roman"/>
                <w:i/>
                <w:iCs/>
                <w:color w:val="auto"/>
                <w:sz w:val="15"/>
                <w:szCs w:val="15"/>
                <w:vertAlign w:val="baseline"/>
                <w:lang w:val="en-US" w:eastAsia="zh-CN"/>
              </w:rPr>
            </w:pPr>
            <w:r>
              <w:rPr>
                <w:rFonts w:hint="default" w:ascii="Times New Roman" w:hAnsi="Times New Roman" w:cs="Times New Roman"/>
                <w:i/>
                <w:iCs/>
                <w:color w:val="auto"/>
                <w:sz w:val="15"/>
                <w:szCs w:val="15"/>
                <w:vertAlign w:val="baseline"/>
                <w:lang w:val="en-US" w:eastAsia="zh-CN"/>
              </w:rPr>
              <w:t>Staphylococcus aureus</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MingLiU"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13 (24.5)</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MingLiU"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84 (20.7)</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eastAsia" w:ascii="Times New Roman" w:hAnsi="Times New Roman" w:eastAsia="MingLiU" w:cs="Times New Roman"/>
                <w:i/>
                <w:iCs/>
                <w:color w:val="auto"/>
                <w:sz w:val="15"/>
                <w:szCs w:val="15"/>
                <w:vertAlign w:val="baseline"/>
                <w:lang w:val="en-US" w:eastAsia="zh-CN"/>
              </w:rPr>
            </w:pPr>
            <w:r>
              <w:rPr>
                <w:rFonts w:hint="default" w:ascii="Times New Roman" w:hAnsi="Times New Roman" w:cs="Times New Roman"/>
                <w:i/>
                <w:iCs/>
                <w:color w:val="auto"/>
                <w:sz w:val="15"/>
                <w:szCs w:val="15"/>
                <w:vertAlign w:val="baseline"/>
                <w:lang w:val="en-US" w:eastAsia="zh-CN"/>
              </w:rPr>
              <w:t>Other streptococcus spp.</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MingLiU"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2 (3.8)</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MingLiU"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18 (4.4)</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jc w:val="both"/>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Gram</w:t>
            </w:r>
            <w:bookmarkStart w:id="0" w:name="_GoBack"/>
            <w:bookmarkEnd w:id="0"/>
            <w:r>
              <w:rPr>
                <w:rFonts w:hint="eastAsia" w:ascii="Times New Roman" w:hAnsi="Times New Roman" w:cs="Times New Roman"/>
                <w:color w:val="auto"/>
                <w:sz w:val="15"/>
                <w:szCs w:val="15"/>
                <w:vertAlign w:val="baseline"/>
                <w:lang w:val="en-US" w:eastAsia="zh-CN"/>
              </w:rPr>
              <w:t xml:space="preserve"> negative</w:t>
            </w:r>
          </w:p>
        </w:tc>
        <w:tc>
          <w:tcPr>
            <w:tcW w:w="2291" w:type="dxa"/>
            <w:tcBorders>
              <w:tl2br w:val="nil"/>
              <w:tr2bl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37 (69.8)</w:t>
            </w:r>
          </w:p>
        </w:tc>
        <w:tc>
          <w:tcPr>
            <w:tcW w:w="2147" w:type="dxa"/>
            <w:tcBorders>
              <w:right w:val="nil"/>
              <w:tl2br w:val="nil"/>
              <w:tr2bl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196 (48.4)</w:t>
            </w:r>
          </w:p>
        </w:tc>
        <w:tc>
          <w:tcPr>
            <w:tcW w:w="1401" w:type="dxa"/>
            <w:tcBorders>
              <w:left w:val="nil"/>
            </w:tcBorders>
            <w:noWrap w:val="0"/>
            <w:vAlign w:val="top"/>
          </w:tcPr>
          <w:p>
            <w:pPr>
              <w:jc w:val="center"/>
              <w:rPr>
                <w:rFonts w:hint="default" w:ascii="Times New Roman" w:hAnsi="Times New Roman" w:cs="Times New Roman"/>
                <w:color w:val="auto"/>
                <w:sz w:val="15"/>
                <w:szCs w:val="15"/>
                <w:vertAlign w:val="baseline"/>
                <w:lang w:val="en-US" w:eastAsia="zh-CN"/>
              </w:rPr>
            </w:pPr>
            <w:r>
              <w:rPr>
                <w:rFonts w:hint="eastAsia" w:ascii="Times New Roman" w:hAnsi="Times New Roman" w:cs="Times New Roman"/>
                <w:color w:val="auto"/>
                <w:sz w:val="15"/>
                <w:szCs w:val="15"/>
                <w:vertAlign w:val="baseline"/>
                <w:lang w:val="en-US" w:eastAsia="zh-CN"/>
              </w:rPr>
              <w:t>0.003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Klebsiella pneumoniae</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16 (30.2)</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133 (32.8)</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Haemophilus influenzae</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0 (0.0)</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31 (7.7)</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Klebsiella acidogens</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0 (0.0)</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9 (2.2)</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 xml:space="preserve">Escherichia coli </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4 (7.5)</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6 (1.5)</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sz w:val="15"/>
                <w:szCs w:val="15"/>
                <w:vertAlign w:val="baseline"/>
                <w:lang w:val="en-US" w:eastAsia="zh-CN"/>
              </w:rPr>
            </w:pPr>
            <w:r>
              <w:rPr>
                <w:rFonts w:hint="default" w:ascii="Times New Roman" w:hAnsi="Times New Roman" w:cs="Times New Roman"/>
                <w:i/>
                <w:iCs/>
                <w:color w:val="auto"/>
                <w:sz w:val="15"/>
                <w:szCs w:val="15"/>
                <w:vertAlign w:val="baseline"/>
                <w:lang w:val="en-US" w:eastAsia="zh-CN"/>
              </w:rPr>
              <w:t>Pseudomonas aeruginosa</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8 (15.1)</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5 (1.2)</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Proteus spp.</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3 (5.7)</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4 (1.0)</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Citrobacter spp.</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0 (0.0)</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3 (0.7)</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Flavobacterium</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0 (0.0)</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2 (0.5)</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Acinetobacter</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3 (5.7)</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2 (0.3)</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sz w:val="15"/>
                <w:szCs w:val="15"/>
                <w:vertAlign w:val="baseline"/>
                <w:lang w:val="en-US" w:eastAsia="zh-CN"/>
              </w:rPr>
            </w:pPr>
            <w:r>
              <w:rPr>
                <w:rFonts w:hint="default" w:ascii="Times New Roman" w:hAnsi="Times New Roman" w:cs="Times New Roman"/>
                <w:i/>
                <w:iCs/>
                <w:color w:val="auto"/>
                <w:sz w:val="15"/>
                <w:szCs w:val="15"/>
                <w:vertAlign w:val="baseline"/>
                <w:lang w:val="en-US" w:eastAsia="zh-CN"/>
              </w:rPr>
              <w:t>Stenotrophomonas maltophilia</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3 (5.7)</w:t>
            </w:r>
          </w:p>
        </w:tc>
        <w:tc>
          <w:tcPr>
            <w:tcW w:w="2147" w:type="dxa"/>
            <w:tcBorders>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1 (0.2)</w:t>
            </w:r>
          </w:p>
        </w:tc>
        <w:tc>
          <w:tcPr>
            <w:tcW w:w="1401" w:type="dxa"/>
            <w:tcBorders>
              <w:left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i/>
                <w:iCs/>
                <w:color w:val="auto"/>
                <w:sz w:val="15"/>
                <w:szCs w:val="15"/>
                <w:vertAlign w:val="baseline"/>
                <w:lang w:val="en-US" w:eastAsia="zh-CN"/>
              </w:rPr>
            </w:pPr>
            <w:r>
              <w:rPr>
                <w:rFonts w:hint="eastAsia" w:ascii="Times New Roman" w:hAnsi="Times New Roman" w:cs="Times New Roman"/>
                <w:i w:val="0"/>
                <w:iCs w:val="0"/>
                <w:color w:val="auto"/>
                <w:sz w:val="15"/>
                <w:szCs w:val="15"/>
                <w:vertAlign w:val="baseline"/>
                <w:lang w:val="en-US" w:eastAsia="zh-CN"/>
              </w:rPr>
              <w:t>Fungus</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eastAsia" w:ascii="Times New Roman" w:hAnsi="Times New Roman" w:cs="Times New Roman"/>
                <w:i w:val="0"/>
                <w:iCs w:val="0"/>
                <w:color w:val="auto"/>
                <w:sz w:val="15"/>
                <w:szCs w:val="15"/>
                <w:vertAlign w:val="baseline"/>
                <w:lang w:val="en-US" w:eastAsia="zh-CN"/>
              </w:rPr>
              <w:t>6 (11.3)</w:t>
            </w:r>
          </w:p>
        </w:tc>
        <w:tc>
          <w:tcPr>
            <w:tcW w:w="2147" w:type="dxa"/>
            <w:tcBorders>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eastAsia" w:ascii="Times New Roman" w:hAnsi="Times New Roman" w:cs="Times New Roman"/>
                <w:i w:val="0"/>
                <w:iCs w:val="0"/>
                <w:color w:val="auto"/>
                <w:sz w:val="15"/>
                <w:szCs w:val="15"/>
                <w:vertAlign w:val="baseline"/>
                <w:lang w:val="en-US" w:eastAsia="zh-CN"/>
              </w:rPr>
              <w:t>2 (0.5)</w:t>
            </w:r>
          </w:p>
        </w:tc>
        <w:tc>
          <w:tcPr>
            <w:tcW w:w="1401" w:type="dxa"/>
            <w:tcBorders>
              <w:left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eastAsia" w:ascii="Times New Roman" w:hAnsi="Times New Roman" w:cs="Times New Roman"/>
                <w:i w:val="0"/>
                <w:iCs w:val="0"/>
                <w:color w:val="auto"/>
                <w:sz w:val="15"/>
                <w:szCs w:val="15"/>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eastAsia="宋体" w:cs="Times New Roman"/>
                <w:i/>
                <w:iCs/>
                <w:color w:val="auto"/>
                <w:kern w:val="2"/>
                <w:sz w:val="15"/>
                <w:szCs w:val="15"/>
                <w:vertAlign w:val="baseline"/>
                <w:lang w:val="en-US" w:eastAsia="zh-CN" w:bidi="ar-SA"/>
              </w:rPr>
            </w:pPr>
            <w:r>
              <w:rPr>
                <w:rFonts w:hint="default" w:ascii="Times New Roman" w:hAnsi="Times New Roman" w:cs="Times New Roman"/>
                <w:i/>
                <w:iCs/>
                <w:color w:val="auto"/>
                <w:sz w:val="15"/>
                <w:szCs w:val="15"/>
                <w:vertAlign w:val="baseline"/>
                <w:lang w:val="en-US" w:eastAsia="zh-CN"/>
              </w:rPr>
              <w:t>Aspergillus spp.</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MingLiU"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2 (3.8)</w:t>
            </w:r>
          </w:p>
        </w:tc>
        <w:tc>
          <w:tcPr>
            <w:tcW w:w="2147" w:type="dxa"/>
            <w:tcBorders>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eastAsia="宋体" w:cs="Times New Roman"/>
                <w:i w:val="0"/>
                <w:iCs w:val="0"/>
                <w:color w:val="auto"/>
                <w:kern w:val="2"/>
                <w:sz w:val="15"/>
                <w:szCs w:val="15"/>
                <w:vertAlign w:val="baseline"/>
                <w:lang w:val="en-US" w:eastAsia="zh-CN" w:bidi="ar-SA"/>
              </w:rPr>
            </w:pPr>
            <w:r>
              <w:rPr>
                <w:rFonts w:hint="default" w:ascii="Times New Roman" w:hAnsi="Times New Roman" w:cs="Times New Roman"/>
                <w:i w:val="0"/>
                <w:iCs w:val="0"/>
                <w:color w:val="auto"/>
                <w:sz w:val="15"/>
                <w:szCs w:val="15"/>
                <w:vertAlign w:val="baseline"/>
                <w:lang w:val="en-US" w:eastAsia="zh-CN"/>
              </w:rPr>
              <w:t>2 (0.5)</w:t>
            </w:r>
          </w:p>
        </w:tc>
        <w:tc>
          <w:tcPr>
            <w:tcW w:w="1401" w:type="dxa"/>
            <w:tcBorders>
              <w:left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Times New Roman" w:hAnsi="Times New Roman" w:cs="Times New Roman"/>
                <w:i/>
                <w:iCs/>
                <w:color w:val="auto"/>
                <w:sz w:val="15"/>
                <w:szCs w:val="15"/>
                <w:vertAlign w:val="baseline"/>
                <w:lang w:val="en-US" w:eastAsia="zh-CN"/>
              </w:rPr>
            </w:pPr>
            <w:r>
              <w:rPr>
                <w:rFonts w:hint="default" w:ascii="Times New Roman" w:hAnsi="Times New Roman" w:cs="Times New Roman"/>
                <w:i/>
                <w:iCs/>
                <w:color w:val="auto"/>
                <w:sz w:val="15"/>
                <w:szCs w:val="15"/>
                <w:vertAlign w:val="baseline"/>
                <w:lang w:val="en-US" w:eastAsia="zh-CN"/>
              </w:rPr>
              <w:t>Pneumocystis jirovecii</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4 (7.5)</w:t>
            </w:r>
          </w:p>
        </w:tc>
        <w:tc>
          <w:tcPr>
            <w:tcW w:w="2147" w:type="dxa"/>
            <w:tcBorders>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0 (0.0)</w:t>
            </w:r>
          </w:p>
        </w:tc>
        <w:tc>
          <w:tcPr>
            <w:tcW w:w="1401" w:type="dxa"/>
            <w:tcBorders>
              <w:left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7"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i/>
                <w:iCs/>
                <w:color w:val="auto"/>
                <w:sz w:val="15"/>
                <w:szCs w:val="15"/>
                <w:vertAlign w:val="baseline"/>
                <w:lang w:val="en-US" w:eastAsia="zh-CN"/>
              </w:rPr>
            </w:pPr>
            <w:r>
              <w:rPr>
                <w:rFonts w:hint="default" w:ascii="Times New Roman" w:hAnsi="Times New Roman" w:cs="Times New Roman"/>
                <w:i/>
                <w:iCs/>
                <w:color w:val="auto"/>
                <w:sz w:val="15"/>
                <w:szCs w:val="15"/>
                <w:vertAlign w:val="baseline"/>
                <w:lang w:val="en-US" w:eastAsia="zh-CN"/>
              </w:rPr>
              <w:t>Cytomegalovirus</w:t>
            </w:r>
          </w:p>
        </w:tc>
        <w:tc>
          <w:tcPr>
            <w:tcW w:w="229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2 (3.8)</w:t>
            </w:r>
          </w:p>
        </w:tc>
        <w:tc>
          <w:tcPr>
            <w:tcW w:w="2147" w:type="dxa"/>
            <w:tcBorders>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default" w:ascii="Times New Roman" w:hAnsi="Times New Roman" w:cs="Times New Roman"/>
                <w:i w:val="0"/>
                <w:iCs w:val="0"/>
                <w:color w:val="auto"/>
                <w:sz w:val="15"/>
                <w:szCs w:val="15"/>
                <w:vertAlign w:val="baseline"/>
                <w:lang w:val="en-US" w:eastAsia="zh-CN"/>
              </w:rPr>
              <w:t>0 (0.0)</w:t>
            </w:r>
          </w:p>
        </w:tc>
        <w:tc>
          <w:tcPr>
            <w:tcW w:w="1401" w:type="dxa"/>
            <w:tcBorders>
              <w:left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Times New Roman" w:hAnsi="Times New Roman" w:cs="Times New Roman"/>
                <w:i w:val="0"/>
                <w:iCs w:val="0"/>
                <w:color w:val="auto"/>
                <w:sz w:val="15"/>
                <w:szCs w:val="15"/>
                <w:vertAlign w:val="baseline"/>
                <w:lang w:val="en-US" w:eastAsia="zh-CN"/>
              </w:rPr>
            </w:pPr>
            <w:r>
              <w:rPr>
                <w:rFonts w:hint="eastAsia" w:ascii="Times New Roman" w:hAnsi="Times New Roman" w:cs="Times New Roman"/>
                <w:i w:val="0"/>
                <w:iCs w:val="0"/>
                <w:color w:val="auto"/>
                <w:sz w:val="15"/>
                <w:szCs w:val="15"/>
                <w:vertAlign w:val="baseline"/>
                <w:lang w:val="en-US" w:eastAsia="zh-CN"/>
              </w:rPr>
              <w:t>&lt; 0.001</w:t>
            </w:r>
          </w:p>
        </w:tc>
      </w:tr>
    </w:tbl>
    <w:p>
      <w:pPr>
        <w:rPr>
          <w:rFonts w:hint="default" w:ascii="Times New Roman" w:hAnsi="Times New Roman" w:cs="Times New Roman"/>
          <w:lang w:val="en-US" w:eastAsia="zh-CN"/>
        </w:rPr>
      </w:pPr>
      <w:r>
        <w:rPr>
          <w:rFonts w:hint="default" w:ascii="Times New Roman" w:hAnsi="Times New Roman" w:cs="Times New Roman"/>
          <w:sz w:val="15"/>
          <w:szCs w:val="15"/>
          <w:lang w:val="en-US" w:eastAsia="zh-CN"/>
        </w:rPr>
        <w:t>12 IC patients and 16 non-IC patients were coinfected with 2 or more pathogens</w:t>
      </w:r>
    </w:p>
    <w:p>
      <w:pPr>
        <w:rPr>
          <w:rFonts w:hint="default" w:ascii="Times New Roman" w:hAnsi="Times New Roman" w:cs="Times New Roman"/>
        </w:rPr>
      </w:pPr>
    </w:p>
    <w:p>
      <w:pP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 xml:space="preserve">Supplementary </w:t>
      </w:r>
      <w:r>
        <w:rPr>
          <w:rFonts w:hint="eastAsia" w:ascii="Times New Roman" w:hAnsi="Times New Roman" w:eastAsia="宋体" w:cs="Times New Roman"/>
          <w:b/>
          <w:bCs/>
          <w:lang w:val="en-US" w:eastAsia="zh-CN"/>
        </w:rPr>
        <w:t>Material 6</w:t>
      </w:r>
      <w:r>
        <w:rPr>
          <w:rFonts w:hint="default" w:ascii="Times New Roman" w:hAnsi="Times New Roman" w:eastAsia="宋体" w:cs="Times New Roman"/>
          <w:b/>
          <w:bCs/>
          <w:lang w:val="en-US" w:eastAsia="zh-CN"/>
        </w:rPr>
        <w:t xml:space="preserve"> Comparison of clinical characteritics and treatments between deceased and survival IC patients with Flu-p</w:t>
      </w:r>
    </w:p>
    <w:tbl>
      <w:tblPr>
        <w:tblStyle w:val="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380"/>
        <w:gridCol w:w="2205"/>
        <w:gridCol w:w="1762"/>
        <w:gridCol w:w="116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bottom w:val="single" w:color="auto" w:sz="4" w:space="0"/>
            </w:tcBorders>
            <w:vAlign w:val="center"/>
          </w:tcPr>
          <w:p>
            <w:pPr>
              <w:jc w:val="both"/>
              <w:rPr>
                <w:rFonts w:hint="default" w:ascii="Times New Roman" w:hAnsi="Times New Roman" w:cs="Times New Roman" w:eastAsiaTheme="minorEastAsia"/>
                <w:b/>
                <w:bCs/>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Variable</w:t>
            </w:r>
          </w:p>
        </w:tc>
        <w:tc>
          <w:tcPr>
            <w:tcW w:w="2205" w:type="dxa"/>
            <w:tcBorders>
              <w:bottom w:val="single" w:color="auto" w:sz="4" w:space="0"/>
            </w:tcBorders>
          </w:tcPr>
          <w:p>
            <w:pPr>
              <w:jc w:val="cente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Deaceased IC patients</w:t>
            </w:r>
          </w:p>
          <w:p>
            <w:pPr>
              <w:jc w:val="cente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w:t>
            </w:r>
            <w:r>
              <w:rPr>
                <w:rFonts w:hint="default" w:ascii="Times New Roman" w:hAnsi="Times New Roman" w:cs="Times New Roman"/>
                <w:b/>
                <w:bCs/>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 xml:space="preserve"> = 46)</w:t>
            </w:r>
          </w:p>
        </w:tc>
        <w:tc>
          <w:tcPr>
            <w:tcW w:w="1762" w:type="dxa"/>
            <w:tcBorders>
              <w:bottom w:val="single" w:color="auto" w:sz="4" w:space="0"/>
            </w:tcBorders>
          </w:tcPr>
          <w:p>
            <w:pPr>
              <w:jc w:val="cente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Survival IC patients</w:t>
            </w:r>
          </w:p>
          <w:p>
            <w:pPr>
              <w:jc w:val="cente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w:t>
            </w:r>
            <w:r>
              <w:rPr>
                <w:rFonts w:hint="default" w:ascii="Times New Roman" w:hAnsi="Times New Roman" w:cs="Times New Roman"/>
                <w:b/>
                <w:bCs/>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 xml:space="preserve"> = 76)</w:t>
            </w:r>
          </w:p>
        </w:tc>
        <w:tc>
          <w:tcPr>
            <w:tcW w:w="1169" w:type="dxa"/>
            <w:tcBorders>
              <w:bottom w:val="single" w:color="auto" w:sz="4" w:space="0"/>
            </w:tcBorders>
            <w:vAlign w:val="center"/>
          </w:tcPr>
          <w:p>
            <w:pPr>
              <w:jc w:val="center"/>
              <w:rPr>
                <w:rFonts w:hint="default" w:ascii="Times New Roman" w:hAnsi="Times New Roman" w:cs="Times New Roman" w:eastAsiaTheme="minorEastAsia"/>
                <w:b/>
                <w:bCs/>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b/>
                <w:bCs/>
                <w:i/>
                <w:iCs/>
                <w:color w:val="000000" w:themeColor="text1"/>
                <w:sz w:val="15"/>
                <w:szCs w:val="15"/>
                <w:vertAlign w:val="baseline"/>
                <w:lang w:val="en-US" w:eastAsia="zh-CN"/>
                <w14:textFill>
                  <w14:solidFill>
                    <w14:schemeClr w14:val="tx1"/>
                  </w14:solidFill>
                </w14:textFill>
              </w:rPr>
              <w:t>P</w:t>
            </w: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 xml:space="preserve">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op w:val="single" w:color="auto" w:sz="4" w:space="0"/>
              <w:tl2br w:val="nil"/>
              <w:tr2bl w:val="nil"/>
            </w:tcBorders>
            <w:vAlign w:val="top"/>
          </w:tcPr>
          <w:p>
            <w:pPr>
              <w:jc w:val="both"/>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Age (yrs, mean ± SD)</w:t>
            </w:r>
          </w:p>
        </w:tc>
        <w:tc>
          <w:tcPr>
            <w:tcW w:w="2205" w:type="dxa"/>
            <w:tcBorders>
              <w:top w:val="single" w:color="auto" w:sz="4" w:space="0"/>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42.3 ± 15.6</w:t>
            </w:r>
          </w:p>
        </w:tc>
        <w:tc>
          <w:tcPr>
            <w:tcW w:w="1762" w:type="dxa"/>
            <w:tcBorders>
              <w:top w:val="single" w:color="auto" w:sz="4" w:space="0"/>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43.4 ± 14.1</w:t>
            </w:r>
          </w:p>
        </w:tc>
        <w:tc>
          <w:tcPr>
            <w:tcW w:w="1169" w:type="dxa"/>
            <w:tcBorders>
              <w:top w:val="single" w:color="auto" w:sz="4" w:space="0"/>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0.287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jc w:val="both"/>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Male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vAlign w:val="top"/>
          </w:tcPr>
          <w:p>
            <w:pPr>
              <w:jc w:val="center"/>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22 (47.8)</w:t>
            </w:r>
          </w:p>
        </w:tc>
        <w:tc>
          <w:tcPr>
            <w:tcW w:w="1762" w:type="dxa"/>
            <w:tcBorders>
              <w:tl2br w:val="nil"/>
              <w:tr2bl w:val="nil"/>
            </w:tcBorders>
            <w:vAlign w:val="top"/>
          </w:tcPr>
          <w:p>
            <w:pPr>
              <w:jc w:val="center"/>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39 (51.3)</w:t>
            </w:r>
          </w:p>
        </w:tc>
        <w:tc>
          <w:tcPr>
            <w:tcW w:w="1169" w:type="dxa"/>
            <w:tcBorders>
              <w:tl2br w:val="nil"/>
              <w:tr2bl w:val="nil"/>
            </w:tcBorders>
            <w:vAlign w:val="top"/>
          </w:tcPr>
          <w:p>
            <w:pPr>
              <w:jc w:val="center"/>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0.709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jc w:val="both"/>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Influenza A infection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10 (21.7)</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25 (32.9)</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0.187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jc w:val="both"/>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Comorbidities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color w:val="000000" w:themeColor="text1"/>
                <w:sz w:val="15"/>
                <w:szCs w:val="15"/>
                <w:vertAlign w:val="baseline"/>
                <w14:textFill>
                  <w14:solidFill>
                    <w14:schemeClr w14:val="tx1"/>
                  </w14:solidFill>
                </w14:textFill>
              </w:rPr>
            </w:pPr>
          </w:p>
        </w:tc>
        <w:tc>
          <w:tcPr>
            <w:tcW w:w="1762" w:type="dxa"/>
            <w:tcBorders>
              <w:tl2br w:val="nil"/>
              <w:tr2bl w:val="nil"/>
            </w:tcBorders>
          </w:tcPr>
          <w:p>
            <w:pPr>
              <w:jc w:val="center"/>
              <w:rPr>
                <w:rFonts w:hint="default" w:ascii="Times New Roman" w:hAnsi="Times New Roman" w:cs="Times New Roman"/>
                <w:color w:val="000000" w:themeColor="text1"/>
                <w:sz w:val="15"/>
                <w:szCs w:val="15"/>
                <w:vertAlign w:val="baseline"/>
                <w14:textFill>
                  <w14:solidFill>
                    <w14:schemeClr w14:val="tx1"/>
                  </w14:solidFill>
                </w14:textFill>
              </w:rPr>
            </w:pPr>
          </w:p>
        </w:tc>
        <w:tc>
          <w:tcPr>
            <w:tcW w:w="1169" w:type="dxa"/>
            <w:tcBorders>
              <w:tl2br w:val="nil"/>
              <w:tr2bl w:val="nil"/>
            </w:tcBorders>
          </w:tcPr>
          <w:p>
            <w:pPr>
              <w:jc w:val="center"/>
              <w:rPr>
                <w:rFonts w:hint="default" w:ascii="Times New Roman" w:hAnsi="Times New Roman" w:cs="Times New Roman"/>
                <w:color w:val="000000" w:themeColor="text1"/>
                <w:sz w:val="15"/>
                <w:szCs w:val="15"/>
                <w:vertAlign w:val="baseli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val="0"/>
              <w:autoSpaceDN w:val="0"/>
              <w:bidi w:val="0"/>
              <w:adjustRightInd w:val="0"/>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Cardiovascular disease</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10 (21.7)</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12 (15.8)</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0.407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val="0"/>
              <w:autoSpaceDN w:val="0"/>
              <w:bidi w:val="0"/>
              <w:adjustRightInd w:val="0"/>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Cerebrovascular disease</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7 (15.2)</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7 (9.2)</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0.313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val="0"/>
              <w:autoSpaceDN w:val="0"/>
              <w:bidi w:val="0"/>
              <w:adjustRightInd w:val="0"/>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Diabetes mellitus</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6 (13.0)</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8 (10.5)</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0.672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val="0"/>
              <w:autoSpaceDN w:val="0"/>
              <w:bidi w:val="0"/>
              <w:adjustRightInd w:val="0"/>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COPD</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6 (13.0)</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9 (11.8)</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0.845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val="0"/>
              <w:autoSpaceDN w:val="0"/>
              <w:bidi w:val="0"/>
              <w:adjustRightInd w:val="0"/>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Asthma</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 (2.2)</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4 (5.3)</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0.717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val="0"/>
              <w:autoSpaceDN w:val="0"/>
              <w:bidi w:val="0"/>
              <w:adjustRightInd w:val="0"/>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Chronic kidney disease</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3 (6.5)</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4 (5.3)</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jc w:val="both"/>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Obesity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 (4.3)</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3 (3.9)</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jc w:val="both"/>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Smoking history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12 (26.1)</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15 (19.7)</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0.413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jc w:val="both"/>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Baseline clinical and radiologic features</w:t>
            </w:r>
          </w:p>
        </w:tc>
        <w:tc>
          <w:tcPr>
            <w:tcW w:w="2205"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p>
        </w:tc>
        <w:tc>
          <w:tcPr>
            <w:tcW w:w="1762"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p>
        </w:tc>
        <w:tc>
          <w:tcPr>
            <w:tcW w:w="1169"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Respiratory rates ≥ 30 breaths/min </w:t>
            </w:r>
            <w:r>
              <w:rPr>
                <w:rFonts w:hint="eastAsia" w:ascii="Times New Roman" w:hAnsi="Times New Roman" w:cs="Times New Roman"/>
                <w:color w:val="000000" w:themeColor="text1"/>
                <w:sz w:val="15"/>
                <w:szCs w:val="15"/>
                <w:vertAlign w:val="superscript"/>
                <w:lang w:val="en-US" w:eastAsia="zh-CN"/>
                <w14:textFill>
                  <w14:solidFill>
                    <w14:schemeClr w14:val="tx1"/>
                  </w14:solidFill>
                </w14:textFill>
              </w:rPr>
              <w:t>#</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15</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32.6</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4</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5.3</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 xml:space="preserve">&lt; </w:t>
            </w: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0.00</w:t>
            </w: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Altered mental status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4</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8.7</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8</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10.5</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988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SBP &lt; 90 mmHg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2</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4.3</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2</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2.6</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Leukocytes (×10</w:t>
            </w:r>
            <w:r>
              <w:rPr>
                <w:rFonts w:hint="default" w:ascii="Times New Roman" w:hAnsi="Times New Roman" w:cs="Times New Roman"/>
                <w:color w:val="000000" w:themeColor="text1"/>
                <w:sz w:val="15"/>
                <w:szCs w:val="15"/>
                <w:vertAlign w:val="superscript"/>
                <w:lang w:val="en-US" w:eastAsia="zh-CN"/>
                <w14:textFill>
                  <w14:solidFill>
                    <w14:schemeClr w14:val="tx1"/>
                  </w14:solidFill>
                </w14:textFill>
              </w:rPr>
              <w:t>9</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/L, mean ± SD) </w:t>
            </w:r>
          </w:p>
        </w:tc>
        <w:tc>
          <w:tcPr>
            <w:tcW w:w="2205"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7.7 ± 5.1</w:t>
            </w:r>
          </w:p>
        </w:tc>
        <w:tc>
          <w:tcPr>
            <w:tcW w:w="1762"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7.3 ± 3.6</w:t>
            </w:r>
          </w:p>
        </w:tc>
        <w:tc>
          <w:tcPr>
            <w:tcW w:w="1169"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0.565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Lymphocytes </w:t>
            </w:r>
            <w:r>
              <w:rPr>
                <w:rFonts w:hint="eastAsia" w:ascii="Times New Roman" w:hAnsi="Times New Roman" w:cs="Times New Roman"/>
                <w:color w:val="000000" w:themeColor="text1"/>
                <w:sz w:val="15"/>
                <w:szCs w:val="15"/>
                <w:vertAlign w:val="superscript"/>
                <w:lang w:val="en-US" w:eastAsia="zh-CN"/>
                <w14:textFill>
                  <w14:solidFill>
                    <w14:schemeClr w14:val="tx1"/>
                  </w14:solidFill>
                </w14:textFill>
              </w:rPr>
              <w:t>#</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(×10</w:t>
            </w:r>
            <w:r>
              <w:rPr>
                <w:rFonts w:hint="default" w:ascii="Times New Roman" w:hAnsi="Times New Roman" w:cs="Times New Roman"/>
                <w:color w:val="000000" w:themeColor="text1"/>
                <w:sz w:val="15"/>
                <w:szCs w:val="15"/>
                <w:vertAlign w:val="superscript"/>
                <w:lang w:val="en-US" w:eastAsia="zh-CN"/>
                <w14:textFill>
                  <w14:solidFill>
                    <w14:schemeClr w14:val="tx1"/>
                  </w14:solidFill>
                </w14:textFill>
              </w:rPr>
              <w:t>9</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/L, mean ± SD) </w:t>
            </w:r>
          </w:p>
        </w:tc>
        <w:tc>
          <w:tcPr>
            <w:tcW w:w="2205"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295.5 ± 131.4</w:t>
            </w:r>
          </w:p>
        </w:tc>
        <w:tc>
          <w:tcPr>
            <w:tcW w:w="1762"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737.6 ± 288.1</w:t>
            </w:r>
          </w:p>
        </w:tc>
        <w:tc>
          <w:tcPr>
            <w:tcW w:w="1169"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 xml:space="preserve">&lt; </w:t>
            </w: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0.00</w:t>
            </w: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HB (g/L, mean ± SD)</w:t>
            </w:r>
          </w:p>
        </w:tc>
        <w:tc>
          <w:tcPr>
            <w:tcW w:w="2205"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121.2 ± 27.2</w:t>
            </w:r>
          </w:p>
        </w:tc>
        <w:tc>
          <w:tcPr>
            <w:tcW w:w="1762"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123.9 ± 20.5</w:t>
            </w:r>
          </w:p>
        </w:tc>
        <w:tc>
          <w:tcPr>
            <w:tcW w:w="1169"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0.540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ALB </w:t>
            </w:r>
            <w:r>
              <w:rPr>
                <w:rFonts w:hint="eastAsia" w:ascii="Times New Roman" w:hAnsi="Times New Roman" w:cs="Times New Roman"/>
                <w:color w:val="000000" w:themeColor="text1"/>
                <w:sz w:val="15"/>
                <w:szCs w:val="15"/>
                <w:vertAlign w:val="superscript"/>
                <w:lang w:val="en-US" w:eastAsia="zh-CN"/>
                <w14:textFill>
                  <w14:solidFill>
                    <w14:schemeClr w14:val="tx1"/>
                  </w14:solidFill>
                </w14:textFill>
              </w:rPr>
              <w:t>#</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(g/L, mean ± SD)</w:t>
            </w:r>
          </w:p>
        </w:tc>
        <w:tc>
          <w:tcPr>
            <w:tcW w:w="2205"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26.0 ± 4.9</w:t>
            </w:r>
          </w:p>
        </w:tc>
        <w:tc>
          <w:tcPr>
            <w:tcW w:w="1762"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29.9 ± 6.2</w:t>
            </w:r>
          </w:p>
        </w:tc>
        <w:tc>
          <w:tcPr>
            <w:tcW w:w="1169"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 xml:space="preserve">&lt; </w:t>
            </w: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0.00</w:t>
            </w: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BUN (mmol/L, mean ± SD) </w:t>
            </w:r>
          </w:p>
        </w:tc>
        <w:tc>
          <w:tcPr>
            <w:tcW w:w="2205"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6.5 ± 3.2</w:t>
            </w:r>
          </w:p>
        </w:tc>
        <w:tc>
          <w:tcPr>
            <w:tcW w:w="1762"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6.3 ± 4.0</w:t>
            </w:r>
          </w:p>
        </w:tc>
        <w:tc>
          <w:tcPr>
            <w:tcW w:w="1169"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0.764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PaO</w:t>
            </w:r>
            <w:r>
              <w:rPr>
                <w:rFonts w:hint="default" w:ascii="Times New Roman" w:hAnsi="Times New Roman" w:cs="Times New Roman"/>
                <w:color w:val="000000" w:themeColor="text1"/>
                <w:sz w:val="15"/>
                <w:szCs w:val="15"/>
                <w:vertAlign w:val="subscript"/>
                <w:lang w:val="en-US" w:eastAsia="zh-CN"/>
                <w14:textFill>
                  <w14:solidFill>
                    <w14:schemeClr w14:val="tx1"/>
                  </w14:solidFill>
                </w14:textFill>
              </w:rPr>
              <w:t>2</w:t>
            </w:r>
            <w:r>
              <w:rPr>
                <w:rFonts w:hint="default" w:ascii="Times New Roman" w:hAnsi="Times New Roman" w:cs="Times New Roman"/>
                <w:color w:val="000000" w:themeColor="text1"/>
                <w:sz w:val="15"/>
                <w:szCs w:val="15"/>
                <w:lang w:val="en-US" w:eastAsia="zh-CN"/>
                <w14:textFill>
                  <w14:solidFill>
                    <w14:schemeClr w14:val="tx1"/>
                  </w14:solidFill>
                </w14:textFill>
              </w:rPr>
              <w:t>/FiO</w:t>
            </w:r>
            <w:r>
              <w:rPr>
                <w:rFonts w:hint="default" w:ascii="Times New Roman" w:hAnsi="Times New Roman" w:cs="Times New Roman"/>
                <w:color w:val="000000" w:themeColor="text1"/>
                <w:sz w:val="15"/>
                <w:szCs w:val="15"/>
                <w:vertAlign w:val="subscript"/>
                <w:lang w:val="en-US" w:eastAsia="zh-CN"/>
                <w14:textFill>
                  <w14:solidFill>
                    <w14:schemeClr w14:val="tx1"/>
                  </w14:solidFill>
                </w14:textFill>
              </w:rPr>
              <w:t>2</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superscript"/>
                <w:lang w:val="en-US" w:eastAsia="zh-CN"/>
                <w14:textFill>
                  <w14:solidFill>
                    <w14:schemeClr w14:val="tx1"/>
                  </w14:solidFill>
                </w14:textFill>
              </w:rPr>
              <w:t>#</w:t>
            </w:r>
            <w:r>
              <w:rPr>
                <w:rFonts w:hint="default" w:ascii="Times New Roman" w:hAnsi="Times New Roman" w:cs="Times New Roman"/>
                <w:color w:val="000000" w:themeColor="text1"/>
                <w:sz w:val="15"/>
                <w:szCs w:val="15"/>
                <w:vertAlign w:val="subscript"/>
                <w:lang w:val="en-US" w:eastAsia="zh-CN"/>
                <w14:textFill>
                  <w14:solidFill>
                    <w14:schemeClr w14:val="tx1"/>
                  </w14:solidFill>
                </w14:textFill>
              </w:rPr>
              <w:t xml:space="preserve"> </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(mmHg, mean ± SD) </w:t>
            </w:r>
          </w:p>
        </w:tc>
        <w:tc>
          <w:tcPr>
            <w:tcW w:w="2205"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227.7 ± 40.9</w:t>
            </w:r>
          </w:p>
        </w:tc>
        <w:tc>
          <w:tcPr>
            <w:tcW w:w="1762"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352.0 ± 84.7</w:t>
            </w:r>
          </w:p>
        </w:tc>
        <w:tc>
          <w:tcPr>
            <w:tcW w:w="1169" w:type="dxa"/>
            <w:tcBorders>
              <w:tl2br w:val="nil"/>
              <w:tr2bl w:val="nil"/>
            </w:tcBorders>
          </w:tcPr>
          <w:p>
            <w:pPr>
              <w:jc w:val="cente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 xml:space="preserve">&lt; </w:t>
            </w: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0.00</w:t>
            </w: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eastAsia="宋体" w:cs="Times New Roman"/>
                <w:color w:val="000000" w:themeColor="text1"/>
                <w:kern w:val="2"/>
                <w:sz w:val="15"/>
                <w:szCs w:val="15"/>
                <w:lang w:val="en-US" w:eastAsia="zh-CN" w:bidi="ar-SA"/>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Multilobar infiltrates</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32 (69.6)</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53 (69.7)</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0.984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left="100" w:leftChars="50"/>
              <w:jc w:val="both"/>
              <w:textAlignment w:val="auto"/>
              <w:rPr>
                <w:rFonts w:hint="default" w:ascii="Times New Roman" w:hAnsi="Times New Roman" w:eastAsia="宋体" w:cs="Times New Roman"/>
                <w:color w:val="000000" w:themeColor="text1"/>
                <w:kern w:val="2"/>
                <w:sz w:val="15"/>
                <w:szCs w:val="15"/>
                <w:lang w:val="en-US" w:eastAsia="zh-CN" w:bidi="ar-SA"/>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Pleural effusion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22 (47.8)</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36 (47.4)</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0.961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eastAsiaTheme="minorEastAsia"/>
                <w:color w:val="000000" w:themeColor="text1"/>
                <w:kern w:val="2"/>
                <w:sz w:val="15"/>
                <w:szCs w:val="15"/>
                <w:lang w:val="en-US" w:eastAsia="zh-CN" w:bidi="ar-SA"/>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Coinfection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superscript"/>
                <w:lang w:val="en-US" w:eastAsia="zh-CN"/>
                <w14:textFill>
                  <w14:solidFill>
                    <w14:schemeClr w14:val="tx1"/>
                  </w14:solidFill>
                </w14:textFill>
              </w:rPr>
              <w:t>#</w:t>
            </w:r>
            <w:r>
              <w:rPr>
                <w:rFonts w:hint="default" w:ascii="Times New Roman" w:hAnsi="Times New Roman" w:cs="Times New Roman"/>
                <w:color w:val="000000" w:themeColor="text1"/>
                <w:sz w:val="15"/>
                <w:szCs w:val="15"/>
                <w:lang w:val="en-US" w:eastAsia="zh-CN"/>
                <w14:textFill>
                  <w14:solidFill>
                    <w14:schemeClr w14:val="tx1"/>
                  </w14:solidFill>
                </w14:textFill>
              </w:rPr>
              <w:t xml:space="preserve"> </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30 (65.2)</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23 (30.3)</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 xml:space="preserve">&lt; </w:t>
            </w:r>
            <w:r>
              <w:rPr>
                <w:rFonts w:hint="default" w:ascii="Times New Roman" w:hAnsi="Times New Roman" w:cs="Times New Roman"/>
                <w:b/>
                <w:bCs/>
                <w:color w:val="000000" w:themeColor="text1"/>
                <w:sz w:val="15"/>
                <w:szCs w:val="15"/>
                <w:vertAlign w:val="baseline"/>
                <w:lang w:val="en-US" w:eastAsia="zh-CN"/>
                <w14:textFill>
                  <w14:solidFill>
                    <w14:schemeClr w14:val="tx1"/>
                  </w14:solidFill>
                </w14:textFill>
              </w:rPr>
              <w:t>0.00</w:t>
            </w:r>
            <w:r>
              <w:rPr>
                <w:rFonts w:hint="eastAsia" w:ascii="Times New Roman" w:hAnsi="Times New Roman" w:cs="Times New Roman"/>
                <w:b/>
                <w:bCs/>
                <w:color w:val="000000" w:themeColor="text1"/>
                <w:sz w:val="15"/>
                <w:szCs w:val="15"/>
                <w:vertAlign w:val="baseli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jc w:val="both"/>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Early NAI therapy </w:t>
            </w:r>
            <w:r>
              <w:rPr>
                <w:rFonts w:hint="eastAsia" w:ascii="Times New Roman" w:hAnsi="Times New Roman" w:cs="Times New Roman"/>
                <w:color w:val="000000" w:themeColor="text1"/>
                <w:sz w:val="15"/>
                <w:szCs w:val="15"/>
                <w:vertAlign w:val="superscript"/>
                <w:lang w:val="en-US" w:eastAsia="zh-CN"/>
                <w14:textFill>
                  <w14:solidFill>
                    <w14:schemeClr w14:val="tx1"/>
                  </w14:solidFill>
                </w14:textFill>
              </w:rPr>
              <w:t>#</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16 (34.8)</w:t>
            </w:r>
          </w:p>
        </w:tc>
        <w:tc>
          <w:tcPr>
            <w:tcW w:w="1762"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39 (51.3)</w:t>
            </w:r>
          </w:p>
        </w:tc>
        <w:tc>
          <w:tcPr>
            <w:tcW w:w="1169" w:type="dxa"/>
            <w:tcBorders>
              <w:tl2br w:val="nil"/>
              <w:tr2bl w:val="nil"/>
            </w:tcBorders>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0.075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80" w:type="dxa"/>
            <w:tcBorders>
              <w:tl2br w:val="nil"/>
              <w:tr2bl w:val="nil"/>
            </w:tcBorders>
            <w:vAlign w:val="top"/>
          </w:tcPr>
          <w:p>
            <w:pPr>
              <w:jc w:val="both"/>
              <w:rPr>
                <w:rFonts w:hint="default" w:ascii="Times New Roman" w:hAnsi="Times New Roman" w:cs="Times New Roman" w:eastAsiaTheme="minorEastAsia"/>
                <w:color w:val="000000" w:themeColor="text1"/>
                <w:kern w:val="2"/>
                <w:sz w:val="15"/>
                <w:szCs w:val="15"/>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Systemic corticosteroids use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at admission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superscript"/>
                <w:lang w:val="en-US" w:eastAsia="zh-CN"/>
                <w14:textFill>
                  <w14:solidFill>
                    <w14:schemeClr w14:val="tx1"/>
                  </w14:solidFill>
                </w14:textFill>
              </w:rPr>
              <w:t xml:space="preserve"># </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r>
              <w:rPr>
                <w:rFonts w:hint="default" w:ascii="Times New Roman" w:hAnsi="Times New Roman" w:cs="Times New Roman"/>
                <w:i/>
                <w:iCs/>
                <w:color w:val="000000" w:themeColor="text1"/>
                <w:sz w:val="15"/>
                <w:szCs w:val="15"/>
                <w:vertAlign w:val="baseline"/>
                <w:lang w:val="en-US" w:eastAsia="zh-CN"/>
                <w14:textFill>
                  <w14:solidFill>
                    <w14:schemeClr w14:val="tx1"/>
                  </w14:solidFill>
                </w14:textFill>
              </w:rPr>
              <w:t>n</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w:t>
            </w:r>
          </w:p>
        </w:tc>
        <w:tc>
          <w:tcPr>
            <w:tcW w:w="2205" w:type="dxa"/>
            <w:tcBorders>
              <w:tl2br w:val="nil"/>
              <w:tr2bl w:val="nil"/>
            </w:tcBorders>
            <w:vAlign w:val="center"/>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6</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34.8</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p>
        </w:tc>
        <w:tc>
          <w:tcPr>
            <w:tcW w:w="1762" w:type="dxa"/>
            <w:tcBorders>
              <w:tl2br w:val="nil"/>
              <w:tr2bl w:val="nil"/>
            </w:tcBorders>
            <w:vAlign w:val="center"/>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16</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 xml:space="preserve"> (</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2</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1.</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1</w:t>
            </w: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w:t>
            </w:r>
          </w:p>
        </w:tc>
        <w:tc>
          <w:tcPr>
            <w:tcW w:w="1169" w:type="dxa"/>
            <w:tcBorders>
              <w:tl2br w:val="nil"/>
              <w:tr2bl w:val="nil"/>
            </w:tcBorders>
            <w:vAlign w:val="center"/>
          </w:tcPr>
          <w:p>
            <w:pPr>
              <w:jc w:val="center"/>
              <w:rPr>
                <w:rFonts w:hint="default" w:ascii="Times New Roman" w:hAnsi="Times New Roman" w:cs="Times New Roman" w:eastAsiaTheme="minorEastAsia"/>
                <w:color w:val="000000" w:themeColor="text1"/>
                <w:sz w:val="15"/>
                <w:szCs w:val="15"/>
                <w:vertAlign w:val="baseline"/>
                <w:lang w:val="en-US" w:eastAsia="zh-CN"/>
                <w14:textFill>
                  <w14:solidFill>
                    <w14:schemeClr w14:val="tx1"/>
                  </w14:solidFill>
                </w14:textFill>
              </w:rPr>
            </w:pPr>
            <w:r>
              <w:rPr>
                <w:rFonts w:hint="default" w:ascii="Times New Roman" w:hAnsi="Times New Roman" w:cs="Times New Roman"/>
                <w:color w:val="000000" w:themeColor="text1"/>
                <w:sz w:val="15"/>
                <w:szCs w:val="15"/>
                <w:vertAlign w:val="baseline"/>
                <w:lang w:val="en-US" w:eastAsia="zh-CN"/>
                <w14:textFill>
                  <w14:solidFill>
                    <w14:schemeClr w14:val="tx1"/>
                  </w14:solidFill>
                </w14:textFill>
              </w:rPr>
              <w:t>0.0</w:t>
            </w:r>
            <w:r>
              <w:rPr>
                <w:rFonts w:hint="eastAsia" w:ascii="Times New Roman" w:hAnsi="Times New Roman" w:cs="Times New Roman"/>
                <w:color w:val="000000" w:themeColor="text1"/>
                <w:sz w:val="15"/>
                <w:szCs w:val="15"/>
                <w:vertAlign w:val="baseline"/>
                <w:lang w:val="en-US" w:eastAsia="zh-CN"/>
                <w14:textFill>
                  <w14:solidFill>
                    <w14:schemeClr w14:val="tx1"/>
                  </w14:solidFill>
                </w14:textFill>
              </w:rPr>
              <w:t>95</w:t>
            </w:r>
          </w:p>
        </w:tc>
      </w:tr>
    </w:tbl>
    <w:p>
      <w:pPr>
        <w:rPr>
          <w:rFonts w:hint="default" w:ascii="Times New Roman" w:hAnsi="Times New Roman" w:eastAsia="宋体" w:cs="Times New Roman"/>
          <w:b w:val="0"/>
          <w:bCs w:val="0"/>
          <w:sz w:val="15"/>
          <w:szCs w:val="15"/>
          <w:lang w:val="en-US" w:eastAsia="zh-CN"/>
        </w:rPr>
      </w:pPr>
      <w:r>
        <w:rPr>
          <w:rFonts w:hint="default" w:ascii="Times New Roman" w:hAnsi="Times New Roman" w:eastAsia="宋体" w:cs="Times New Roman"/>
          <w:b w:val="0"/>
          <w:bCs w:val="0"/>
          <w:sz w:val="15"/>
          <w:szCs w:val="15"/>
          <w:lang w:val="en-US" w:eastAsia="zh-CN"/>
        </w:rPr>
        <w:t xml:space="preserve">IC: immunocompromised; SD: </w:t>
      </w:r>
      <w:r>
        <w:rPr>
          <w:rFonts w:hint="default" w:ascii="Times New Roman" w:hAnsi="Times New Roman" w:eastAsia="宋体" w:cs="Times New Roman"/>
          <w:b w:val="0"/>
          <w:bCs w:val="0"/>
          <w:i w:val="0"/>
          <w:caps w:val="0"/>
          <w:color w:val="333333"/>
          <w:spacing w:val="0"/>
          <w:sz w:val="15"/>
          <w:szCs w:val="15"/>
          <w:shd w:val="clear" w:fill="FFFFFF"/>
          <w:lang w:val="en-US" w:eastAsia="zh-CN"/>
        </w:rPr>
        <w:t>s</w:t>
      </w:r>
      <w:r>
        <w:rPr>
          <w:rFonts w:hint="default" w:ascii="Times New Roman" w:hAnsi="Times New Roman" w:eastAsia="宋体" w:cs="Times New Roman"/>
          <w:b w:val="0"/>
          <w:bCs w:val="0"/>
          <w:i w:val="0"/>
          <w:caps w:val="0"/>
          <w:color w:val="333333"/>
          <w:spacing w:val="0"/>
          <w:sz w:val="15"/>
          <w:szCs w:val="15"/>
          <w:shd w:val="clear" w:fill="FFFFFF"/>
        </w:rPr>
        <w:t xml:space="preserve">tandard </w:t>
      </w:r>
      <w:r>
        <w:rPr>
          <w:rFonts w:hint="default" w:ascii="Times New Roman" w:hAnsi="Times New Roman" w:eastAsia="宋体" w:cs="Times New Roman"/>
          <w:b w:val="0"/>
          <w:bCs w:val="0"/>
          <w:i w:val="0"/>
          <w:caps w:val="0"/>
          <w:color w:val="333333"/>
          <w:spacing w:val="0"/>
          <w:sz w:val="15"/>
          <w:szCs w:val="15"/>
          <w:shd w:val="clear" w:fill="FFFFFF"/>
          <w:lang w:val="en-US" w:eastAsia="zh-CN"/>
        </w:rPr>
        <w:t>d</w:t>
      </w:r>
      <w:r>
        <w:rPr>
          <w:rFonts w:hint="default" w:ascii="Times New Roman" w:hAnsi="Times New Roman" w:eastAsia="宋体" w:cs="Times New Roman"/>
          <w:b w:val="0"/>
          <w:bCs w:val="0"/>
          <w:i w:val="0"/>
          <w:caps w:val="0"/>
          <w:color w:val="333333"/>
          <w:spacing w:val="0"/>
          <w:sz w:val="15"/>
          <w:szCs w:val="15"/>
          <w:shd w:val="clear" w:fill="FFFFFF"/>
        </w:rPr>
        <w:t>eviation</w:t>
      </w:r>
      <w:r>
        <w:rPr>
          <w:rFonts w:hint="default" w:ascii="Times New Roman" w:hAnsi="Times New Roman" w:eastAsia="宋体" w:cs="Times New Roman"/>
          <w:b w:val="0"/>
          <w:bCs w:val="0"/>
          <w:i w:val="0"/>
          <w:caps w:val="0"/>
          <w:color w:val="333333"/>
          <w:spacing w:val="0"/>
          <w:sz w:val="15"/>
          <w:szCs w:val="15"/>
          <w:shd w:val="clear" w:fill="FFFFFF"/>
          <w:lang w:val="en-US" w:eastAsia="zh-CN"/>
        </w:rPr>
        <w:t xml:space="preserve">; </w:t>
      </w:r>
      <w:r>
        <w:rPr>
          <w:rFonts w:hint="default" w:ascii="Times New Roman" w:hAnsi="Times New Roman" w:cs="Times New Roman"/>
          <w:sz w:val="15"/>
          <w:szCs w:val="15"/>
        </w:rPr>
        <w:t>COPD: chronic obstructive pulmonary disease; SBP: systolic blood pressure; H</w:t>
      </w:r>
      <w:r>
        <w:rPr>
          <w:rFonts w:hint="default" w:ascii="Times New Roman" w:hAnsi="Times New Roman" w:cs="Times New Roman"/>
          <w:sz w:val="15"/>
          <w:szCs w:val="15"/>
          <w:lang w:val="en-US" w:eastAsia="zh-CN"/>
        </w:rPr>
        <w:t>B</w:t>
      </w:r>
      <w:r>
        <w:rPr>
          <w:rFonts w:hint="default" w:ascii="Times New Roman" w:hAnsi="Times New Roman" w:cs="Times New Roman"/>
          <w:sz w:val="15"/>
          <w:szCs w:val="15"/>
        </w:rPr>
        <w:t xml:space="preserve">: hemoglobin; ALB: albumin; BUN: blood urea nitrogen; </w:t>
      </w:r>
      <w:r>
        <w:rPr>
          <w:rFonts w:hint="default" w:ascii="Times New Roman" w:hAnsi="Times New Roman" w:cs="Times New Roman"/>
          <w:sz w:val="15"/>
          <w:szCs w:val="15"/>
          <w:lang w:val="en-US" w:eastAsia="zh-CN"/>
        </w:rPr>
        <w:t>Pa</w:t>
      </w:r>
      <w:r>
        <w:rPr>
          <w:rFonts w:hint="default" w:ascii="Times New Roman" w:hAnsi="Times New Roman" w:cs="Times New Roman"/>
          <w:sz w:val="15"/>
          <w:szCs w:val="15"/>
        </w:rPr>
        <w:t>O</w:t>
      </w:r>
      <w:r>
        <w:rPr>
          <w:rFonts w:hint="default" w:ascii="Times New Roman" w:hAnsi="Times New Roman" w:cs="Times New Roman"/>
          <w:sz w:val="15"/>
          <w:szCs w:val="15"/>
          <w:vertAlign w:val="subscript"/>
        </w:rPr>
        <w:t>2</w:t>
      </w:r>
      <w:r>
        <w:rPr>
          <w:rFonts w:hint="default" w:ascii="Times New Roman" w:hAnsi="Times New Roman" w:cs="Times New Roman"/>
          <w:sz w:val="15"/>
          <w:szCs w:val="15"/>
        </w:rPr>
        <w:t>/FiO</w:t>
      </w:r>
      <w:r>
        <w:rPr>
          <w:rFonts w:hint="default" w:ascii="Times New Roman" w:hAnsi="Times New Roman" w:cs="Times New Roman"/>
          <w:sz w:val="15"/>
          <w:szCs w:val="15"/>
          <w:vertAlign w:val="subscript"/>
        </w:rPr>
        <w:t>2</w:t>
      </w:r>
      <w:r>
        <w:rPr>
          <w:rFonts w:hint="default" w:ascii="Times New Roman" w:hAnsi="Times New Roman" w:cs="Times New Roman"/>
          <w:sz w:val="15"/>
          <w:szCs w:val="15"/>
        </w:rPr>
        <w:t>: arterial pressure of oxygen/fraction of inspiration oxygen; NAI: neuraminidase inhibitor</w:t>
      </w:r>
      <w:r>
        <w:rPr>
          <w:rFonts w:hint="default" w:ascii="Times New Roman" w:hAnsi="Times New Roman" w:eastAsia="宋体" w:cs="Times New Roman"/>
          <w:sz w:val="15"/>
          <w:szCs w:val="15"/>
          <w:lang w:val="en-US" w:eastAsia="zh-CN"/>
        </w:rPr>
        <w:t>.</w:t>
      </w:r>
      <w:r>
        <w:rPr>
          <w:rFonts w:hint="eastAsia" w:ascii="Times New Roman" w:hAnsi="Times New Roman" w:eastAsia="宋体" w:cs="Times New Roman"/>
          <w:sz w:val="15"/>
          <w:szCs w:val="15"/>
          <w:lang w:val="en-US" w:eastAsia="zh-CN"/>
        </w:rPr>
        <w:t xml:space="preserve"> </w:t>
      </w:r>
      <w:r>
        <w:rPr>
          <w:rFonts w:hint="default" w:ascii="Times New Roman" w:hAnsi="Times New Roman" w:cs="Times New Roman"/>
          <w:sz w:val="15"/>
          <w:szCs w:val="15"/>
          <w:vertAlign w:val="superscript"/>
          <w:lang w:val="en-US" w:eastAsia="zh-CN"/>
        </w:rPr>
        <w:t>#</w:t>
      </w:r>
      <w:r>
        <w:rPr>
          <w:rFonts w:hint="default" w:ascii="Times New Roman" w:hAnsi="Times New Roman" w:cs="Times New Roman"/>
          <w:sz w:val="15"/>
          <w:szCs w:val="15"/>
          <w:lang w:val="en-US" w:eastAsia="zh-CN"/>
        </w:rPr>
        <w:t>: variables cited in the table above were the candidates which were entered into the multivariate logistic regression model. The bolded values are p-values &lt; 0.05, which represented significant differences between deceased and survival patients.</w:t>
      </w:r>
    </w:p>
    <w:p>
      <w:pPr>
        <w:rPr>
          <w:rFonts w:hint="default" w:ascii="Times New Roman" w:hAnsi="Times New Roman" w:eastAsia="宋体" w:cs="Times New Roman"/>
          <w:b/>
          <w:bCs/>
          <w:lang w:val="en-US" w:eastAsia="zh-CN"/>
        </w:rPr>
      </w:pPr>
    </w:p>
    <w:p>
      <w:pPr>
        <w:rPr>
          <w:rFonts w:hint="default" w:ascii="Times New Roman" w:hAnsi="Times New Roman" w:eastAsia="宋体" w:cs="Times New Roman"/>
          <w:b/>
          <w:bCs/>
          <w:lang w:val="en-US" w:eastAsia="zh-CN"/>
        </w:rPr>
      </w:pPr>
    </w:p>
    <w:p>
      <w:pPr>
        <w:rPr>
          <w:rFonts w:hint="default" w:ascii="Times New Roman" w:hAnsi="Times New Roman" w:cs="Times New Roman"/>
          <w:b/>
          <w:bCs/>
          <w:sz w:val="20"/>
          <w:szCs w:val="20"/>
          <w:lang w:val="en-US" w:eastAsia="zh-CN"/>
        </w:rPr>
      </w:pPr>
    </w:p>
    <w:p>
      <w:pPr>
        <w:rPr>
          <w:rFonts w:hint="default" w:ascii="Times New Roman" w:hAnsi="Times New Roman" w:cs="Times New Roman"/>
          <w:b w:val="0"/>
          <w:bCs w:val="0"/>
          <w:sz w:val="20"/>
          <w:szCs w:val="20"/>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Segoe Print"/>
    <w:panose1 w:val="00000000000000000000"/>
    <w:charset w:val="00"/>
    <w:family w:val="roman"/>
    <w:pitch w:val="default"/>
    <w:sig w:usb0="00000000" w:usb1="00000000" w:usb2="00000000" w:usb3="00000000" w:csb0="00000001" w:csb1="00000000"/>
  </w:font>
  <w:font w:name="TimesNewRomanPSMT">
    <w:altName w:val="Times New Roman"/>
    <w:panose1 w:val="00000000000000000000"/>
    <w:charset w:val="00"/>
    <w:family w:val="auto"/>
    <w:pitch w:val="default"/>
    <w:sig w:usb0="00000000" w:usb1="00000000" w:usb2="00000000" w:usb3="00000000" w:csb0="00040001" w:csb1="00000000"/>
  </w:font>
  <w:font w:name="华文琥珀">
    <w:panose1 w:val="02010800040101010101"/>
    <w:charset w:val="86"/>
    <w:family w:val="auto"/>
    <w:pitch w:val="default"/>
    <w:sig w:usb0="00000001" w:usb1="080F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9B142C"/>
    <w:multiLevelType w:val="singleLevel"/>
    <w:tmpl w:val="959B142C"/>
    <w:lvl w:ilvl="0" w:tentative="0">
      <w:start w:val="1"/>
      <w:numFmt w:val="decimal"/>
      <w:lvlText w:val="(%1)"/>
      <w:lvlJc w:val="left"/>
      <w:pPr>
        <w:ind w:left="425" w:hanging="425"/>
      </w:pPr>
      <w:rPr>
        <w:rFonts w:hint="default"/>
      </w:rPr>
    </w:lvl>
  </w:abstractNum>
  <w:abstractNum w:abstractNumId="1">
    <w:nsid w:val="A45B37E3"/>
    <w:multiLevelType w:val="singleLevel"/>
    <w:tmpl w:val="A45B37E3"/>
    <w:lvl w:ilvl="0" w:tentative="0">
      <w:start w:val="1"/>
      <w:numFmt w:val="decimal"/>
      <w:lvlText w:val="%1."/>
      <w:lvlJc w:val="left"/>
      <w:pPr>
        <w:tabs>
          <w:tab w:val="left" w:pos="312"/>
        </w:tabs>
      </w:pPr>
    </w:lvl>
  </w:abstractNum>
  <w:abstractNum w:abstractNumId="2">
    <w:nsid w:val="53A216BD"/>
    <w:multiLevelType w:val="singleLevel"/>
    <w:tmpl w:val="53A216BD"/>
    <w:lvl w:ilvl="0" w:tentative="0">
      <w:start w:val="1"/>
      <w:numFmt w:val="decimal"/>
      <w:lvlText w:val="(%1)"/>
      <w:lvlJc w:val="left"/>
      <w:pPr>
        <w:ind w:left="425" w:hanging="425"/>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196FB2"/>
    <w:rsid w:val="00ED3767"/>
    <w:rsid w:val="042D1003"/>
    <w:rsid w:val="05201127"/>
    <w:rsid w:val="08E07BC9"/>
    <w:rsid w:val="0B7D1381"/>
    <w:rsid w:val="0EB24E96"/>
    <w:rsid w:val="0F2E0DAA"/>
    <w:rsid w:val="10122406"/>
    <w:rsid w:val="10787496"/>
    <w:rsid w:val="11E36269"/>
    <w:rsid w:val="12754B5B"/>
    <w:rsid w:val="19162D0F"/>
    <w:rsid w:val="1A235E90"/>
    <w:rsid w:val="1D1467D4"/>
    <w:rsid w:val="1F412A44"/>
    <w:rsid w:val="216E584E"/>
    <w:rsid w:val="24E47928"/>
    <w:rsid w:val="2A0006E3"/>
    <w:rsid w:val="2CCF57EE"/>
    <w:rsid w:val="2DBA1BD1"/>
    <w:rsid w:val="2E8139B7"/>
    <w:rsid w:val="2F6E20E5"/>
    <w:rsid w:val="320A650B"/>
    <w:rsid w:val="32A64E2F"/>
    <w:rsid w:val="33196FB2"/>
    <w:rsid w:val="33222EAE"/>
    <w:rsid w:val="35A23163"/>
    <w:rsid w:val="37AB271E"/>
    <w:rsid w:val="388806CA"/>
    <w:rsid w:val="39047AA6"/>
    <w:rsid w:val="3AB07FAA"/>
    <w:rsid w:val="3C8F09FA"/>
    <w:rsid w:val="3D164BDC"/>
    <w:rsid w:val="422C610D"/>
    <w:rsid w:val="4D336C27"/>
    <w:rsid w:val="4E232D12"/>
    <w:rsid w:val="50297F61"/>
    <w:rsid w:val="5BC11942"/>
    <w:rsid w:val="5DDF53FC"/>
    <w:rsid w:val="60575D99"/>
    <w:rsid w:val="60C97DD3"/>
    <w:rsid w:val="619F7C37"/>
    <w:rsid w:val="62EC4E3F"/>
    <w:rsid w:val="62F41416"/>
    <w:rsid w:val="63CA0624"/>
    <w:rsid w:val="692C1E43"/>
    <w:rsid w:val="6BBD554A"/>
    <w:rsid w:val="6EB56A0C"/>
    <w:rsid w:val="70F31F46"/>
    <w:rsid w:val="71D532BC"/>
    <w:rsid w:val="73A758EF"/>
    <w:rsid w:val="752A5A14"/>
    <w:rsid w:val="7A2C2CBA"/>
    <w:rsid w:val="7F101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99"/>
    <w:pPr>
      <w:widowControl w:val="0"/>
      <w:autoSpaceDE w:val="0"/>
      <w:autoSpaceDN w:val="0"/>
      <w:adjustRightInd w:val="0"/>
      <w:spacing w:beforeLines="0" w:afterLines="0"/>
    </w:pPr>
    <w:rPr>
      <w:rFonts w:hint="default" w:ascii="MingLiU" w:hAnsi="MingLiU" w:eastAsia="MingLiU" w:cs="Times New Roman"/>
      <w:color w:val="000000"/>
      <w:sz w:val="20"/>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qFormat/>
    <w:uiPriority w:val="0"/>
    <w:rPr>
      <w:rFonts w:cs="Times New Roman"/>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2021-01-25T09:19:00Z</dcterms:created>
  <dc:creator>安</dc:creator>
  <cp:lastModifiedBy>安</cp:lastModifiedBy>
  <dcterms:modified xsi:type="dcterms:W3CDTF">2021-02-13T00:39:59Z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