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3E7D" w:rsidRDefault="004F6045">
      <w:pPr>
        <w:rPr>
          <w:rFonts w:ascii="Times New Roman" w:hAnsi="Times New Roman" w:cs="Times New Roman"/>
        </w:rPr>
      </w:pPr>
      <w:r w:rsidRPr="004F6045">
        <w:rPr>
          <w:rFonts w:ascii="Times New Roman" w:hAnsi="Times New Roman" w:cs="Times New Roman"/>
        </w:rPr>
        <w:t>Supplementary materials</w:t>
      </w:r>
    </w:p>
    <w:p w:rsidR="004906E1" w:rsidRDefault="004906E1">
      <w:pPr>
        <w:rPr>
          <w:rFonts w:ascii="Times New Roman" w:hAnsi="Times New Roman" w:cs="Times New Roman"/>
        </w:rPr>
      </w:pPr>
      <w:bookmarkStart w:id="0" w:name="_GoBack"/>
      <w:bookmarkEnd w:id="0"/>
    </w:p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able S1. Information of the ASMR-inducing stimuli.</w:t>
      </w:r>
    </w:p>
    <w:tbl>
      <w:tblPr>
        <w:tblStyle w:val="a3"/>
        <w:tblW w:w="5926" w:type="pct"/>
        <w:jc w:val="center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8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5E76CE" w:rsidTr="008F54B7">
        <w:trPr>
          <w:jc w:val="center"/>
        </w:trPr>
        <w:tc>
          <w:tcPr>
            <w:tcW w:w="500" w:type="pct"/>
            <w:vMerge w:val="restart"/>
            <w:tcBorders>
              <w:top w:val="single" w:sz="4" w:space="0" w:color="000000" w:themeColor="text1"/>
              <w:bottom w:val="nil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timuli</w:t>
            </w:r>
          </w:p>
        </w:tc>
        <w:tc>
          <w:tcPr>
            <w:tcW w:w="500" w:type="pct"/>
            <w:vMerge w:val="restart"/>
            <w:tcBorders>
              <w:top w:val="single" w:sz="4" w:space="0" w:color="000000" w:themeColor="text1"/>
              <w:bottom w:val="nil"/>
              <w:right w:val="single" w:sz="24" w:space="0" w:color="FFFFFF" w:themeColor="background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Exp2</w:t>
            </w:r>
          </w:p>
        </w:tc>
        <w:tc>
          <w:tcPr>
            <w:tcW w:w="2000" w:type="pct"/>
            <w:gridSpan w:val="4"/>
            <w:tcBorders>
              <w:top w:val="single" w:sz="4" w:space="0" w:color="000000" w:themeColor="text1"/>
              <w:left w:val="single" w:sz="24" w:space="0" w:color="FFFFFF" w:themeColor="background1"/>
              <w:bottom w:val="single" w:sz="4" w:space="0" w:color="000000" w:themeColor="text1"/>
              <w:right w:val="single" w:sz="24" w:space="0" w:color="FFFFFF" w:themeColor="background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Modality</w:t>
            </w:r>
          </w:p>
        </w:tc>
        <w:tc>
          <w:tcPr>
            <w:tcW w:w="2000" w:type="pct"/>
            <w:gridSpan w:val="4"/>
            <w:tcBorders>
              <w:top w:val="single" w:sz="4" w:space="0" w:color="000000" w:themeColor="text1"/>
              <w:left w:val="single" w:sz="24" w:space="0" w:color="FFFFFF" w:themeColor="background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roperty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Merge/>
            <w:tcBorders>
              <w:top w:val="nil"/>
              <w:bottom w:val="single" w:sz="4" w:space="0" w:color="000000" w:themeColor="text1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vMerge/>
            <w:tcBorders>
              <w:top w:val="nil"/>
              <w:bottom w:val="single" w:sz="4" w:space="0" w:color="000000" w:themeColor="text1"/>
              <w:right w:val="single" w:sz="24" w:space="0" w:color="FFFFFF" w:themeColor="background1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single" w:sz="4" w:space="0" w:color="000000" w:themeColor="text1"/>
              <w:left w:val="single" w:sz="24" w:space="0" w:color="FFFFFF" w:themeColor="background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  <w:right w:val="single" w:sz="24" w:space="0" w:color="FFFFFF" w:themeColor="background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500" w:type="pct"/>
            <w:tcBorders>
              <w:top w:val="single" w:sz="4" w:space="0" w:color="000000" w:themeColor="text1"/>
              <w:left w:val="single" w:sz="24" w:space="0" w:color="FFFFFF" w:themeColor="background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500" w:type="pct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tcBorders>
              <w:top w:val="single" w:sz="4" w:space="0" w:color="000000" w:themeColor="text1"/>
            </w:tcBorders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  <w:tcBorders>
              <w:top w:val="single" w:sz="4" w:space="0" w:color="000000" w:themeColor="text1"/>
              <w:right w:val="single" w:sz="24" w:space="0" w:color="FFFFFF" w:themeColor="background1"/>
            </w:tcBorders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  <w:tcBorders>
              <w:top w:val="single" w:sz="4" w:space="0" w:color="000000" w:themeColor="text1"/>
              <w:left w:val="single" w:sz="24" w:space="0" w:color="FFFFFF" w:themeColor="background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  <w:tcBorders>
              <w:top w:val="single" w:sz="4" w:space="0" w:color="000000" w:themeColor="text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  <w:tcBorders>
              <w:top w:val="single" w:sz="4" w:space="0" w:color="000000" w:themeColor="text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single" w:sz="4" w:space="0" w:color="000000" w:themeColor="text1"/>
              <w:right w:val="single" w:sz="24" w:space="0" w:color="FFFFFF" w:themeColor="background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single" w:sz="4" w:space="0" w:color="000000" w:themeColor="text1"/>
              <w:left w:val="single" w:sz="24" w:space="0" w:color="FFFFFF" w:themeColor="background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  <w:tcBorders>
              <w:top w:val="single" w:sz="4" w:space="0" w:color="000000" w:themeColor="text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single" w:sz="4" w:space="0" w:color="000000" w:themeColor="text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  <w:tcBorders>
              <w:top w:val="single" w:sz="4" w:space="0" w:color="000000" w:themeColor="text1"/>
            </w:tcBorders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person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serve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taste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mouth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serve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28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person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mouth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scenario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treat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60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79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mic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viewer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89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91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92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body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93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taste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eat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96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97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E76CE" w:rsidTr="008F54B7">
        <w:trPr>
          <w:jc w:val="center"/>
        </w:trPr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500" w:type="pct"/>
            <w:vAlign w:val="center"/>
          </w:tcPr>
          <w:p w:rsidR="005E76CE" w:rsidRPr="00F04D0F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audio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visual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touch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object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face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04D0F">
              <w:rPr>
                <w:rFonts w:ascii="Times New Roman" w:hAnsi="Times New Roman" w:cs="Times New Roman"/>
                <w:sz w:val="21"/>
                <w:szCs w:val="21"/>
              </w:rPr>
              <w:t>whisper</w:t>
            </w:r>
          </w:p>
        </w:tc>
        <w:tc>
          <w:tcPr>
            <w:tcW w:w="500" w:type="pct"/>
          </w:tcPr>
          <w:p w:rsidR="005E76CE" w:rsidRPr="00F04D0F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04692C" w:rsidRDefault="0004692C" w:rsidP="0004692C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 xml:space="preserve">olumn </w:t>
      </w:r>
      <w:r w:rsidRPr="006673F5">
        <w:rPr>
          <w:rFonts w:ascii="Times New Roman" w:hAnsi="Times New Roman" w:cs="Times New Roman"/>
          <w:i/>
          <w:sz w:val="21"/>
          <w:szCs w:val="21"/>
        </w:rPr>
        <w:t>Exp2</w:t>
      </w:r>
      <w:r>
        <w:rPr>
          <w:rFonts w:ascii="Times New Roman" w:hAnsi="Times New Roman" w:cs="Times New Roman"/>
          <w:sz w:val="21"/>
          <w:szCs w:val="21"/>
        </w:rPr>
        <w:t xml:space="preserve"> indicates whether the stimulus was used in Experiment 2. This also means that stimulus</w:t>
      </w:r>
      <w:r>
        <w:rPr>
          <w:rFonts w:ascii="Times New Roman" w:hAnsi="Times New Roman" w:cs="Times New Roman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 xml:space="preserve">induced ASMR </w:t>
      </w:r>
      <w:r>
        <w:rPr>
          <w:rFonts w:ascii="Times New Roman" w:hAnsi="Times New Roman" w:cs="Times New Roman"/>
          <w:sz w:val="21"/>
          <w:szCs w:val="21"/>
        </w:rPr>
        <w:t>has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游明朝" w:hAnsi="Times New Roman" w:cs="Times New Roman"/>
          <w:sz w:val="21"/>
          <w:szCs w:val="21"/>
        </w:rPr>
        <w:t xml:space="preserve">a </w:t>
      </w:r>
      <w:r>
        <w:rPr>
          <w:rFonts w:ascii="Times New Roman" w:eastAsia="游明朝" w:hAnsi="Times New Roman" w:cs="Times New Roman"/>
          <w:sz w:val="21"/>
          <w:szCs w:val="21"/>
        </w:rPr>
        <w:t xml:space="preserve">relatively higher probability. The stimulus set </w:t>
      </w:r>
      <w:r>
        <w:rPr>
          <w:rFonts w:ascii="Times New Roman" w:hAnsi="Times New Roman" w:cs="Times New Roman"/>
          <w:sz w:val="21"/>
          <w:szCs w:val="21"/>
        </w:rPr>
        <w:t>is</w:t>
      </w:r>
      <w:r>
        <w:rPr>
          <w:rFonts w:ascii="Times New Roman" w:hAnsi="Times New Roman" w:cs="Times New Roman"/>
          <w:sz w:val="21"/>
          <w:szCs w:val="21"/>
        </w:rPr>
        <w:t xml:space="preserve"> available </w:t>
      </w:r>
      <w:r>
        <w:rPr>
          <w:rFonts w:ascii="Times New Roman" w:hAnsi="Times New Roman" w:cs="Times New Roman"/>
          <w:sz w:val="21"/>
          <w:szCs w:val="21"/>
        </w:rPr>
        <w:t>from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游明朝" w:hAnsi="Times New Roman" w:cs="Times New Roman"/>
          <w:sz w:val="21"/>
          <w:szCs w:val="21"/>
        </w:rPr>
        <w:t xml:space="preserve">the </w:t>
      </w:r>
      <w:r>
        <w:rPr>
          <w:rFonts w:ascii="Times New Roman" w:eastAsia="游明朝" w:hAnsi="Times New Roman" w:cs="Times New Roman"/>
          <w:sz w:val="21"/>
          <w:szCs w:val="21"/>
        </w:rPr>
        <w:t xml:space="preserve">last author of this study. Abbreviation of </w:t>
      </w:r>
      <w:r w:rsidRPr="001915C6">
        <w:rPr>
          <w:rFonts w:ascii="Times New Roman" w:hAnsi="Times New Roman" w:cs="Times New Roman"/>
          <w:i/>
          <w:sz w:val="21"/>
          <w:szCs w:val="21"/>
        </w:rPr>
        <w:t>face</w:t>
      </w:r>
      <w:r>
        <w:rPr>
          <w:rFonts w:ascii="Times New Roman" w:hAnsi="Times New Roman" w:cs="Times New Roman"/>
          <w:sz w:val="21"/>
          <w:szCs w:val="21"/>
        </w:rPr>
        <w:t>: face</w:t>
      </w:r>
      <w:r>
        <w:rPr>
          <w:rFonts w:ascii="Times New Roman" w:hAnsi="Times New Roman" w:cs="Times New Roman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>to</w:t>
      </w:r>
      <w:r>
        <w:rPr>
          <w:rFonts w:ascii="Times New Roman" w:hAnsi="Times New Roman" w:cs="Times New Roman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 xml:space="preserve">face, </w:t>
      </w:r>
      <w:r w:rsidRPr="001915C6">
        <w:rPr>
          <w:rFonts w:ascii="Times New Roman" w:hAnsi="Times New Roman" w:cs="Times New Roman"/>
          <w:i/>
          <w:sz w:val="21"/>
          <w:szCs w:val="21"/>
        </w:rPr>
        <w:t>mic</w:t>
      </w:r>
      <w:r>
        <w:rPr>
          <w:rFonts w:ascii="Times New Roman" w:hAnsi="Times New Roman" w:cs="Times New Roman"/>
          <w:sz w:val="21"/>
          <w:szCs w:val="21"/>
        </w:rPr>
        <w:t xml:space="preserve">: mic effect, </w:t>
      </w:r>
      <w:r w:rsidRPr="001915C6">
        <w:rPr>
          <w:rFonts w:ascii="Times New Roman" w:hAnsi="Times New Roman" w:cs="Times New Roman"/>
          <w:i/>
          <w:sz w:val="21"/>
          <w:szCs w:val="21"/>
        </w:rPr>
        <w:t>treat</w:t>
      </w:r>
      <w:r>
        <w:rPr>
          <w:rFonts w:ascii="Times New Roman" w:hAnsi="Times New Roman" w:cs="Times New Roman"/>
          <w:sz w:val="21"/>
          <w:szCs w:val="21"/>
        </w:rPr>
        <w:t xml:space="preserve">: treatment or service roleplay, </w:t>
      </w:r>
      <w:r w:rsidRPr="001915C6">
        <w:rPr>
          <w:rFonts w:ascii="Times New Roman" w:hAnsi="Times New Roman" w:cs="Times New Roman"/>
          <w:i/>
          <w:sz w:val="21"/>
          <w:szCs w:val="21"/>
        </w:rPr>
        <w:t>viewer</w:t>
      </w:r>
      <w:r>
        <w:rPr>
          <w:rFonts w:ascii="Times New Roman" w:hAnsi="Times New Roman" w:cs="Times New Roman"/>
          <w:sz w:val="21"/>
          <w:szCs w:val="21"/>
        </w:rPr>
        <w:t xml:space="preserve">: reaches the viewer. </w:t>
      </w:r>
      <w:r>
        <w:rPr>
          <w:rFonts w:ascii="Times New Roman" w:hAnsi="Times New Roman" w:cs="Times New Roman"/>
          <w:sz w:val="21"/>
          <w:szCs w:val="21"/>
        </w:rPr>
        <w:t>This categorization was based on</w:t>
      </w:r>
      <w:r>
        <w:rPr>
          <w:rFonts w:ascii="Times New Roman" w:hAnsi="Times New Roman" w:cs="Times New Roman"/>
          <w:sz w:val="21"/>
          <w:szCs w:val="21"/>
        </w:rPr>
        <w:t xml:space="preserve"> Bartolome et al. (2021).</w:t>
      </w:r>
    </w:p>
    <w:p w:rsidR="005E76CE" w:rsidRPr="0004692C" w:rsidRDefault="005E76CE" w:rsidP="005E76CE">
      <w:pPr>
        <w:rPr>
          <w:rFonts w:ascii="Times New Roman" w:hAnsi="Times New Roman" w:cs="Times New Roman"/>
          <w:sz w:val="21"/>
          <w:szCs w:val="21"/>
        </w:rPr>
      </w:pPr>
    </w:p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able S2. PANAS score before and after watching ASMR-inducing stimuli in Experiment 1.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8"/>
        <w:gridCol w:w="1698"/>
      </w:tblGrid>
      <w:tr w:rsidR="005E76CE" w:rsidTr="008F54B7">
        <w:tc>
          <w:tcPr>
            <w:tcW w:w="1697" w:type="dxa"/>
            <w:tcBorders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atched</w:t>
            </w:r>
          </w:p>
        </w:tc>
        <w:tc>
          <w:tcPr>
            <w:tcW w:w="3396" w:type="dxa"/>
            <w:gridSpan w:val="2"/>
            <w:tcBorders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ismatched</w:t>
            </w:r>
          </w:p>
        </w:tc>
      </w:tr>
      <w:tr w:rsidR="005E76CE" w:rsidTr="008F54B7">
        <w:tc>
          <w:tcPr>
            <w:tcW w:w="1697" w:type="dxa"/>
            <w:tcBorders>
              <w:bottom w:val="single" w:sz="4" w:space="0" w:color="auto"/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re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ost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re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ost</w:t>
            </w:r>
          </w:p>
        </w:tc>
      </w:tr>
      <w:tr w:rsidR="005E76CE" w:rsidTr="008F54B7">
        <w:tc>
          <w:tcPr>
            <w:tcW w:w="1697" w:type="dxa"/>
            <w:tcBorders>
              <w:top w:val="single" w:sz="4" w:space="0" w:color="auto"/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ositive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.44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.17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.67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.67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.19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.80</w:t>
            </w:r>
          </w:p>
        </w:tc>
      </w:tr>
      <w:tr w:rsidR="005E76CE" w:rsidTr="008F54B7">
        <w:tc>
          <w:tcPr>
            <w:tcW w:w="1697" w:type="dxa"/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egative</w:t>
            </w:r>
          </w:p>
        </w:tc>
        <w:tc>
          <w:tcPr>
            <w:tcW w:w="1697" w:type="dxa"/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.69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.74</w:t>
            </w:r>
          </w:p>
        </w:tc>
        <w:tc>
          <w:tcPr>
            <w:tcW w:w="1698" w:type="dxa"/>
            <w:tcBorders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.49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.60</w:t>
            </w:r>
          </w:p>
        </w:tc>
        <w:tc>
          <w:tcPr>
            <w:tcW w:w="1698" w:type="dxa"/>
            <w:tcBorders>
              <w:lef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.74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.61</w:t>
            </w:r>
          </w:p>
        </w:tc>
        <w:tc>
          <w:tcPr>
            <w:tcW w:w="1698" w:type="dxa"/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.59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.61</w:t>
            </w:r>
          </w:p>
        </w:tc>
      </w:tr>
    </w:tbl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Value: </w:t>
      </w:r>
      <w:r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>ean</w:t>
      </w:r>
      <m:oMath>
        <m:r>
          <w:rPr>
            <w:rFonts w:ascii="Cambria Math" w:hAnsi="Cambria Math" w:cs="Times New Roman"/>
            <w:sz w:val="21"/>
            <w:szCs w:val="21"/>
          </w:rPr>
          <m:t>±</m:t>
        </m:r>
      </m:oMath>
      <w:r w:rsidRPr="00554854">
        <w:rPr>
          <w:rFonts w:ascii="Times New Roman" w:hAnsi="Times New Roman" w:cs="Times New Roman" w:hint="eastAsia"/>
          <w:i/>
          <w:sz w:val="21"/>
          <w:szCs w:val="21"/>
        </w:rPr>
        <w:t>S</w:t>
      </w:r>
      <w:r w:rsidRPr="00554854">
        <w:rPr>
          <w:rFonts w:ascii="Times New Roman" w:hAnsi="Times New Roman" w:cs="Times New Roman"/>
          <w:i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>.</w:t>
      </w:r>
    </w:p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</w:p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>able S3. PANAS score before and after watching ASMR-inducing stimuli in Experiment 2.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201"/>
        <w:gridCol w:w="1201"/>
        <w:gridCol w:w="1202"/>
        <w:gridCol w:w="1201"/>
        <w:gridCol w:w="1201"/>
        <w:gridCol w:w="1202"/>
      </w:tblGrid>
      <w:tr w:rsidR="005E76CE" w:rsidTr="008F54B7">
        <w:tc>
          <w:tcPr>
            <w:tcW w:w="1290" w:type="dxa"/>
            <w:tcBorders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udiovisual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udio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isual</w:t>
            </w:r>
          </w:p>
        </w:tc>
      </w:tr>
      <w:tr w:rsidR="005E76CE" w:rsidTr="008F54B7">
        <w:tc>
          <w:tcPr>
            <w:tcW w:w="1290" w:type="dxa"/>
            <w:tcBorders>
              <w:bottom w:val="single" w:sz="4" w:space="0" w:color="auto"/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ost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ost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re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24" w:space="0" w:color="FFFFFF"/>
              <w:bottom w:val="single" w:sz="4" w:space="0" w:color="auto"/>
            </w:tcBorders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ost</w:t>
            </w:r>
          </w:p>
        </w:tc>
      </w:tr>
      <w:tr w:rsidR="005E76CE" w:rsidTr="008F54B7">
        <w:tc>
          <w:tcPr>
            <w:tcW w:w="1290" w:type="dxa"/>
            <w:tcBorders>
              <w:top w:val="single" w:sz="4" w:space="0" w:color="auto"/>
              <w:right w:val="single" w:sz="24" w:space="0" w:color="FFFFFF"/>
            </w:tcBorders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ositive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.29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.21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.81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24" w:space="0" w:color="FFFFFF"/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.27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.26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24" w:space="0" w:color="FFFFFF"/>
            </w:tcBorders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.41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.09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24" w:space="0" w:color="FFFFFF"/>
            </w:tcBorders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.96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.80</w:t>
            </w:r>
          </w:p>
        </w:tc>
      </w:tr>
      <w:tr w:rsidR="005E76CE" w:rsidTr="008F54B7">
        <w:tc>
          <w:tcPr>
            <w:tcW w:w="1290" w:type="dxa"/>
          </w:tcPr>
          <w:p w:rsidR="005E76CE" w:rsidRDefault="005E76CE" w:rsidP="008F54B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egative</w:t>
            </w:r>
          </w:p>
        </w:tc>
        <w:tc>
          <w:tcPr>
            <w:tcW w:w="1201" w:type="dxa"/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.70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.90</w:t>
            </w:r>
          </w:p>
        </w:tc>
        <w:tc>
          <w:tcPr>
            <w:tcW w:w="1201" w:type="dxa"/>
            <w:tcBorders>
              <w:righ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.81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.73</w:t>
            </w:r>
          </w:p>
        </w:tc>
        <w:tc>
          <w:tcPr>
            <w:tcW w:w="1202" w:type="dxa"/>
            <w:tcBorders>
              <w:left w:val="single" w:sz="24" w:space="0" w:color="FFFFFF"/>
            </w:tcBorders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.65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.80</w:t>
            </w:r>
          </w:p>
        </w:tc>
        <w:tc>
          <w:tcPr>
            <w:tcW w:w="1201" w:type="dxa"/>
            <w:vAlign w:val="center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.01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.87</w:t>
            </w:r>
          </w:p>
        </w:tc>
        <w:tc>
          <w:tcPr>
            <w:tcW w:w="1201" w:type="dxa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.78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.85</w:t>
            </w:r>
          </w:p>
        </w:tc>
        <w:tc>
          <w:tcPr>
            <w:tcW w:w="1202" w:type="dxa"/>
          </w:tcPr>
          <w:p w:rsidR="005E76CE" w:rsidRDefault="005E76CE" w:rsidP="008F54B7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.53</w:t>
            </w:r>
            <m:oMath>
              <m:r>
                <w:rPr>
                  <w:rFonts w:ascii="Cambria Math" w:hAnsi="Cambria Math" w:cs="Times New Roman"/>
                  <w:sz w:val="21"/>
                  <w:szCs w:val="21"/>
                </w:rPr>
                <m:t>±</m:t>
              </m:r>
            </m:oMath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.71</w:t>
            </w:r>
          </w:p>
        </w:tc>
      </w:tr>
    </w:tbl>
    <w:p w:rsidR="005E76CE" w:rsidRDefault="005E76CE" w:rsidP="005E76CE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Value: </w:t>
      </w:r>
      <w:r>
        <w:rPr>
          <w:rFonts w:ascii="Times New Roman" w:hAnsi="Times New Roman" w:cs="Times New Roman" w:hint="eastAsia"/>
          <w:sz w:val="21"/>
          <w:szCs w:val="21"/>
        </w:rPr>
        <w:t>M</w:t>
      </w:r>
      <w:r>
        <w:rPr>
          <w:rFonts w:ascii="Times New Roman" w:hAnsi="Times New Roman" w:cs="Times New Roman"/>
          <w:sz w:val="21"/>
          <w:szCs w:val="21"/>
        </w:rPr>
        <w:t>ean</w:t>
      </w:r>
      <m:oMath>
        <m:r>
          <w:rPr>
            <w:rFonts w:ascii="Cambria Math" w:hAnsi="Cambria Math" w:cs="Times New Roman"/>
            <w:sz w:val="21"/>
            <w:szCs w:val="21"/>
          </w:rPr>
          <m:t>±</m:t>
        </m:r>
      </m:oMath>
      <w:r w:rsidRPr="00554854">
        <w:rPr>
          <w:rFonts w:ascii="Times New Roman" w:hAnsi="Times New Roman" w:cs="Times New Roman" w:hint="eastAsia"/>
          <w:i/>
          <w:sz w:val="21"/>
          <w:szCs w:val="21"/>
        </w:rPr>
        <w:t>S</w:t>
      </w:r>
      <w:r w:rsidRPr="00554854">
        <w:rPr>
          <w:rFonts w:ascii="Times New Roman" w:hAnsi="Times New Roman" w:cs="Times New Roman"/>
          <w:i/>
          <w:sz w:val="21"/>
          <w:szCs w:val="21"/>
        </w:rPr>
        <w:t>D</w:t>
      </w:r>
      <w:r>
        <w:rPr>
          <w:rFonts w:ascii="Times New Roman" w:hAnsi="Times New Roman" w:cs="Times New Roman"/>
          <w:sz w:val="21"/>
          <w:szCs w:val="21"/>
        </w:rPr>
        <w:t>.</w:t>
      </w:r>
    </w:p>
    <w:p w:rsidR="005E76CE" w:rsidRPr="00F30BDD" w:rsidRDefault="005E76CE" w:rsidP="005E76CE">
      <w:pPr>
        <w:rPr>
          <w:rFonts w:ascii="Times New Roman" w:hAnsi="Times New Roman" w:cs="Times New Roman"/>
          <w:sz w:val="21"/>
          <w:szCs w:val="21"/>
        </w:rPr>
      </w:pPr>
    </w:p>
    <w:sectPr w:rsidR="005E76CE" w:rsidRPr="00F30BDD" w:rsidSect="00D501A1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045"/>
    <w:rsid w:val="00015A48"/>
    <w:rsid w:val="000225C6"/>
    <w:rsid w:val="0004692C"/>
    <w:rsid w:val="000476A6"/>
    <w:rsid w:val="00074AD1"/>
    <w:rsid w:val="00080BD5"/>
    <w:rsid w:val="000A0675"/>
    <w:rsid w:val="000C0A59"/>
    <w:rsid w:val="000D2E40"/>
    <w:rsid w:val="000E4DE7"/>
    <w:rsid w:val="001076AD"/>
    <w:rsid w:val="00132C51"/>
    <w:rsid w:val="00133767"/>
    <w:rsid w:val="00135A37"/>
    <w:rsid w:val="00165754"/>
    <w:rsid w:val="00176C48"/>
    <w:rsid w:val="001B0973"/>
    <w:rsid w:val="001C4E21"/>
    <w:rsid w:val="001E3C96"/>
    <w:rsid w:val="002111D8"/>
    <w:rsid w:val="00244C1B"/>
    <w:rsid w:val="00255E2F"/>
    <w:rsid w:val="00277559"/>
    <w:rsid w:val="00281B6B"/>
    <w:rsid w:val="002B6224"/>
    <w:rsid w:val="002D01C2"/>
    <w:rsid w:val="002D12FD"/>
    <w:rsid w:val="002D4CFF"/>
    <w:rsid w:val="00306AB2"/>
    <w:rsid w:val="00330FB7"/>
    <w:rsid w:val="00377C79"/>
    <w:rsid w:val="00382F4F"/>
    <w:rsid w:val="003A16E3"/>
    <w:rsid w:val="003E11FC"/>
    <w:rsid w:val="00456FC9"/>
    <w:rsid w:val="004853D9"/>
    <w:rsid w:val="004906E1"/>
    <w:rsid w:val="004A1688"/>
    <w:rsid w:val="004A1DEE"/>
    <w:rsid w:val="004A3143"/>
    <w:rsid w:val="004B0B4A"/>
    <w:rsid w:val="004C0CE9"/>
    <w:rsid w:val="004C140F"/>
    <w:rsid w:val="004C4D12"/>
    <w:rsid w:val="004E15A4"/>
    <w:rsid w:val="004F6045"/>
    <w:rsid w:val="0050771B"/>
    <w:rsid w:val="005117D1"/>
    <w:rsid w:val="00511CA5"/>
    <w:rsid w:val="0054259E"/>
    <w:rsid w:val="0054782C"/>
    <w:rsid w:val="00567D9A"/>
    <w:rsid w:val="005734B6"/>
    <w:rsid w:val="005D40E2"/>
    <w:rsid w:val="005E76CE"/>
    <w:rsid w:val="005F077E"/>
    <w:rsid w:val="006344BD"/>
    <w:rsid w:val="0064117A"/>
    <w:rsid w:val="006421A7"/>
    <w:rsid w:val="00683EE2"/>
    <w:rsid w:val="006B02B0"/>
    <w:rsid w:val="006C07C0"/>
    <w:rsid w:val="006C402D"/>
    <w:rsid w:val="006E6284"/>
    <w:rsid w:val="006F17B2"/>
    <w:rsid w:val="0071333D"/>
    <w:rsid w:val="00734FC4"/>
    <w:rsid w:val="007613EB"/>
    <w:rsid w:val="007955DF"/>
    <w:rsid w:val="007B6BD2"/>
    <w:rsid w:val="007D2946"/>
    <w:rsid w:val="008249CD"/>
    <w:rsid w:val="008278EE"/>
    <w:rsid w:val="00840869"/>
    <w:rsid w:val="00886EAA"/>
    <w:rsid w:val="00892615"/>
    <w:rsid w:val="00897515"/>
    <w:rsid w:val="008B0FD6"/>
    <w:rsid w:val="008C23A2"/>
    <w:rsid w:val="009455E9"/>
    <w:rsid w:val="009A6303"/>
    <w:rsid w:val="009C04CF"/>
    <w:rsid w:val="009D2211"/>
    <w:rsid w:val="00A4418F"/>
    <w:rsid w:val="00A747BC"/>
    <w:rsid w:val="00AB27FD"/>
    <w:rsid w:val="00AE642A"/>
    <w:rsid w:val="00B146A1"/>
    <w:rsid w:val="00B562D9"/>
    <w:rsid w:val="00BC0E4A"/>
    <w:rsid w:val="00BC3F5E"/>
    <w:rsid w:val="00BF4C8A"/>
    <w:rsid w:val="00C2495A"/>
    <w:rsid w:val="00C36537"/>
    <w:rsid w:val="00C65A6F"/>
    <w:rsid w:val="00C66D08"/>
    <w:rsid w:val="00C66EC2"/>
    <w:rsid w:val="00CA027C"/>
    <w:rsid w:val="00D04ACD"/>
    <w:rsid w:val="00D076E1"/>
    <w:rsid w:val="00D15FDA"/>
    <w:rsid w:val="00D27344"/>
    <w:rsid w:val="00D46875"/>
    <w:rsid w:val="00D501A1"/>
    <w:rsid w:val="00D63DF5"/>
    <w:rsid w:val="00D7747F"/>
    <w:rsid w:val="00DA1913"/>
    <w:rsid w:val="00DA3AF6"/>
    <w:rsid w:val="00DB3911"/>
    <w:rsid w:val="00DC75AE"/>
    <w:rsid w:val="00E34553"/>
    <w:rsid w:val="00E35AC3"/>
    <w:rsid w:val="00E425F0"/>
    <w:rsid w:val="00E42E13"/>
    <w:rsid w:val="00E447CD"/>
    <w:rsid w:val="00E47403"/>
    <w:rsid w:val="00E72629"/>
    <w:rsid w:val="00E91E5B"/>
    <w:rsid w:val="00E9604F"/>
    <w:rsid w:val="00E9709A"/>
    <w:rsid w:val="00EA0488"/>
    <w:rsid w:val="00EA04A2"/>
    <w:rsid w:val="00EC0706"/>
    <w:rsid w:val="00EC731A"/>
    <w:rsid w:val="00F35E52"/>
    <w:rsid w:val="00F378D8"/>
    <w:rsid w:val="00F7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  <w15:docId w15:val="{222828C0-8D20-0544-8928-05D2A9501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7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5E76C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762</Words>
  <Characters>4350</Characters>
  <Application>Microsoft Office Word</Application>
  <DocSecurity>0</DocSecurity>
  <Lines>36</Lines>
  <Paragraphs>10</Paragraphs>
  <ScaleCrop>false</ScaleCrop>
  <Company/>
  <LinksUpToDate>false</LinksUpToDate>
  <CharactersWithSpaces>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2022-12-13T05:13:00Z</dcterms:created>
  <dcterms:modified xsi:type="dcterms:W3CDTF">2022-12-16T05:15:00Z</dcterms:modified>
</cp:coreProperties>
</file>