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817" w:rsidRPr="006A49B5" w:rsidRDefault="00633817" w:rsidP="00633817">
      <w:pPr>
        <w:rPr>
          <w:rFonts w:ascii="Arial" w:hAnsi="Arial" w:cs="Arial"/>
          <w:b/>
          <w:sz w:val="20"/>
          <w:szCs w:val="20"/>
        </w:rPr>
      </w:pPr>
      <w:r w:rsidRPr="006A49B5">
        <w:rPr>
          <w:rFonts w:ascii="Arial" w:hAnsi="Arial" w:cs="Arial"/>
          <w:b/>
          <w:sz w:val="20"/>
          <w:szCs w:val="20"/>
        </w:rPr>
        <w:t>Supplementary table: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925"/>
      </w:tblGrid>
      <w:tr w:rsidR="00633817" w:rsidRPr="006A49B5" w:rsidTr="00D74C83">
        <w:tc>
          <w:tcPr>
            <w:tcW w:w="2425" w:type="dxa"/>
            <w:shd w:val="clear" w:color="auto" w:fill="D0CECE" w:themeFill="background2" w:themeFillShade="E6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  <w:b/>
                <w:sz w:val="20"/>
                <w:szCs w:val="20"/>
              </w:rPr>
              <w:t>Demographic character</w:t>
            </w:r>
          </w:p>
        </w:tc>
        <w:tc>
          <w:tcPr>
            <w:tcW w:w="6925" w:type="dxa"/>
            <w:shd w:val="clear" w:color="auto" w:fill="D0CECE" w:themeFill="background2" w:themeFillShade="E6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Maternal age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Maternal age is categorized into three categories. &lt;20 years, 20-35 years and &gt;35 years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Ethnicity 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Ethnicity is characterized into two categories, Brahmins and </w:t>
            </w:r>
            <w:proofErr w:type="spellStart"/>
            <w:r w:rsidRPr="006A49B5">
              <w:rPr>
                <w:rFonts w:ascii="Arial" w:hAnsi="Arial" w:cs="Arial"/>
                <w:bCs/>
                <w:sz w:val="20"/>
                <w:szCs w:val="20"/>
              </w:rPr>
              <w:t>Chettri</w:t>
            </w:r>
            <w:proofErr w:type="spellEnd"/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 are categorized into advantaged groups and Dalit, </w:t>
            </w:r>
            <w:proofErr w:type="spellStart"/>
            <w:r w:rsidRPr="006A49B5">
              <w:rPr>
                <w:rFonts w:ascii="Arial" w:hAnsi="Arial" w:cs="Arial"/>
                <w:bCs/>
                <w:sz w:val="20"/>
                <w:szCs w:val="20"/>
              </w:rPr>
              <w:t>Janjati</w:t>
            </w:r>
            <w:proofErr w:type="spellEnd"/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proofErr w:type="spellStart"/>
            <w:r w:rsidRPr="006A49B5">
              <w:rPr>
                <w:rFonts w:ascii="Arial" w:hAnsi="Arial" w:cs="Arial"/>
                <w:bCs/>
                <w:sz w:val="20"/>
                <w:szCs w:val="20"/>
              </w:rPr>
              <w:t>Madhesi</w:t>
            </w:r>
            <w:proofErr w:type="spellEnd"/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 and </w:t>
            </w:r>
            <w:proofErr w:type="spellStart"/>
            <w:r w:rsidRPr="006A49B5">
              <w:rPr>
                <w:rFonts w:ascii="Arial" w:hAnsi="Arial" w:cs="Arial"/>
                <w:bCs/>
                <w:sz w:val="20"/>
                <w:szCs w:val="20"/>
              </w:rPr>
              <w:t>muslim</w:t>
            </w:r>
            <w:proofErr w:type="spellEnd"/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 are categorized into disadvantaged groups. 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Illiterate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Those who did not receive any formal education were categorized into Illiterate.</w:t>
            </w:r>
          </w:p>
        </w:tc>
      </w:tr>
      <w:tr w:rsidR="00633817" w:rsidRPr="006A49B5" w:rsidTr="00D74C83">
        <w:tc>
          <w:tcPr>
            <w:tcW w:w="2425" w:type="dxa"/>
            <w:shd w:val="clear" w:color="auto" w:fill="D0CECE" w:themeFill="background2" w:themeFillShade="E6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  <w:b/>
                <w:sz w:val="20"/>
                <w:szCs w:val="20"/>
              </w:rPr>
              <w:t>Obstetric</w:t>
            </w:r>
          </w:p>
        </w:tc>
        <w:tc>
          <w:tcPr>
            <w:tcW w:w="6925" w:type="dxa"/>
            <w:shd w:val="clear" w:color="auto" w:fill="D0CECE" w:themeFill="background2" w:themeFillShade="E6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Multiple delivery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Deliveries with two or more than two deliveries were considered under multiple </w:t>
            </w:r>
            <w:proofErr w:type="gramStart"/>
            <w:r w:rsidRPr="006A49B5">
              <w:rPr>
                <w:rFonts w:ascii="Arial" w:hAnsi="Arial" w:cs="Arial"/>
                <w:bCs/>
                <w:sz w:val="20"/>
                <w:szCs w:val="20"/>
              </w:rPr>
              <w:t>delivery</w:t>
            </w:r>
            <w:proofErr w:type="gramEnd"/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. 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Parity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Women who has never given birth is kept under nulliparous, women with only one child is </w:t>
            </w:r>
            <w:proofErr w:type="spellStart"/>
            <w:r w:rsidRPr="006A49B5">
              <w:rPr>
                <w:rFonts w:ascii="Arial" w:hAnsi="Arial" w:cs="Arial"/>
                <w:bCs/>
                <w:sz w:val="20"/>
                <w:szCs w:val="20"/>
              </w:rPr>
              <w:t>primiparous</w:t>
            </w:r>
            <w:proofErr w:type="spellEnd"/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 and  multipara are women with more than one birth. 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Induction of labor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Induction of labor with use of oxytocin, prostaglandin and </w:t>
            </w:r>
            <w:proofErr w:type="spellStart"/>
            <w:r w:rsidRPr="006A49B5">
              <w:rPr>
                <w:rFonts w:ascii="Arial" w:hAnsi="Arial" w:cs="Arial"/>
                <w:bCs/>
                <w:sz w:val="20"/>
                <w:szCs w:val="20"/>
              </w:rPr>
              <w:t>amniotomy</w:t>
            </w:r>
            <w:proofErr w:type="spellEnd"/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 is considered under induction of labor. 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Augmentation of labor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  <w:sz w:val="20"/>
                <w:szCs w:val="20"/>
              </w:rPr>
              <w:t>Augmentation of labor</w:t>
            </w:r>
            <w:r w:rsidRPr="006A49B5">
              <w:rPr>
                <w:rFonts w:ascii="Arial" w:hAnsi="Arial" w:cs="Arial"/>
                <w:bCs/>
                <w:sz w:val="20"/>
                <w:szCs w:val="20"/>
              </w:rPr>
              <w:t> is the process of stimulating the uterus to increase the frequency, duration and intensity of contractions after the onset of spontaneous </w:t>
            </w:r>
            <w:r w:rsidRPr="006A49B5">
              <w:rPr>
                <w:rFonts w:ascii="Arial" w:hAnsi="Arial" w:cs="Arial"/>
                <w:sz w:val="20"/>
                <w:szCs w:val="20"/>
              </w:rPr>
              <w:t>labor</w:t>
            </w: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 using oxytocin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Gestational age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Gestational age was estimated from last menstrual period as &lt;37 weeks, 37-41 weeks and ≥42 weeks of pregnancy. </w:t>
            </w:r>
          </w:p>
        </w:tc>
      </w:tr>
      <w:tr w:rsidR="00633817" w:rsidRPr="006A49B5" w:rsidTr="00D74C83">
        <w:tc>
          <w:tcPr>
            <w:tcW w:w="2425" w:type="dxa"/>
            <w:shd w:val="clear" w:color="auto" w:fill="D0CECE" w:themeFill="background2" w:themeFillShade="E6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  <w:b/>
                <w:sz w:val="20"/>
                <w:szCs w:val="20"/>
              </w:rPr>
              <w:t>Neonatal</w:t>
            </w:r>
          </w:p>
        </w:tc>
        <w:tc>
          <w:tcPr>
            <w:tcW w:w="6925" w:type="dxa"/>
            <w:shd w:val="clear" w:color="auto" w:fill="D0CECE" w:themeFill="background2" w:themeFillShade="E6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Birth weight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Birth weight was categorized as &lt; 2499gms, 2500-3999gms and ≥4000gms. </w:t>
            </w:r>
          </w:p>
        </w:tc>
      </w:tr>
      <w:tr w:rsidR="00633817" w:rsidRPr="006A49B5" w:rsidTr="00D74C83">
        <w:tc>
          <w:tcPr>
            <w:tcW w:w="2425" w:type="dxa"/>
            <w:shd w:val="clear" w:color="auto" w:fill="D0CECE" w:themeFill="background2" w:themeFillShade="E6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bCs/>
              </w:rPr>
            </w:pPr>
            <w:r w:rsidRPr="006A49B5">
              <w:rPr>
                <w:rFonts w:ascii="Arial" w:hAnsi="Arial" w:cs="Arial"/>
                <w:b/>
                <w:bCs/>
              </w:rPr>
              <w:t>Perinatal outcome</w:t>
            </w:r>
          </w:p>
        </w:tc>
        <w:tc>
          <w:tcPr>
            <w:tcW w:w="6925" w:type="dxa"/>
            <w:shd w:val="clear" w:color="auto" w:fill="D0CECE" w:themeFill="background2" w:themeFillShade="E6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</w:rPr>
              <w:t>Apgar&lt;7@5min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The Apgar score is a method for reporting the status of the newborn infant immediately after birth and the response to resuscitation if needed. APGAR score less than 7 observed at 5 minutes of birth require resuscitation.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</w:rPr>
              <w:t>Bag-mask ventilation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Babies who required bag and mask ventilation at the time of birth.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</w:rPr>
              <w:t>Birth asphyxia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Babies failing to initiate spontaneous and sustained breathing after the birth. 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</w:rPr>
              <w:t>Shoulder dystocia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Babies requiring additional maneuver following failure to deliver the shoulders. 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</w:rPr>
              <w:t>First-day mortality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 xml:space="preserve">Death of babies within 24 hours of birth. </w:t>
            </w:r>
          </w:p>
        </w:tc>
      </w:tr>
      <w:tr w:rsidR="00633817" w:rsidRPr="006A49B5" w:rsidTr="00D74C83">
        <w:tc>
          <w:tcPr>
            <w:tcW w:w="2425" w:type="dxa"/>
          </w:tcPr>
          <w:p w:rsidR="00633817" w:rsidRPr="006A49B5" w:rsidRDefault="00633817" w:rsidP="00D74C8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A49B5">
              <w:rPr>
                <w:rFonts w:ascii="Arial" w:hAnsi="Arial" w:cs="Arial"/>
              </w:rPr>
              <w:t>Transferred to SNCU</w:t>
            </w:r>
          </w:p>
        </w:tc>
        <w:tc>
          <w:tcPr>
            <w:tcW w:w="6925" w:type="dxa"/>
          </w:tcPr>
          <w:p w:rsidR="00633817" w:rsidRPr="006A49B5" w:rsidRDefault="00633817" w:rsidP="00D74C8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A49B5">
              <w:rPr>
                <w:rFonts w:ascii="Arial" w:hAnsi="Arial" w:cs="Arial"/>
                <w:bCs/>
                <w:sz w:val="20"/>
                <w:szCs w:val="20"/>
              </w:rPr>
              <w:t>Babies that were transferred to sick new-born care unit.</w:t>
            </w:r>
          </w:p>
        </w:tc>
      </w:tr>
    </w:tbl>
    <w:p w:rsidR="00633817" w:rsidRPr="006A49B5" w:rsidRDefault="00633817" w:rsidP="00633817">
      <w:pPr>
        <w:rPr>
          <w:rFonts w:ascii="Arial" w:hAnsi="Arial" w:cs="Arial"/>
          <w:b/>
          <w:sz w:val="20"/>
          <w:szCs w:val="20"/>
        </w:rPr>
      </w:pPr>
    </w:p>
    <w:p w:rsidR="00633817" w:rsidRPr="006A49B5" w:rsidRDefault="00633817" w:rsidP="00633817">
      <w:pPr>
        <w:rPr>
          <w:rFonts w:ascii="Arial" w:hAnsi="Arial" w:cs="Arial"/>
          <w:b/>
          <w:sz w:val="20"/>
          <w:szCs w:val="20"/>
        </w:rPr>
      </w:pPr>
    </w:p>
    <w:p w:rsidR="00BD7FC8" w:rsidRDefault="00BD7FC8">
      <w:bookmarkStart w:id="0" w:name="_GoBack"/>
      <w:bookmarkEnd w:id="0"/>
    </w:p>
    <w:sectPr w:rsidR="00BD7FC8" w:rsidSect="00A4181E">
      <w:footerReference w:type="default" r:id="rId5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9F2" w:rsidRDefault="00633817" w:rsidP="007E60C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817"/>
    <w:rsid w:val="00633817"/>
    <w:rsid w:val="00BD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8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338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3817"/>
  </w:style>
  <w:style w:type="table" w:styleId="TableGrid">
    <w:name w:val="Table Grid"/>
    <w:basedOn w:val="TableNormal"/>
    <w:uiPriority w:val="39"/>
    <w:rsid w:val="006338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338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8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338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3817"/>
  </w:style>
  <w:style w:type="table" w:styleId="TableGrid">
    <w:name w:val="Table Grid"/>
    <w:basedOn w:val="TableNormal"/>
    <w:uiPriority w:val="39"/>
    <w:rsid w:val="006338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33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1677</Characters>
  <Application>Microsoft Office Word</Application>
  <DocSecurity>0</DocSecurity>
  <Lines>13</Lines>
  <Paragraphs>3</Paragraphs>
  <ScaleCrop>false</ScaleCrop>
  <Company>Springer-SBM</Company>
  <LinksUpToDate>false</LinksUpToDate>
  <CharactersWithSpaces>1968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2020-04-29T04:44:00Z</dcterms:created>
  <dcterms:modified xsi:type="dcterms:W3CDTF">2020-04-29T04:45:00Z</dcterms:modified>
</cp:coreProperties>
</file>