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Supporting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 w:eastAsiaTheme="minorEastAsia"/>
          <w:b/>
          <w:kern w:val="28"/>
          <w:sz w:val="24"/>
          <w:szCs w:val="24"/>
        </w:rPr>
      </w:pPr>
      <w:bookmarkStart w:id="0" w:name="OLE_LINK9"/>
      <w:bookmarkStart w:id="1" w:name="OLE_LINK69"/>
      <w:bookmarkStart w:id="2" w:name="OLE_LINK10"/>
      <w:bookmarkStart w:id="3" w:name="OLE_LINK43"/>
      <w:bookmarkStart w:id="4" w:name="OLE_LINK50"/>
      <w:bookmarkStart w:id="5" w:name="OLE_LINK68"/>
      <w:r>
        <w:rPr>
          <w:rFonts w:hint="eastAsia" w:ascii="Times New Roman" w:hAnsi="Times New Roman" w:cs="Times New Roman" w:eastAsiaTheme="minorEastAsia"/>
          <w:b/>
          <w:kern w:val="28"/>
          <w:sz w:val="24"/>
          <w:szCs w:val="24"/>
        </w:rPr>
        <w:t>Melatonin ameliorates neurological deficits through MT2/IL-33/ferritin H</w:t>
      </w:r>
      <w:r>
        <w:rPr>
          <w:rFonts w:hint="eastAsia" w:cs="Times New Roman" w:eastAsiaTheme="minorEastAsia"/>
          <w:b/>
          <w:kern w:val="28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kern w:val="28"/>
          <w:sz w:val="24"/>
          <w:szCs w:val="24"/>
        </w:rPr>
        <w:t>signaling-mediated inhibition of neuroinflammation and ferroptosis after traumatic brain injury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kern w:val="28"/>
          <w:sz w:val="24"/>
          <w:szCs w:val="24"/>
        </w:rPr>
        <w:t xml:space="preserve">Running title: </w:t>
      </w:r>
      <w:r>
        <w:rPr>
          <w:rFonts w:hint="eastAsia" w:ascii="Times New Roman" w:hAnsi="Times New Roman" w:cs="Times New Roman" w:eastAsiaTheme="minorEastAsia"/>
          <w:b/>
          <w:kern w:val="28"/>
          <w:sz w:val="24"/>
          <w:szCs w:val="24"/>
        </w:rPr>
        <w:t>MT2/IL-33/Fth-mediated melatonin protects against TBI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kern w:val="28"/>
          <w:sz w:val="24"/>
          <w:szCs w:val="24"/>
        </w:rPr>
        <w:t>Authors:</w:t>
      </w:r>
    </w:p>
    <w:bookmarkEnd w:id="0"/>
    <w:bookmarkEnd w:id="1"/>
    <w:bookmarkEnd w:id="2"/>
    <w:bookmarkEnd w:id="3"/>
    <w:bookmarkEnd w:id="4"/>
    <w:bookmarkEnd w:id="5"/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200" w:afterAutospacing="0" w:line="360" w:lineRule="auto"/>
        <w:ind w:left="0" w:right="0"/>
        <w:jc w:val="both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Yuan Gao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1,2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>,3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Tao Wang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1#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Ying Cheng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1#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Yumin Wu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1#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Luwen Zhu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2#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Zhiya Gu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Youzhuang Wu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Luwei Cai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Yimin Wu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Yidan Zhang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Cheng Gao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Xueshi Chen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Lili Li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Jing Li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Zufeng Wang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Ying Wang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Fudi Wang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4*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Chengliang Luo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1*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, and Luyang Tao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1*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  <w:t xml:space="preserve">Author Affiliations: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hint="eastAsia" w:ascii="Times New Roman" w:hAnsi="Times New Roman" w:cs="Times New Roman"/>
          <w:sz w:val="24"/>
          <w:szCs w:val="24"/>
        </w:rPr>
        <w:t>Department of Forensic Medicine, School of Basic Medicine and Biological Sciences, Soochow University.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178 Ganjiang East Road, Suzhou 215123, China.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vertAlign w:val="superscript"/>
        </w:rPr>
        <w:t xml:space="preserve">2 </w:t>
      </w:r>
      <w:r>
        <w:rPr>
          <w:rFonts w:hint="eastAsia" w:ascii="Times New Roman" w:hAnsi="Times New Roman" w:cs="Times New Roman"/>
        </w:rPr>
        <w:t>Department of Physiology, Temerty Faculty of Medicine, University of Toronto</w:t>
      </w:r>
    </w:p>
    <w:p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Add</w:t>
      </w:r>
      <w:r>
        <w:rPr>
          <w:rFonts w:hint="eastAsia" w:ascii="Times New Roman" w:hAnsi="Times New Roman" w:cs="Times New Roman"/>
        </w:rPr>
        <w:t xml:space="preserve"> 1 King's College Circle, Toronto, Ontario, Canada;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Department of Forensic Science, Wenzhou Medical University.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 Wenzhou Medical University, University Town, Chashan, Wenzhou, Zhejiang, 325035, China.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vertAlign w:val="superscript"/>
          <w:lang w:val="en-US" w:eastAsia="zh-CN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Department of Child and Adolescent Healthcare, Children’s Hospital of Soochow University.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 No.92 Zhongnan Street, Suzhou, Jiangsu, 215021, China.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eastAsia="宋体" w:cs="Times New Roman"/>
          <w:sz w:val="24"/>
          <w:szCs w:val="24"/>
          <w:vertAlign w:val="superscript"/>
          <w:lang w:val="en-US" w:eastAsia="zh-CN"/>
        </w:rPr>
        <w:t>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First Affiliated Hospital, School of Public Health, Institute of Translational Medicine, Zhejiang University.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866 Yuhangtang Road, Hangzhou, Zhejiang Province, 310058, P. R. China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These authors have contributed equally to this work.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Correspondence to Luyang Tao, Chengliang Luo and Fudi Wang, E-mail: </w:t>
      </w:r>
      <w:r>
        <w:rPr>
          <w:rFonts w:hint="eastAsia" w:ascii="Times New Roman" w:hAnsi="Times New Roman" w:cs="Times New Roman"/>
          <w:sz w:val="24"/>
          <w:szCs w:val="24"/>
        </w:rPr>
        <w:t>taoluyangjiwkl@163.com</w:t>
      </w:r>
      <w:bookmarkStart w:id="10" w:name="_GoBack"/>
      <w:bookmarkEnd w:id="10"/>
      <w:r>
        <w:rPr>
          <w:rFonts w:ascii="Times New Roman" w:hAnsi="Times New Roman" w:cs="Times New Roman"/>
          <w:sz w:val="24"/>
          <w:szCs w:val="24"/>
        </w:rPr>
        <w:t xml:space="preserve"> (Luyang Tao),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"mailto:clluo@suda.edu.cn" </w:instrText>
      </w:r>
      <w:r>
        <w:rPr>
          <w:sz w:val="24"/>
          <w:szCs w:val="24"/>
        </w:rPr>
        <w:fldChar w:fldCharType="separate"/>
      </w:r>
      <w:r>
        <w:rPr>
          <w:rStyle w:val="6"/>
          <w:rFonts w:ascii="Times New Roman" w:hAnsi="Times New Roman" w:cs="Times New Roman"/>
          <w:color w:val="auto"/>
          <w:sz w:val="24"/>
          <w:szCs w:val="24"/>
          <w:u w:val="none"/>
        </w:rPr>
        <w:t>clluo@suda.edu.cn</w:t>
      </w:r>
      <w:r>
        <w:rPr>
          <w:rStyle w:val="6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(Chengliang Luo), and fwang@zju.edu.cn.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  <w:t>Supplementary Table S1-S</w:t>
      </w:r>
      <w:r>
        <w:rPr>
          <w:rFonts w:hint="eastAsia" w:cs="Times New Roman"/>
          <w:b/>
          <w:bCs/>
          <w:kern w:val="28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  <w:t>Supplementary Figure S1-S</w:t>
      </w:r>
      <w:r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bCs/>
          <w:kern w:val="28"/>
          <w:sz w:val="24"/>
          <w:szCs w:val="2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360" w:lineRule="auto"/>
        <w:ind w:left="0" w:leftChars="0" w:firstLine="0" w:firstLineChars="0"/>
        <w:jc w:val="both"/>
        <w:textAlignment w:val="auto"/>
        <w:rPr>
          <w:i w:val="0"/>
          <w:sz w:val="24"/>
          <w:szCs w:val="24"/>
        </w:rPr>
      </w:pPr>
    </w:p>
    <w:p>
      <w:pPr>
        <w:pStyle w:val="3"/>
        <w:jc w:val="both"/>
        <w:rPr>
          <w:i w:val="0"/>
          <w:sz w:val="21"/>
        </w:rPr>
      </w:pPr>
    </w:p>
    <w:p>
      <w:pPr>
        <w:pStyle w:val="3"/>
        <w:jc w:val="both"/>
        <w:rPr>
          <w:i w:val="0"/>
          <w:sz w:val="21"/>
        </w:rPr>
      </w:pPr>
    </w:p>
    <w:p>
      <w:pPr>
        <w:pStyle w:val="3"/>
        <w:jc w:val="both"/>
        <w:rPr>
          <w:i w:val="0"/>
          <w:sz w:val="21"/>
        </w:rPr>
      </w:pPr>
    </w:p>
    <w:p>
      <w:pPr>
        <w:pStyle w:val="3"/>
        <w:jc w:val="both"/>
        <w:rPr>
          <w:i w:val="0"/>
          <w:sz w:val="21"/>
        </w:r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i w:val="0"/>
          <w:sz w:val="21"/>
        </w:rPr>
      </w:pPr>
      <w:r>
        <w:rPr>
          <w:rFonts w:hint="default" w:ascii="Times New Roman" w:hAnsi="Times New Roman" w:cs="Times New Roman"/>
          <w:b/>
          <w:bCs/>
          <w:kern w:val="28"/>
          <w:lang w:val="en-US" w:eastAsia="zh-CN"/>
        </w:rPr>
        <w:t>Supplementary Tables</w:t>
      </w:r>
    </w:p>
    <w:p>
      <w:pPr>
        <w:pStyle w:val="3"/>
        <w:jc w:val="both"/>
        <w:rPr>
          <w:b w:val="0"/>
          <w:i w:val="0"/>
          <w:sz w:val="21"/>
        </w:rPr>
      </w:pPr>
      <w:r>
        <w:rPr>
          <w:i w:val="0"/>
          <w:sz w:val="21"/>
        </w:rPr>
        <w:t>Table</w:t>
      </w:r>
      <w:r>
        <w:rPr>
          <w:i w:val="0"/>
          <w:spacing w:val="-4"/>
          <w:sz w:val="21"/>
        </w:rPr>
        <w:t xml:space="preserve"> </w:t>
      </w:r>
      <w:r>
        <w:rPr>
          <w:i w:val="0"/>
          <w:sz w:val="21"/>
        </w:rPr>
        <w:t>S</w:t>
      </w:r>
      <w:r>
        <w:rPr>
          <w:rFonts w:hint="eastAsia" w:eastAsia="宋体"/>
          <w:i w:val="0"/>
          <w:sz w:val="21"/>
          <w:lang w:val="en-US" w:eastAsia="zh-CN"/>
        </w:rPr>
        <w:t>1</w:t>
      </w:r>
      <w:r>
        <w:rPr>
          <w:i w:val="0"/>
          <w:sz w:val="21"/>
        </w:rPr>
        <w:t>.</w:t>
      </w:r>
      <w:r>
        <w:rPr>
          <w:i w:val="0"/>
          <w:spacing w:val="-3"/>
          <w:sz w:val="21"/>
        </w:rPr>
        <w:t xml:space="preserve"> </w:t>
      </w:r>
      <w:r>
        <w:rPr>
          <w:b w:val="0"/>
          <w:i w:val="0"/>
          <w:sz w:val="21"/>
        </w:rPr>
        <w:t>Primers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used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for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genotyping</w:t>
      </w:r>
    </w:p>
    <w:p>
      <w:pPr>
        <w:spacing w:before="1" w:after="0" w:line="240" w:lineRule="auto"/>
        <w:jc w:val="both"/>
        <w:rPr>
          <w:sz w:val="11"/>
        </w:rPr>
      </w:pPr>
    </w:p>
    <w:tbl>
      <w:tblPr>
        <w:tblStyle w:val="4"/>
        <w:tblW w:w="8429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1115"/>
        <w:gridCol w:w="4324"/>
        <w:gridCol w:w="2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76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Gene</w:t>
            </w:r>
          </w:p>
        </w:tc>
        <w:tc>
          <w:tcPr>
            <w:tcW w:w="5439" w:type="dxa"/>
            <w:gridSpan w:val="2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Primer</w:t>
            </w:r>
            <w:r>
              <w:rPr>
                <w:rFonts w:hint="default"/>
                <w:b/>
                <w:spacing w:val="-1"/>
                <w:sz w:val="21"/>
              </w:rPr>
              <w:t xml:space="preserve"> </w:t>
            </w:r>
            <w:r>
              <w:rPr>
                <w:rFonts w:hint="default"/>
                <w:b/>
                <w:sz w:val="21"/>
              </w:rPr>
              <w:t>sequence</w:t>
            </w:r>
          </w:p>
        </w:tc>
        <w:tc>
          <w:tcPr>
            <w:tcW w:w="223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ind w:left="108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Genotype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76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35" w:lineRule="exact"/>
              <w:jc w:val="both"/>
              <w:rPr>
                <w:rFonts w:hint="eastAsia" w:eastAsia="宋体"/>
                <w:i/>
                <w:sz w:val="21"/>
                <w:lang w:val="en-US" w:eastAsia="zh-CN"/>
              </w:rPr>
            </w:pPr>
            <w:r>
              <w:rPr>
                <w:rFonts w:hint="default"/>
                <w:i/>
                <w:sz w:val="21"/>
              </w:rPr>
              <w:t>Fth</w:t>
            </w:r>
            <w:r>
              <w:rPr>
                <w:rFonts w:hint="eastAsia" w:eastAsia="宋体"/>
                <w:i/>
                <w:sz w:val="21"/>
                <w:lang w:val="en-US" w:eastAsia="zh-CN"/>
              </w:rPr>
              <w:t>1</w:t>
            </w:r>
          </w:p>
        </w:tc>
        <w:tc>
          <w:tcPr>
            <w:tcW w:w="1115" w:type="dxa"/>
            <w:tcBorders>
              <w:right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360" w:lineRule="auto"/>
              <w:ind w:right="272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  <w:r>
              <w:rPr>
                <w:rFonts w:hint="default"/>
                <w:spacing w:val="-5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324" w:type="dxa"/>
            <w:tcBorders>
              <w:left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35" w:lineRule="exact"/>
              <w:ind w:left="30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5'-CCATCAACCGCCAGATCAAC-3'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/>
              <w:ind w:left="30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5'-CGCCATACTCCAGGAGGAAC-3'</w:t>
            </w:r>
          </w:p>
        </w:tc>
        <w:tc>
          <w:tcPr>
            <w:tcW w:w="223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360" w:lineRule="auto"/>
              <w:ind w:left="108" w:right="74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pacing w:val="-1"/>
                <w:sz w:val="21"/>
              </w:rPr>
              <w:t>Wildtype:</w:t>
            </w:r>
            <w:r>
              <w:rPr>
                <w:rFonts w:hint="default"/>
                <w:spacing w:val="-12"/>
                <w:sz w:val="21"/>
              </w:rPr>
              <w:t xml:space="preserve"> </w:t>
            </w:r>
            <w:r>
              <w:rPr>
                <w:rFonts w:hint="default"/>
                <w:spacing w:val="-1"/>
                <w:sz w:val="21"/>
              </w:rPr>
              <w:t>420</w:t>
            </w:r>
            <w:r>
              <w:rPr>
                <w:rFonts w:hint="default"/>
                <w:spacing w:val="-1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bp</w:t>
            </w:r>
            <w:r>
              <w:rPr>
                <w:rFonts w:hint="default"/>
                <w:spacing w:val="-49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Homozygous: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330 bp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Heterozygous:300 and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420</w:t>
            </w:r>
            <w:r>
              <w:rPr>
                <w:rFonts w:hint="default"/>
                <w:spacing w:val="-2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bp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76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35" w:lineRule="exact"/>
              <w:jc w:val="both"/>
              <w:rPr>
                <w:rFonts w:hint="default"/>
                <w:i/>
                <w:sz w:val="21"/>
              </w:rPr>
            </w:pPr>
            <w:r>
              <w:rPr>
                <w:rFonts w:hint="default"/>
                <w:i/>
                <w:sz w:val="21"/>
              </w:rPr>
              <w:t>Map2-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Cre</w:t>
            </w:r>
          </w:p>
        </w:tc>
        <w:tc>
          <w:tcPr>
            <w:tcW w:w="1115" w:type="dxa"/>
            <w:tcBorders>
              <w:right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360" w:lineRule="auto"/>
              <w:ind w:right="777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P1</w:t>
            </w:r>
            <w:r>
              <w:rPr>
                <w:rFonts w:hint="default"/>
                <w:spacing w:val="-5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P2</w:t>
            </w:r>
            <w:r>
              <w:rPr>
                <w:rFonts w:hint="default"/>
                <w:spacing w:val="-5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P3</w:t>
            </w:r>
          </w:p>
        </w:tc>
        <w:tc>
          <w:tcPr>
            <w:tcW w:w="4324" w:type="dxa"/>
            <w:tcBorders>
              <w:left w:val="nil"/>
            </w:tcBorders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35" w:lineRule="exact"/>
              <w:ind w:left="30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3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GCATCACCCCGACGACTCAG</w:t>
            </w:r>
            <w:r>
              <w:rPr>
                <w:rFonts w:hint="default"/>
                <w:spacing w:val="-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/>
              <w:ind w:left="30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ACCACTTCTTCAACCAACGCTCAA–3’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/>
              <w:ind w:left="30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</w:t>
            </w:r>
            <w:r>
              <w:rPr>
                <w:rFonts w:hint="default"/>
                <w:spacing w:val="-5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–GGTGTTATAAGCAATCCCCAGAA–3’</w:t>
            </w:r>
          </w:p>
        </w:tc>
        <w:tc>
          <w:tcPr>
            <w:tcW w:w="2230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360" w:lineRule="auto"/>
              <w:ind w:left="108" w:right="74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pacing w:val="-1"/>
                <w:sz w:val="21"/>
              </w:rPr>
              <w:t>Wildtype:</w:t>
            </w:r>
            <w:r>
              <w:rPr>
                <w:rFonts w:hint="default"/>
                <w:spacing w:val="-12"/>
                <w:sz w:val="21"/>
              </w:rPr>
              <w:t xml:space="preserve"> </w:t>
            </w:r>
            <w:r>
              <w:rPr>
                <w:rFonts w:hint="default"/>
                <w:spacing w:val="-1"/>
                <w:sz w:val="21"/>
              </w:rPr>
              <w:t>745</w:t>
            </w:r>
            <w:r>
              <w:rPr>
                <w:rFonts w:hint="default"/>
                <w:spacing w:val="-1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bp</w:t>
            </w:r>
            <w:r>
              <w:rPr>
                <w:rFonts w:hint="default"/>
                <w:spacing w:val="-49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Homozygous: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700 bp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Heterozygous:700 and</w:t>
            </w:r>
            <w:r>
              <w:rPr>
                <w:rFonts w:hint="default"/>
                <w:spacing w:val="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745</w:t>
            </w:r>
            <w:r>
              <w:rPr>
                <w:rFonts w:hint="default"/>
                <w:spacing w:val="-2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bp</w:t>
            </w:r>
          </w:p>
        </w:tc>
      </w:tr>
    </w:tbl>
    <w:p>
      <w:pPr>
        <w:pStyle w:val="3"/>
        <w:ind w:left="0" w:leftChars="0" w:firstLine="0" w:firstLineChars="0"/>
        <w:jc w:val="both"/>
        <w:rPr>
          <w:i w:val="0"/>
          <w:sz w:val="21"/>
        </w:rPr>
      </w:pPr>
    </w:p>
    <w:p>
      <w:pPr>
        <w:pStyle w:val="3"/>
        <w:ind w:left="0" w:leftChars="0" w:firstLine="0" w:firstLineChars="0"/>
        <w:jc w:val="both"/>
        <w:rPr>
          <w:i w:val="0"/>
          <w:sz w:val="21"/>
        </w:rPr>
      </w:pPr>
    </w:p>
    <w:p>
      <w:pPr>
        <w:pStyle w:val="3"/>
        <w:ind w:left="0" w:leftChars="0" w:firstLine="0" w:firstLineChars="0"/>
        <w:jc w:val="both"/>
        <w:rPr>
          <w:i w:val="0"/>
          <w:sz w:val="21"/>
        </w:rPr>
      </w:pPr>
    </w:p>
    <w:p>
      <w:pPr>
        <w:pStyle w:val="3"/>
        <w:jc w:val="both"/>
        <w:rPr>
          <w:b w:val="0"/>
          <w:i w:val="0"/>
          <w:sz w:val="21"/>
        </w:rPr>
      </w:pPr>
      <w:r>
        <w:rPr>
          <w:i w:val="0"/>
          <w:sz w:val="21"/>
        </w:rPr>
        <w:t>Table</w:t>
      </w:r>
      <w:r>
        <w:rPr>
          <w:i w:val="0"/>
          <w:spacing w:val="-4"/>
          <w:sz w:val="21"/>
        </w:rPr>
        <w:t xml:space="preserve"> </w:t>
      </w:r>
      <w:r>
        <w:rPr>
          <w:i w:val="0"/>
          <w:sz w:val="21"/>
        </w:rPr>
        <w:t>S</w:t>
      </w:r>
      <w:r>
        <w:rPr>
          <w:rFonts w:hint="eastAsia" w:eastAsia="宋体"/>
          <w:i w:val="0"/>
          <w:sz w:val="21"/>
          <w:lang w:val="en-US" w:eastAsia="zh-CN"/>
        </w:rPr>
        <w:t>2</w:t>
      </w:r>
      <w:r>
        <w:rPr>
          <w:i w:val="0"/>
          <w:sz w:val="21"/>
        </w:rPr>
        <w:t>.</w:t>
      </w:r>
      <w:r>
        <w:rPr>
          <w:i w:val="0"/>
          <w:spacing w:val="-2"/>
          <w:sz w:val="21"/>
        </w:rPr>
        <w:t xml:space="preserve"> </w:t>
      </w:r>
      <w:r>
        <w:rPr>
          <w:b w:val="0"/>
          <w:i w:val="0"/>
          <w:sz w:val="21"/>
        </w:rPr>
        <w:t>Primers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used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for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real-time</w:t>
      </w:r>
      <w:r>
        <w:rPr>
          <w:b w:val="0"/>
          <w:i w:val="0"/>
          <w:spacing w:val="-1"/>
          <w:sz w:val="21"/>
        </w:rPr>
        <w:t xml:space="preserve"> </w:t>
      </w:r>
      <w:r>
        <w:rPr>
          <w:b w:val="0"/>
          <w:i w:val="0"/>
          <w:sz w:val="21"/>
        </w:rPr>
        <w:t>PCR</w:t>
      </w:r>
    </w:p>
    <w:p>
      <w:pPr>
        <w:spacing w:before="1" w:after="0" w:line="240" w:lineRule="auto"/>
        <w:jc w:val="both"/>
        <w:rPr>
          <w:sz w:val="11"/>
        </w:rPr>
      </w:pPr>
    </w:p>
    <w:tbl>
      <w:tblPr>
        <w:tblStyle w:val="4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"/>
        <w:gridCol w:w="1029"/>
        <w:gridCol w:w="4892"/>
        <w:gridCol w:w="14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93" w:type="dxa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Gene</w:t>
            </w:r>
          </w:p>
        </w:tc>
        <w:tc>
          <w:tcPr>
            <w:tcW w:w="5921" w:type="dxa"/>
            <w:gridSpan w:val="2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Primer</w:t>
            </w:r>
            <w:r>
              <w:rPr>
                <w:rFonts w:hint="default"/>
                <w:b/>
                <w:spacing w:val="-1"/>
                <w:sz w:val="21"/>
              </w:rPr>
              <w:t xml:space="preserve"> </w:t>
            </w:r>
            <w:r>
              <w:rPr>
                <w:rFonts w:hint="default"/>
                <w:b/>
                <w:sz w:val="21"/>
              </w:rPr>
              <w:t>sequence</w:t>
            </w:r>
          </w:p>
        </w:tc>
        <w:tc>
          <w:tcPr>
            <w:tcW w:w="1408" w:type="dxa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 w:line="240" w:lineRule="exact"/>
              <w:ind w:left="105"/>
              <w:jc w:val="both"/>
              <w:rPr>
                <w:rFonts w:hint="default"/>
                <w:b/>
                <w:sz w:val="21"/>
              </w:rPr>
            </w:pPr>
            <w:r>
              <w:rPr>
                <w:rFonts w:hint="default"/>
                <w:b/>
                <w:sz w:val="21"/>
              </w:rPr>
              <w:t>Species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4" w:hRule="atLeast"/>
        </w:trPr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 w:eastAsia="宋体"/>
                <w:i/>
                <w:sz w:val="21"/>
                <w:lang w:val="en-US" w:eastAsia="zh-CN"/>
              </w:rPr>
            </w:pPr>
            <w:r>
              <w:rPr>
                <w:rFonts w:hint="eastAsia" w:eastAsia="宋体"/>
                <w:i/>
                <w:sz w:val="21"/>
                <w:lang w:val="en-US" w:eastAsia="zh-CN"/>
              </w:rPr>
              <w:t>Mt1</w:t>
            </w:r>
          </w:p>
        </w:tc>
        <w:tc>
          <w:tcPr>
            <w:tcW w:w="1029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892" w:type="dxa"/>
            <w:tcBorders>
              <w:lef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4"/>
                <w:sz w:val="21"/>
              </w:rPr>
              <w:t>CAGTACGACCCCCGGATCTA</w:t>
            </w:r>
            <w:r>
              <w:rPr>
                <w:rFonts w:hint="default"/>
                <w:sz w:val="21"/>
              </w:rPr>
              <w:t xml:space="preserve"> 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2"/>
                <w:sz w:val="21"/>
              </w:rPr>
              <w:t xml:space="preserve"> </w:t>
            </w:r>
            <w:r>
              <w:rPr>
                <w:rFonts w:hint="eastAsia"/>
                <w:spacing w:val="-2"/>
                <w:sz w:val="21"/>
              </w:rPr>
              <w:t>GGCAATCGTGTACGCCG</w:t>
            </w:r>
            <w:r>
              <w:rPr>
                <w:rFonts w:hint="default"/>
                <w:sz w:val="21"/>
              </w:rPr>
              <w:t xml:space="preserve"> –3’</w:t>
            </w:r>
          </w:p>
        </w:tc>
        <w:tc>
          <w:tcPr>
            <w:tcW w:w="140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5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Mouse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i/>
                <w:sz w:val="21"/>
                <w:lang w:val="en-US"/>
              </w:rPr>
            </w:pPr>
            <w:r>
              <w:rPr>
                <w:rFonts w:hint="eastAsia" w:eastAsia="宋体"/>
                <w:i/>
                <w:sz w:val="21"/>
                <w:lang w:val="en-US" w:eastAsia="zh-CN"/>
              </w:rPr>
              <w:t>Mt2</w:t>
            </w:r>
          </w:p>
        </w:tc>
        <w:tc>
          <w:tcPr>
            <w:tcW w:w="1029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892" w:type="dxa"/>
            <w:tcBorders>
              <w:lef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4"/>
                <w:sz w:val="21"/>
              </w:rPr>
              <w:t>ATGTTCGCAGTGTTTGTGGTTT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eastAsia"/>
                <w:spacing w:val="-4"/>
                <w:sz w:val="21"/>
              </w:rPr>
              <w:t>ACTGCAAGGCCAATACAGTTGA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</w:tc>
        <w:tc>
          <w:tcPr>
            <w:tcW w:w="140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5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Mouse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 w:eastAsia="宋体"/>
                <w:i/>
                <w:sz w:val="21"/>
                <w:lang w:val="en-US" w:eastAsia="zh-CN"/>
              </w:rPr>
            </w:pPr>
            <w:r>
              <w:rPr>
                <w:rFonts w:hint="eastAsia" w:eastAsia="宋体"/>
                <w:i/>
                <w:sz w:val="21"/>
                <w:lang w:val="en-US" w:eastAsia="zh-CN"/>
              </w:rPr>
              <w:t>Il33</w:t>
            </w:r>
          </w:p>
        </w:tc>
        <w:tc>
          <w:tcPr>
            <w:tcW w:w="1029" w:type="dxa"/>
            <w:tcBorders>
              <w:righ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892" w:type="dxa"/>
            <w:tcBorders>
              <w:left w:val="nil"/>
            </w:tcBorders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3"/>
                <w:sz w:val="21"/>
              </w:rPr>
              <w:t xml:space="preserve"> </w:t>
            </w:r>
            <w:r>
              <w:rPr>
                <w:rFonts w:hint="eastAsia"/>
                <w:spacing w:val="-3"/>
                <w:sz w:val="21"/>
              </w:rPr>
              <w:t>AGGAAAGAACCCACGAAA</w:t>
            </w:r>
            <w:r>
              <w:rPr>
                <w:rFonts w:hint="default"/>
                <w:spacing w:val="-2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3"/>
                <w:sz w:val="21"/>
              </w:rPr>
              <w:t xml:space="preserve"> </w:t>
            </w:r>
            <w:r>
              <w:rPr>
                <w:rFonts w:hint="eastAsia"/>
                <w:spacing w:val="-3"/>
                <w:sz w:val="21"/>
              </w:rPr>
              <w:t>GTCAACAGACGCAGCAAA</w:t>
            </w:r>
            <w:r>
              <w:rPr>
                <w:rFonts w:hint="default"/>
                <w:sz w:val="21"/>
              </w:rPr>
              <w:t xml:space="preserve"> –3’</w:t>
            </w:r>
          </w:p>
        </w:tc>
        <w:tc>
          <w:tcPr>
            <w:tcW w:w="140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5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Mouse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7" w:leftChars="0" w:right="0" w:rightChars="0"/>
              <w:jc w:val="both"/>
              <w:rPr>
                <w:rFonts w:hint="default" w:ascii="Times New Roman" w:hAnsi="Times New Roman" w:eastAsia="Times New Roman" w:cs="Times New Roman"/>
                <w:i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i/>
                <w:sz w:val="21"/>
              </w:rPr>
              <w:t>Fth</w:t>
            </w:r>
          </w:p>
        </w:tc>
        <w:tc>
          <w:tcPr>
            <w:tcW w:w="1029" w:type="dxa"/>
            <w:tcBorders>
              <w:righ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107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892" w:type="dxa"/>
            <w:tcBorders>
              <w:lef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CCATCAACCGCCAGATCAAC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213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GAAACATCATCTCGGTCAAA</w:t>
            </w:r>
            <w:r>
              <w:rPr>
                <w:rFonts w:hint="default"/>
                <w:spacing w:val="-4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</w:tc>
        <w:tc>
          <w:tcPr>
            <w:tcW w:w="140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5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Mouse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893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7" w:leftChars="0" w:right="0" w:rightChars="0"/>
              <w:jc w:val="both"/>
              <w:rPr>
                <w:rFonts w:hint="default" w:ascii="Times New Roman" w:hAnsi="Times New Roman" w:eastAsia="Times New Roman" w:cs="Times New Roman"/>
                <w:i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i/>
                <w:sz w:val="21"/>
              </w:rPr>
              <w:t>Gapdh</w:t>
            </w:r>
          </w:p>
        </w:tc>
        <w:tc>
          <w:tcPr>
            <w:tcW w:w="1029" w:type="dxa"/>
            <w:tcBorders>
              <w:righ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Forward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107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Reverse</w:t>
            </w:r>
          </w:p>
        </w:tc>
        <w:tc>
          <w:tcPr>
            <w:tcW w:w="4892" w:type="dxa"/>
            <w:tcBorders>
              <w:left w:val="nil"/>
            </w:tcBorders>
            <w:vAlign w:val="top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213"/>
              <w:jc w:val="both"/>
              <w:rPr>
                <w:rFonts w:hint="default"/>
                <w:sz w:val="21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3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ATCATCCCTGCATCCACT</w:t>
            </w:r>
            <w:r>
              <w:rPr>
                <w:rFonts w:hint="default"/>
                <w:spacing w:val="-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  <w:p>
            <w:pPr>
              <w:pStyle w:val="9"/>
              <w:keepNext w:val="0"/>
              <w:keepLines w:val="0"/>
              <w:suppressLineNumbers w:val="0"/>
              <w:spacing w:before="121" w:beforeAutospacing="0" w:afterAutospacing="0" w:line="240" w:lineRule="auto"/>
              <w:ind w:left="213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5’–</w:t>
            </w:r>
            <w:r>
              <w:rPr>
                <w:rFonts w:hint="default"/>
                <w:spacing w:val="-3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ATCCACGACGGACACATT</w:t>
            </w:r>
            <w:r>
              <w:rPr>
                <w:rFonts w:hint="default"/>
                <w:spacing w:val="-1"/>
                <w:sz w:val="21"/>
              </w:rPr>
              <w:t xml:space="preserve"> </w:t>
            </w:r>
            <w:r>
              <w:rPr>
                <w:rFonts w:hint="default"/>
                <w:sz w:val="21"/>
              </w:rPr>
              <w:t>–3’</w:t>
            </w:r>
          </w:p>
        </w:tc>
        <w:tc>
          <w:tcPr>
            <w:tcW w:w="1408" w:type="dxa"/>
            <w:vAlign w:val="center"/>
          </w:tcPr>
          <w:p>
            <w:pPr>
              <w:pStyle w:val="9"/>
              <w:keepNext w:val="0"/>
              <w:keepLines w:val="0"/>
              <w:suppressLineNumbers w:val="0"/>
              <w:spacing w:beforeAutospacing="0" w:afterAutospacing="0"/>
              <w:ind w:left="105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/>
                <w:sz w:val="21"/>
              </w:rPr>
              <w:t>Mouse</w:t>
            </w:r>
          </w:p>
        </w:tc>
      </w:tr>
    </w:tbl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pStyle w:val="2"/>
        <w:spacing w:line="360" w:lineRule="auto"/>
        <w:jc w:val="both"/>
        <w:rPr>
          <w:rFonts w:hint="default" w:eastAsia="宋体"/>
          <w:lang w:val="en-US" w:eastAsia="zh-CN"/>
        </w:rPr>
      </w:pPr>
      <w:r>
        <w:rPr>
          <w:b/>
        </w:rPr>
        <w:t>Table S</w:t>
      </w:r>
      <w:r>
        <w:rPr>
          <w:rFonts w:hint="eastAsia" w:eastAsia="宋体"/>
          <w:b/>
          <w:lang w:val="en-US" w:eastAsia="zh-CN"/>
        </w:rPr>
        <w:t>3</w:t>
      </w:r>
      <w:r>
        <w:rPr>
          <w:b/>
        </w:rPr>
        <w:t xml:space="preserve"> </w:t>
      </w:r>
      <w:r>
        <w:t xml:space="preserve">Primary and secondary antibodies used for </w:t>
      </w:r>
      <w:r>
        <w:rPr>
          <w:rFonts w:hint="eastAsia" w:eastAsia="宋体"/>
          <w:lang w:val="en-US" w:eastAsia="zh-CN"/>
        </w:rPr>
        <w:t>w</w:t>
      </w:r>
      <w:r>
        <w:t>estern blotting (WB), immunofluorescent</w:t>
      </w:r>
      <w:r>
        <w:rPr>
          <w:spacing w:val="-50"/>
        </w:rPr>
        <w:t xml:space="preserve"> </w:t>
      </w:r>
      <w:r>
        <w:t>(IF)</w:t>
      </w:r>
      <w:r>
        <w:rPr>
          <w:rFonts w:hint="eastAsia" w:eastAsia="宋体"/>
          <w:lang w:val="en-US" w:eastAsia="zh-CN"/>
        </w:rPr>
        <w:t>,</w:t>
      </w:r>
      <w:r>
        <w:t xml:space="preserve"> immunohistochemical</w:t>
      </w:r>
      <w:r>
        <w:rPr>
          <w:spacing w:val="-1"/>
        </w:rPr>
        <w:t xml:space="preserve"> </w:t>
      </w:r>
      <w:r>
        <w:t>(IHC)</w:t>
      </w:r>
      <w:r>
        <w:rPr>
          <w:spacing w:val="-1"/>
        </w:rPr>
        <w:t xml:space="preserve"> </w:t>
      </w:r>
      <w:r>
        <w:t>staining</w:t>
      </w:r>
      <w:r>
        <w:rPr>
          <w:rFonts w:hint="eastAsia" w:eastAsia="宋体"/>
          <w:lang w:val="en-US" w:eastAsia="zh-CN"/>
        </w:rPr>
        <w:t>, and flow cytometry (FC)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8"/>
        <w:gridCol w:w="850"/>
        <w:gridCol w:w="2870"/>
        <w:gridCol w:w="1000"/>
        <w:gridCol w:w="13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2378" w:type="dxa"/>
            <w:tcBorders>
              <w:top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Antibody</w:t>
            </w:r>
          </w:p>
        </w:tc>
        <w:tc>
          <w:tcPr>
            <w:tcW w:w="850" w:type="dxa"/>
            <w:tcBorders>
              <w:top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144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Host</w:t>
            </w:r>
          </w:p>
        </w:tc>
        <w:tc>
          <w:tcPr>
            <w:tcW w:w="2870" w:type="dxa"/>
            <w:tcBorders>
              <w:top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Distributor</w:t>
            </w:r>
          </w:p>
        </w:tc>
        <w:tc>
          <w:tcPr>
            <w:tcW w:w="2397" w:type="dxa"/>
            <w:gridSpan w:val="2"/>
            <w:tcBorders>
              <w:top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Working</w:t>
            </w:r>
            <w:r>
              <w:rPr>
                <w:rFonts w:hint="default" w:ascii="Times New Roman" w:hAnsi="Times New Roman" w:eastAsia="Times New Roman" w:cs="Times New Roman"/>
                <w:b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dilution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378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850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2870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1000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WB</w:t>
            </w:r>
          </w:p>
        </w:tc>
        <w:tc>
          <w:tcPr>
            <w:tcW w:w="1397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b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IF/IHC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2"/>
                <w:lang w:val="en-US" w:eastAsia="zh-CN" w:bidi="ar-SA"/>
              </w:rPr>
              <w:t>/FC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  <w:jc w:val="center"/>
        </w:trPr>
        <w:tc>
          <w:tcPr>
            <w:tcW w:w="8495" w:type="dxa"/>
            <w:gridSpan w:val="5"/>
            <w:tcBorders>
              <w:top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Primary</w:t>
            </w:r>
            <w:r>
              <w:rPr>
                <w:rFonts w:hint="default" w:ascii="Times New Roman" w:hAnsi="Times New Roman" w:eastAsia="Times New Roman" w:cs="Times New Roman"/>
                <w:b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antibody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IL-33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eastAsia"/>
                <w:sz w:val="2"/>
                <w:szCs w:val="2"/>
              </w:rPr>
              <w:t>GG</w:t>
            </w:r>
            <w:r>
              <w:rPr>
                <w:rFonts w:hint="default"/>
                <w:w w:val="100"/>
                <w:sz w:val="21"/>
              </w:rPr>
              <w:t>G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R&amp;D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AF3626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 w:rightChars="0"/>
              <w:jc w:val="both"/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IL-33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sz w:val="2"/>
                <w:szCs w:val="2"/>
                <w:lang w:val="en-US" w:eastAsia="zh-CN" w:bidi="ar-SA"/>
              </w:rPr>
              <w:t>RR</w:t>
            </w: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R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Affinity (DF8319)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ST2L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eastAsia"/>
                <w:sz w:val="2"/>
                <w:szCs w:val="2"/>
              </w:rPr>
              <w:t>G</w:t>
            </w:r>
            <w:r>
              <w:rPr>
                <w:rFonts w:hint="default"/>
                <w:w w:val="100"/>
                <w:sz w:val="21"/>
              </w:rPr>
              <w:t>G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R&amp;D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AF1004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10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IL-13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default"/>
                <w:w w:val="100"/>
                <w:sz w:val="21"/>
              </w:rPr>
              <w:t>M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sc-393365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IL-13R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sc-398831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Transferrin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ab278498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5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  <w:t>Transferrin</w:t>
            </w: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  <w:t>Receptor</w:t>
            </w:r>
            <w:r>
              <w:rPr>
                <w:rFonts w:hint="eastAsia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  <w:t xml:space="preserve"> 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5" w:beforeAutospacing="0" w:after="0" w:afterAutospacing="0" w:line="240" w:lineRule="auto"/>
              <w:ind w:left="0" w:leftChars="0" w:right="25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121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ab269513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5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Ferroportin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Affinity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DF13561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2378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Ft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h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 (ab65080)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both"/>
              <w:rPr>
                <w:rFonts w:hint="default"/>
                <w:w w:val="100"/>
                <w:sz w:val="21"/>
              </w:rPr>
            </w:pPr>
            <w:r>
              <w:rPr>
                <w:rFonts w:hint="default"/>
                <w:w w:val="100"/>
                <w:sz w:val="21"/>
              </w:rPr>
              <w:t>M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 (sc-376594)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HO-1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Affinity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AF5393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GPX4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bookmarkStart w:id="6" w:name="OLE_LINK28"/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Affinity</w:t>
            </w:r>
            <w:bookmarkEnd w:id="6"/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DF6701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TNF-α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default"/>
                <w:w w:val="100"/>
                <w:sz w:val="21"/>
              </w:rPr>
              <w:t>M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sc-48418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1:400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IL-6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ab229381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1:500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IL-10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bookmarkStart w:id="7" w:name="OLE_LINK34"/>
            <w:bookmarkStart w:id="8" w:name="OLE_LINK35"/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</w:t>
            </w:r>
            <w:bookmarkEnd w:id="7"/>
            <w:bookmarkEnd w:id="8"/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ab189392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1:500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1"/>
                <w:lang w:val="en-US" w:eastAsia="en-US" w:bidi="ar-SA"/>
              </w:rPr>
              <w:t>Gapdh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19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M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CMCTAG (AT0002)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1:10000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β-Tublin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Affinity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AF7011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1:1000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178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MT1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sc-51727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MT2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default"/>
                <w:w w:val="100"/>
                <w:sz w:val="21"/>
              </w:rPr>
              <w:t>M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Santa Cruz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sc-398788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bookmarkStart w:id="9" w:name="OLE_LINK1" w:colFirst="3" w:colLast="3"/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F4/80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 w:eastAsia="宋体"/>
                <w:sz w:val="2"/>
                <w:szCs w:val="2"/>
                <w:lang w:val="en-US" w:eastAsia="zh-CN"/>
              </w:rPr>
            </w:pPr>
            <w:r>
              <w:rPr>
                <w:rFonts w:hint="eastAsia" w:eastAsia="宋体"/>
                <w:sz w:val="2"/>
                <w:szCs w:val="2"/>
                <w:lang w:val="en-US" w:eastAsia="zh-CN"/>
              </w:rPr>
              <w:t>RatR</w:t>
            </w:r>
            <w:r>
              <w:rPr>
                <w:rFonts w:hint="eastAsia" w:eastAsia="宋体"/>
                <w:sz w:val="21"/>
                <w:lang w:val="en-US" w:eastAsia="zh-CN"/>
              </w:rPr>
              <w:t>Rat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Biolegend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  <w:t>123108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CD11b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  <w:r>
              <w:rPr>
                <w:rFonts w:hint="eastAsia"/>
                <w:sz w:val="2"/>
                <w:szCs w:val="2"/>
              </w:rPr>
              <w:t>Rat</w:t>
            </w:r>
            <w:r>
              <w:rPr>
                <w:rFonts w:hint="eastAsia" w:eastAsia="宋体"/>
                <w:sz w:val="2"/>
                <w:szCs w:val="2"/>
                <w:lang w:val="en-US" w:eastAsia="zh-CN"/>
              </w:rPr>
              <w:t>tR</w:t>
            </w:r>
            <w:r>
              <w:rPr>
                <w:rFonts w:hint="eastAsia" w:eastAsia="宋体"/>
                <w:sz w:val="21"/>
                <w:lang w:val="en-US" w:eastAsia="zh-CN"/>
              </w:rPr>
              <w:t>Rat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Biolegend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  <w:t>101230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CD86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both"/>
              <w:rPr>
                <w:rFonts w:hint="eastAsia" w:ascii="Times New Roman" w:hAnsi="Times New Roman" w:eastAsia="Times New Roman" w:cs="Times New Roman"/>
                <w:sz w:val="2"/>
                <w:szCs w:val="2"/>
                <w:lang w:val="en-US" w:eastAsia="en-US" w:bidi="ar-SA"/>
              </w:rPr>
            </w:pPr>
            <w:r>
              <w:rPr>
                <w:rFonts w:hint="eastAsia" w:eastAsia="宋体"/>
                <w:sz w:val="2"/>
                <w:szCs w:val="2"/>
                <w:lang w:val="en-US" w:eastAsia="zh-CN"/>
              </w:rPr>
              <w:t>RatR</w:t>
            </w:r>
            <w:r>
              <w:rPr>
                <w:rFonts w:hint="eastAsia" w:eastAsia="宋体"/>
                <w:sz w:val="21"/>
                <w:lang w:val="en-US" w:eastAsia="zh-CN"/>
              </w:rPr>
              <w:t>Rat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Biolegend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159204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leftChars="0" w:right="0" w:rightChars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CD206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ind w:left="0" w:leftChars="0" w:right="0" w:rightChars="0"/>
              <w:jc w:val="both"/>
              <w:rPr>
                <w:rFonts w:hint="eastAsia" w:ascii="Times New Roman" w:hAnsi="Times New Roman" w:eastAsia="Times New Roman" w:cs="Times New Roman"/>
                <w:sz w:val="2"/>
                <w:szCs w:val="2"/>
                <w:lang w:val="en-US" w:eastAsia="en-US" w:bidi="ar-SA"/>
              </w:rPr>
            </w:pPr>
            <w:r>
              <w:rPr>
                <w:rFonts w:hint="eastAsia"/>
                <w:sz w:val="2"/>
                <w:szCs w:val="2"/>
              </w:rPr>
              <w:t>Rat</w:t>
            </w:r>
            <w:r>
              <w:rPr>
                <w:rFonts w:hint="eastAsia" w:eastAsia="宋体"/>
                <w:sz w:val="2"/>
                <w:szCs w:val="2"/>
                <w:lang w:val="en-US" w:eastAsia="zh-CN"/>
              </w:rPr>
              <w:t>tR</w:t>
            </w:r>
            <w:r>
              <w:rPr>
                <w:rFonts w:hint="eastAsia" w:eastAsia="宋体"/>
                <w:sz w:val="21"/>
                <w:lang w:val="en-US" w:eastAsia="zh-CN"/>
              </w:rPr>
              <w:t>Rat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Biolegend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Times New Roman" w:cs="Times New Roman"/>
                <w:sz w:val="24"/>
                <w:szCs w:val="24"/>
                <w:lang w:val="en-US" w:eastAsia="en-US" w:bidi="ar-SA"/>
              </w:rPr>
              <w:t>141708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CD86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Proteintech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13395-1-AP)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CD206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Proteintech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18704-1-AP)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00</w:t>
            </w:r>
          </w:p>
        </w:tc>
      </w:tr>
      <w:bookmarkEnd w:id="9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1"/>
                <w:szCs w:val="21"/>
                <w:lang w:val="en-US" w:eastAsia="zh-CN" w:bidi="ar"/>
              </w:rPr>
              <w:t>4-HNE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25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R</w:t>
            </w:r>
          </w:p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Abcam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 xml:space="preserve"> (</w:t>
            </w: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ab48506</w:t>
            </w:r>
            <w:r>
              <w:rPr>
                <w:rFonts w:hint="eastAsia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21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  <w:t>1:500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8495" w:type="dxa"/>
            <w:gridSpan w:val="5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/>
                <w:sz w:val="21"/>
                <w:szCs w:val="22"/>
                <w:lang w:val="en-US" w:eastAsia="en-US" w:bidi="ar-SA"/>
              </w:rPr>
              <w:t>Secondary antibody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Anti-mouse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HRP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G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Beyotime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(A0286)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4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Anti-rabbit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HRP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G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Beyotime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(A0277)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Anti-rabbit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HRP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leftChars="0" w:right="13" w:rightChars="0"/>
              <w:jc w:val="both"/>
              <w:rPr>
                <w:rFonts w:hint="default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D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Beyotime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(A0181)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 w:rightChars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1:5000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Anti-mouse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AlexaFluor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IgG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D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(ab150105)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(ab150108)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Anti-rabbit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AlexaFluor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IgG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D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(ab150061)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(ab150080)</w:t>
            </w:r>
          </w:p>
        </w:tc>
        <w:tc>
          <w:tcPr>
            <w:tcW w:w="1000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Anti-goat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AlexaFluor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IgG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D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3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(ab150132)</w:t>
            </w:r>
          </w:p>
        </w:tc>
        <w:tc>
          <w:tcPr>
            <w:tcW w:w="1000" w:type="dxa"/>
            <w:vMerge w:val="continue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37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Anti-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Rat</w:t>
            </w:r>
            <w:r>
              <w:rPr>
                <w:rFonts w:hint="default" w:ascii="Times New Roman" w:hAnsi="Times New Roman" w:eastAsia="Times New Roman" w:cs="Times New Roman"/>
                <w:spacing w:val="-4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AlexaFluor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IgG</w:t>
            </w:r>
          </w:p>
        </w:tc>
        <w:tc>
          <w:tcPr>
            <w:tcW w:w="85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13"/>
              <w:jc w:val="both"/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w w:val="100"/>
                <w:sz w:val="21"/>
                <w:szCs w:val="22"/>
                <w:lang w:val="en-US" w:eastAsia="en-US" w:bidi="ar-SA"/>
              </w:rPr>
              <w:t>D</w:t>
            </w:r>
          </w:p>
        </w:tc>
        <w:tc>
          <w:tcPr>
            <w:tcW w:w="2870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(ab150156)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Abcam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(ab150153)</w:t>
            </w:r>
          </w:p>
        </w:tc>
        <w:tc>
          <w:tcPr>
            <w:tcW w:w="1000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Autospacing="0" w:afterAutospacing="0"/>
              <w:jc w:val="both"/>
              <w:rPr>
                <w:rFonts w:hint="default"/>
                <w:sz w:val="2"/>
                <w:szCs w:val="2"/>
              </w:rPr>
            </w:pP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56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1:</w:t>
            </w:r>
            <w:r>
              <w:rPr>
                <w:rFonts w:hint="eastAsia" w:ascii="Times New Roman" w:hAnsi="Times New Roman" w:eastAsia="宋体" w:cs="Times New Roman"/>
                <w:sz w:val="21"/>
                <w:szCs w:val="22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2378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850" w:type="dxa"/>
            <w:tcBorders>
              <w:bottom w:val="single" w:color="000000" w:sz="18" w:space="0"/>
            </w:tcBorders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0"/>
                <w:szCs w:val="22"/>
                <w:lang w:val="en-US" w:eastAsia="en-US" w:bidi="ar-SA"/>
              </w:rPr>
            </w:pPr>
          </w:p>
        </w:tc>
        <w:tc>
          <w:tcPr>
            <w:tcW w:w="2870" w:type="dxa"/>
            <w:tcBorders>
              <w:bottom w:val="single" w:color="000000" w:sz="18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3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1521"/>
              </w:tabs>
              <w:autoSpaceDE w:val="0"/>
              <w:autoSpaceDN w:val="0"/>
              <w:spacing w:before="1" w:beforeAutospacing="0" w:after="0" w:afterAutospacing="0" w:line="240" w:lineRule="auto"/>
              <w:ind w:left="363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M: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mouse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ab/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R:</w:t>
            </w:r>
            <w:r>
              <w:rPr>
                <w:rFonts w:hint="default" w:ascii="Times New Roman" w:hAnsi="Times New Roman" w:eastAsia="Times New Roman" w:cs="Times New Roman"/>
                <w:spacing w:val="-2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rabbit</w:t>
            </w:r>
          </w:p>
        </w:tc>
        <w:tc>
          <w:tcPr>
            <w:tcW w:w="2397" w:type="dxa"/>
            <w:gridSpan w:val="2"/>
            <w:tcBorders>
              <w:bottom w:val="single" w:color="000000" w:sz="18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spacing w:before="3" w:beforeAutospacing="0" w:after="0" w:afterAutospacing="0" w:line="240" w:lineRule="auto"/>
              <w:ind w:left="0" w:right="0"/>
              <w:jc w:val="both"/>
              <w:rPr>
                <w:rFonts w:hint="default" w:ascii="Times New Roman" w:hAnsi="Times New Roman" w:eastAsia="Times New Roman" w:cs="Times New Roman"/>
                <w:sz w:val="22"/>
                <w:szCs w:val="22"/>
                <w:lang w:val="en-US" w:eastAsia="en-US" w:bidi="ar-SA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tabs>
                <w:tab w:val="left" w:pos="964"/>
              </w:tabs>
              <w:autoSpaceDE w:val="0"/>
              <w:autoSpaceDN w:val="0"/>
              <w:spacing w:before="1" w:beforeAutospacing="0" w:after="0" w:afterAutospacing="0" w:line="240" w:lineRule="auto"/>
              <w:ind w:left="24" w:right="0"/>
              <w:jc w:val="both"/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G: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goat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ab/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D:</w:t>
            </w:r>
            <w:r>
              <w:rPr>
                <w:rFonts w:hint="default" w:ascii="Times New Roman" w:hAnsi="Times New Roman" w:eastAsia="Times New Roman" w:cs="Times New Roman"/>
                <w:spacing w:val="-1"/>
                <w:sz w:val="21"/>
                <w:szCs w:val="22"/>
                <w:lang w:val="en-US" w:eastAsia="en-US" w:bidi="ar-SA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1"/>
                <w:szCs w:val="22"/>
                <w:lang w:val="en-US" w:eastAsia="en-US" w:bidi="ar-SA"/>
              </w:rPr>
              <w:t>donkey</w:t>
            </w:r>
          </w:p>
        </w:tc>
      </w:tr>
    </w:tbl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tbl>
      <w:tblPr>
        <w:tblStyle w:val="1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9"/>
        <w:gridCol w:w="70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90" w:type="dxa"/>
            <w:gridSpan w:val="2"/>
            <w:tcBorders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  <w:t xml:space="preserve">Table </w:t>
            </w:r>
            <w:r>
              <w:rPr>
                <w:rFonts w:hint="eastAsia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  <w:t xml:space="preserve"> Wire Grip Test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  <w:t>S</w:t>
            </w:r>
            <w:r>
              <w:rPr>
                <w:rFonts w:hint="default" w:ascii="Times New Roman" w:hAnsi="Times New Roman" w:eastAsia="Arial Unicode MS" w:cs="Times New Roman"/>
                <w:b/>
                <w:bCs/>
                <w:caps w:val="0"/>
                <w:kern w:val="28"/>
                <w:sz w:val="24"/>
                <w:szCs w:val="24"/>
                <w:lang w:eastAsia="zh-CN" w:bidi="ar"/>
              </w:rPr>
              <w:t>core</w:t>
            </w:r>
          </w:p>
        </w:tc>
        <w:tc>
          <w:tcPr>
            <w:tcW w:w="8805" w:type="dxa"/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/>
                <w:kern w:val="28"/>
                <w:sz w:val="24"/>
                <w:szCs w:val="24"/>
                <w:lang w:eastAsia="zh-CN" w:bidi="ar"/>
              </w:rPr>
              <w:t>D</w:t>
            </w:r>
            <w:r>
              <w:rPr>
                <w:rFonts w:hint="default" w:ascii="Times New Roman" w:hAnsi="Times New Roman" w:eastAsia="Arial Unicode MS" w:cs="Times New Roman"/>
                <w:b/>
                <w:kern w:val="28"/>
                <w:sz w:val="24"/>
                <w:szCs w:val="24"/>
                <w:lang w:eastAsia="zh-CN" w:bidi="ar"/>
              </w:rPr>
              <w:t>efinition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8805" w:type="dxa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is unable to grip wire for less than 30 s;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1</w:t>
            </w:r>
          </w:p>
        </w:tc>
        <w:tc>
          <w:tcPr>
            <w:tcW w:w="8805" w:type="dxa"/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holds on wire for 30 s, but it fails to hold on to the wire with all paws together;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8805" w:type="dxa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holds on to the wire with both forepaws and hind paws but not the tail;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8805" w:type="dxa"/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uses its tail along with all paws without movement on the wire;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4</w:t>
            </w:r>
          </w:p>
        </w:tc>
        <w:tc>
          <w:tcPr>
            <w:tcW w:w="8805" w:type="dxa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moves along the wire on all four paws plus tail</w:t>
            </w:r>
            <w:r>
              <w:rPr>
                <w:rFonts w:hint="eastAsia" w:eastAsia="Arial Unicode MS" w:cs="Times New Roman"/>
                <w:kern w:val="28"/>
                <w:sz w:val="24"/>
                <w:szCs w:val="24"/>
                <w:lang w:val="en-US" w:eastAsia="zh-CN" w:bidi="ar"/>
              </w:rPr>
              <w:t>;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  <w:tcBorders>
              <w:right w:val="nil"/>
            </w:tcBorders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/>
                <w:caps/>
                <w:kern w:val="28"/>
                <w:sz w:val="24"/>
                <w:szCs w:val="24"/>
                <w:lang w:eastAsia="zh-CN" w:bidi="ar"/>
              </w:rPr>
              <w:t>5</w:t>
            </w:r>
          </w:p>
        </w:tc>
        <w:tc>
          <w:tcPr>
            <w:tcW w:w="8805" w:type="dxa"/>
            <w:shd w:val="clear" w:color="auto" w:fill="9CC2E5"/>
            <w:vAlign w:val="center"/>
          </w:tcPr>
          <w:p>
            <w:pPr>
              <w:keepNext w:val="0"/>
              <w:keepLines w:val="0"/>
              <w:suppressLineNumbers w:val="0"/>
              <w:autoSpaceDE/>
              <w:autoSpaceDN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Arial Unicode MS" w:cs="Times New Roman"/>
                <w:kern w:val="28"/>
                <w:sz w:val="24"/>
                <w:szCs w:val="24"/>
                <w:lang w:eastAsia="zh-CN" w:bidi="ar"/>
              </w:rPr>
              <w:t>Mouse ambulates down from one of the posts used to support the wire.</w:t>
            </w:r>
          </w:p>
        </w:tc>
      </w:tr>
    </w:tbl>
    <w:p>
      <w:pPr>
        <w:jc w:val="both"/>
      </w:pPr>
    </w:p>
    <w:p>
      <w:pPr>
        <w:jc w:val="both"/>
      </w:pPr>
    </w:p>
    <w:p>
      <w:pPr>
        <w:jc w:val="both"/>
      </w:pPr>
    </w:p>
    <w:p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hint="default" w:ascii="Times New Roman" w:hAnsi="Times New Roman" w:cs="Times New Roman"/>
          <w:b/>
          <w:bCs/>
          <w:kern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8"/>
          <w:lang w:val="en-US" w:eastAsia="zh-CN"/>
        </w:rPr>
        <w:t xml:space="preserve">Supplementary Figures </w:t>
      </w: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200" w:line="360" w:lineRule="auto"/>
        <w:jc w:val="both"/>
        <w:rPr>
          <w:rFonts w:hint="default" w:ascii="Times New Roman" w:hAnsi="Times New Roman" w:cs="Times New Roman"/>
          <w:b/>
          <w:bCs/>
          <w:kern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8"/>
          <w:lang w:val="en-US" w:eastAsia="zh-CN"/>
        </w:rPr>
        <w:drawing>
          <wp:inline distT="0" distB="0" distL="114300" distR="114300">
            <wp:extent cx="5424805" cy="4773930"/>
            <wp:effectExtent l="0" t="0" r="10795" b="1270"/>
            <wp:docPr id="3" name="图片 3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4805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Figure_ S1</w:t>
      </w:r>
      <w:r>
        <w:rPr>
          <w:rFonts w:hint="default" w:ascii="Times New Roman" w:hAnsi="Times New Roman" w:eastAsia="Arial Unicode MS" w:cs="Times New Roman"/>
          <w:b/>
          <w:bCs/>
          <w:kern w:val="28"/>
          <w:sz w:val="24"/>
          <w:szCs w:val="24"/>
          <w:lang w:val="en-US" w:eastAsia="zh-CN" w:bidi="ar"/>
        </w:rPr>
        <w:t xml:space="preserve"> </w:t>
      </w:r>
      <w:r>
        <w:rPr>
          <w:rFonts w:ascii="Times New Roman" w:hAnsi="Times New Roman" w:cs="Times New Roman"/>
          <w:b/>
        </w:rPr>
        <w:t>Inhibition of ferroptosis by MLT or Lip-1 display</w:t>
      </w:r>
      <w:r>
        <w:rPr>
          <w:rFonts w:hint="eastAsia" w:eastAsia="宋体" w:cs="Times New Roman"/>
          <w:b/>
          <w:lang w:val="en-US" w:eastAsia="zh-CN"/>
        </w:rPr>
        <w:t>ed</w:t>
      </w:r>
      <w:r>
        <w:rPr>
          <w:rFonts w:ascii="Times New Roman" w:hAnsi="Times New Roman" w:cs="Times New Roman"/>
          <w:b/>
        </w:rPr>
        <w:t xml:space="preserve"> crucial effects on TBI-induced ferroptosis via blocking inflammatory cytokines</w:t>
      </w:r>
      <w:r>
        <w:rPr>
          <w:rFonts w:hint="eastAsia" w:eastAsia="宋体" w:cs="Times New Roman"/>
          <w:b/>
          <w:lang w:val="en-US" w:eastAsia="zh-CN"/>
        </w:rPr>
        <w:t xml:space="preserve"> </w:t>
      </w:r>
      <w:r>
        <w:rPr>
          <w:rFonts w:ascii="Times New Roman" w:hAnsi="Times New Roman" w:cs="Times New Roman"/>
          <w:b/>
        </w:rPr>
        <w:t>expression</w:t>
      </w:r>
    </w:p>
    <w:p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="480" w:firstLineChars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Illustration of the experimental setup</w:t>
      </w:r>
      <w:r>
        <w:rPr>
          <w:rFonts w:ascii="Times New Roman" w:hAnsi="Times New Roman" w:cs="Times New Roman"/>
          <w:sz w:val="24"/>
          <w:szCs w:val="24"/>
        </w:rPr>
        <w:t xml:space="preserve">. (B and D) Representative images of immunohistochemical staining for 4-HNE and Perls' blue staining for </w:t>
      </w:r>
      <w:r>
        <w:rPr>
          <w:rFonts w:hint="eastAsia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ron deposition (scale bar = 50 μm) of different groups on day 3 post-TBI. (C and E) Quantification of the rates of 4-HNE- and </w:t>
      </w:r>
      <w:r>
        <w:rPr>
          <w:rFonts w:hint="eastAsia" w:eastAsia="宋体" w:cs="Times New Roman"/>
          <w:sz w:val="24"/>
          <w:szCs w:val="24"/>
          <w:lang w:val="en-US" w:eastAsia="zh-CN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ron-positive cells. (F and J) </w:t>
      </w:r>
      <w:r>
        <w:rPr>
          <w:rFonts w:hint="eastAsia" w:ascii="Times New Roman" w:hAnsi="Times New Roman" w:cs="Times New Roman"/>
          <w:sz w:val="24"/>
          <w:szCs w:val="24"/>
        </w:rPr>
        <w:t xml:space="preserve">Representative Western blot bands of </w:t>
      </w:r>
      <w:r>
        <w:rPr>
          <w:rFonts w:ascii="Times New Roman" w:hAnsi="Times New Roman" w:cs="Times New Roman"/>
          <w:sz w:val="24"/>
          <w:szCs w:val="24"/>
        </w:rPr>
        <w:t xml:space="preserve">IL-33, IL-13, IL-13R,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IL-10, TNF-α, and IL-6</w:t>
      </w:r>
      <w:r>
        <w:rPr>
          <w:rFonts w:hint="eastAsia" w:ascii="Times New Roman" w:hAnsi="Times New Roman" w:cs="Times New Roman"/>
          <w:sz w:val="24"/>
          <w:szCs w:val="24"/>
        </w:rPr>
        <w:t xml:space="preserve"> expression were obtained from the indicated f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our</w:t>
      </w:r>
      <w:r>
        <w:rPr>
          <w:rFonts w:hint="eastAsia" w:ascii="Times New Roman" w:hAnsi="Times New Roman" w:cs="Times New Roman"/>
          <w:sz w:val="24"/>
          <w:szCs w:val="24"/>
        </w:rPr>
        <w:t xml:space="preserve"> groups on day 3 post-TBI</w:t>
      </w:r>
      <w:r>
        <w:rPr>
          <w:rFonts w:ascii="Times New Roman" w:hAnsi="Times New Roman" w:cs="Times New Roman"/>
          <w:sz w:val="24"/>
          <w:szCs w:val="24"/>
        </w:rPr>
        <w:t xml:space="preserve">. (G-M) The optical densities of the protein bands were quantitatively analyzed and normalized with loading control β-Tublin or GAPDH. The data were expressed as means ± SEM (n=5).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>P&lt;0.0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5;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</w:t>
      </w:r>
      <w:r>
        <w:rPr>
          <w:rFonts w:ascii="Times New Roman" w:hAnsi="Times New Roman" w:cs="Times New Roman"/>
          <w:sz w:val="24"/>
          <w:szCs w:val="24"/>
        </w:rPr>
        <w:t>P&lt;0.01 vs Sham+Vehicle group. *P&lt;0.05</w:t>
      </w:r>
      <w:r>
        <w:rPr>
          <w:rFonts w:hint="eastAsia" w:eastAsia="宋体" w:cs="Times New Roman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**P&lt;0.01 vs TBI+Vehicle group. NS represents no significance. Experiments are representative of three independent experiments. </w:t>
      </w:r>
    </w:p>
    <w:p>
      <w:pPr>
        <w:keepNext w:val="0"/>
        <w:keepLines w:val="0"/>
        <w:widowControl w:val="0"/>
        <w:suppressLineNumbers w:val="0"/>
        <w:spacing w:before="0" w:beforeAutospacing="0" w:after="200" w:afterAutospacing="0" w:line="360" w:lineRule="auto"/>
        <w:ind w:left="0" w:right="0"/>
        <w:jc w:val="both"/>
        <w:rPr>
          <w:rFonts w:hint="default" w:ascii="Times New Roman" w:hAnsi="Times New Roman" w:eastAsia="Arial Unicode MS" w:cs="Times New Roman"/>
          <w:b/>
          <w:bCs/>
          <w:kern w:val="28"/>
          <w:sz w:val="24"/>
          <w:szCs w:val="24"/>
          <w:lang w:val="en-US" w:eastAsia="zh-CN" w:bidi="ar"/>
        </w:rPr>
      </w:pPr>
    </w:p>
    <w:p>
      <w:pPr>
        <w:widowControl w:val="0"/>
        <w:numPr>
          <w:ilvl w:val="0"/>
          <w:numId w:val="0"/>
        </w:numPr>
        <w:autoSpaceDE w:val="0"/>
        <w:autoSpaceDN w:val="0"/>
        <w:adjustRightInd w:val="0"/>
        <w:spacing w:after="200" w:line="360" w:lineRule="auto"/>
        <w:jc w:val="both"/>
        <w:rPr>
          <w:rFonts w:hint="default" w:ascii="Times New Roman" w:hAnsi="Times New Roman" w:cs="Times New Roman"/>
          <w:b/>
          <w:bCs/>
          <w:kern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8"/>
          <w:lang w:val="en-US" w:eastAsia="zh-CN"/>
        </w:rPr>
        <w:drawing>
          <wp:inline distT="0" distB="0" distL="114300" distR="114300">
            <wp:extent cx="6480175" cy="3724910"/>
            <wp:effectExtent l="0" t="0" r="9525" b="8890"/>
            <wp:docPr id="2" name="图片 2" descr="Fig. 1-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1-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200" w:afterAutospacing="0" w:line="360" w:lineRule="auto"/>
        <w:ind w:left="0" w:right="0"/>
        <w:jc w:val="both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 w:val="0"/>
          <w:kern w:val="0"/>
          <w:sz w:val="24"/>
          <w:szCs w:val="24"/>
          <w:lang w:val="en-US" w:eastAsia="zh-CN" w:bidi="ar"/>
        </w:rPr>
        <w:t>Figure_ S2</w:t>
      </w:r>
      <w:r>
        <w:rPr>
          <w:rFonts w:hint="eastAsia" w:ascii="Times New Roman" w:hAnsi="Times New Roman" w:cs="Times New Roman"/>
          <w:b/>
          <w:bCs w:val="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Conditional deletion of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 xml:space="preserve"> Fth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in neurons of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Fth-</w:t>
      </w:r>
      <w:r>
        <w:rPr>
          <w:rFonts w:hint="default" w:ascii="Times New Roman" w:hAnsi="Times New Roman" w:eastAsia="宋体" w:cs="Times New Roman"/>
          <w:i w:val="0"/>
          <w:iCs w:val="0"/>
          <w:kern w:val="0"/>
          <w:sz w:val="24"/>
          <w:szCs w:val="24"/>
          <w:lang w:val="en-US" w:eastAsia="zh-CN" w:bidi="ar"/>
        </w:rPr>
        <w:t>KO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mice.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200" w:afterAutospacing="0" w:line="360" w:lineRule="auto"/>
        <w:ind w:left="0" w:right="0" w:firstLine="480" w:firstLineChars="200"/>
        <w:jc w:val="both"/>
        <w:textAlignment w:val="auto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(A and B) Schematic diagram depicting the strategy used to generate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 Cre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-inducible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transgenic mice (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Fth-</w:t>
      </w:r>
      <w:r>
        <w:rPr>
          <w:rFonts w:hint="default" w:ascii="Times New Roman" w:hAnsi="Times New Roman" w:eastAsia="宋体" w:cs="Times New Roman"/>
          <w:i w:val="0"/>
          <w:iCs w:val="0"/>
          <w:kern w:val="0"/>
          <w:sz w:val="24"/>
          <w:szCs w:val="24"/>
          <w:lang w:val="en-US" w:eastAsia="zh-CN" w:bidi="ar"/>
        </w:rPr>
        <w:t>KO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). C, Mice carrying the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Map2-Cre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alleles were genotyped by PCR. Routine genotyping of the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Map2-Cre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sets was used to amplify as indicated by the specific primers (Supplementary Table S1). D, Routine genotyping of the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Map2-Cre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(Left lanes): mouse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#1, 2, 3, 6, 10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(+/-), mouse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#4, 8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Map2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(-/-), mouse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#5,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7,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9,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. Routine genotyping of the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val="en-US" w:eastAsia="zh-CN" w:bidi="ar"/>
        </w:rPr>
        <w:t>flox/flox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(Right lanes): mouse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#1,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2,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4,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6,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8,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9,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11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: WT; mouse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#5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val="en-US" w:eastAsia="zh-CN" w:bidi="ar"/>
        </w:rPr>
        <w:t>flox/flox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; mouse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#3,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7,</w:t>
      </w:r>
      <w:r>
        <w:rPr>
          <w:rFonts w:hint="eastAsia" w:eastAsia="宋体" w:cs="Times New Roman"/>
          <w:kern w:val="0"/>
          <w:sz w:val="24"/>
          <w:szCs w:val="24"/>
          <w:vertAlign w:val="superscript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10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val="en-US" w:eastAsia="zh-CN" w:bidi="ar"/>
        </w:rPr>
        <w:t>flox/wt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. Together, mouse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vertAlign w:val="superscript"/>
          <w:lang w:val="en-US" w:eastAsia="zh-CN" w:bidi="ar"/>
        </w:rPr>
        <w:t>#5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 was target mice (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val="en-US" w:eastAsia="zh-CN" w:bidi="ar"/>
        </w:rPr>
        <w:t>flox/flox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; Map2-Cre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vertAlign w:val="superscript"/>
          <w:lang w:val="en-US" w:eastAsia="zh-CN" w:bidi="ar"/>
        </w:rPr>
        <w:t>+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 xml:space="preserve">) that were suitable for tamoxifen (TAM) treatment to generate 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>Fth-</w:t>
      </w:r>
      <w:r>
        <w:rPr>
          <w:rFonts w:hint="default" w:ascii="Times New Roman" w:hAnsi="Times New Roman" w:eastAsia="宋体" w:cs="Times New Roman"/>
          <w:i w:val="0"/>
          <w:iCs w:val="0"/>
          <w:kern w:val="0"/>
          <w:sz w:val="24"/>
          <w:szCs w:val="24"/>
          <w:lang w:val="en-US" w:eastAsia="zh-CN" w:bidi="ar"/>
        </w:rPr>
        <w:t>KO</w:t>
      </w:r>
      <w:r>
        <w:rPr>
          <w:rFonts w:hint="default" w:ascii="Times New Roman" w:hAnsi="Times New Roman" w:eastAsia="宋体" w:cs="Times New Roman"/>
          <w:i/>
          <w:i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 w:bidi="ar"/>
        </w:rPr>
        <w:t>mice.</w:t>
      </w:r>
    </w:p>
    <w:p>
      <w:pPr>
        <w:jc w:val="both"/>
      </w:pPr>
    </w:p>
    <w:sectPr>
      <w:type w:val="continuous"/>
      <w:pgSz w:w="11910" w:h="16840"/>
      <w:pgMar w:top="1340" w:right="1680" w:bottom="280" w:left="16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69DD73"/>
    <w:multiLevelType w:val="singleLevel"/>
    <w:tmpl w:val="2569DD7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6EE8778B"/>
    <w:multiLevelType w:val="singleLevel"/>
    <w:tmpl w:val="6EE8778B"/>
    <w:lvl w:ilvl="0" w:tentative="0">
      <w:start w:val="1"/>
      <w:numFmt w:val="upperLetter"/>
      <w:suff w:val="space"/>
      <w:lvlText w:val="(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ZTU5NDdlMTEwOGQ1ZWU2YTBkOWFkMWE4YmNhNDI4N2MifQ=="/>
  </w:docVars>
  <w:rsids>
    <w:rsidRoot w:val="00000000"/>
    <w:rsid w:val="00B32474"/>
    <w:rsid w:val="01205D5C"/>
    <w:rsid w:val="018A732A"/>
    <w:rsid w:val="02821B95"/>
    <w:rsid w:val="030F42DA"/>
    <w:rsid w:val="035C5045"/>
    <w:rsid w:val="03E13E35"/>
    <w:rsid w:val="05034CC3"/>
    <w:rsid w:val="06A967F3"/>
    <w:rsid w:val="07257653"/>
    <w:rsid w:val="07CF228A"/>
    <w:rsid w:val="085B233C"/>
    <w:rsid w:val="09CD0A4B"/>
    <w:rsid w:val="09D73678"/>
    <w:rsid w:val="0AAB0D8C"/>
    <w:rsid w:val="0C006EB6"/>
    <w:rsid w:val="0CC67258"/>
    <w:rsid w:val="0CCB6FF9"/>
    <w:rsid w:val="0D1F6564"/>
    <w:rsid w:val="0D921D8F"/>
    <w:rsid w:val="0E055DB2"/>
    <w:rsid w:val="0E26072A"/>
    <w:rsid w:val="0E58519E"/>
    <w:rsid w:val="0EA064CA"/>
    <w:rsid w:val="0F0526A1"/>
    <w:rsid w:val="103C4234"/>
    <w:rsid w:val="126161D4"/>
    <w:rsid w:val="12753A2E"/>
    <w:rsid w:val="13854144"/>
    <w:rsid w:val="14117786"/>
    <w:rsid w:val="15D77CB5"/>
    <w:rsid w:val="16117F11"/>
    <w:rsid w:val="16BE7E67"/>
    <w:rsid w:val="17B73DCD"/>
    <w:rsid w:val="17DD454F"/>
    <w:rsid w:val="19037FE5"/>
    <w:rsid w:val="1A4F2DB6"/>
    <w:rsid w:val="1A7C1713"/>
    <w:rsid w:val="1C2077DF"/>
    <w:rsid w:val="1CFA760C"/>
    <w:rsid w:val="1D002299"/>
    <w:rsid w:val="1D3268D9"/>
    <w:rsid w:val="1E440765"/>
    <w:rsid w:val="1E943D2D"/>
    <w:rsid w:val="1F36035F"/>
    <w:rsid w:val="1F784B5D"/>
    <w:rsid w:val="1F7A2001"/>
    <w:rsid w:val="1FB52684"/>
    <w:rsid w:val="20425C17"/>
    <w:rsid w:val="218C669E"/>
    <w:rsid w:val="21B55BF5"/>
    <w:rsid w:val="227C1974"/>
    <w:rsid w:val="22AD2D70"/>
    <w:rsid w:val="236D1ED6"/>
    <w:rsid w:val="23872E9F"/>
    <w:rsid w:val="25AE41C2"/>
    <w:rsid w:val="25D80104"/>
    <w:rsid w:val="26A60202"/>
    <w:rsid w:val="27814EF7"/>
    <w:rsid w:val="292B6942"/>
    <w:rsid w:val="2A4D7312"/>
    <w:rsid w:val="2A9F3747"/>
    <w:rsid w:val="2AEA06B9"/>
    <w:rsid w:val="2B1B11BE"/>
    <w:rsid w:val="2CA80B8E"/>
    <w:rsid w:val="2D173BB4"/>
    <w:rsid w:val="2E165C6D"/>
    <w:rsid w:val="2E3A0E4D"/>
    <w:rsid w:val="2E734E6D"/>
    <w:rsid w:val="2EFE6E2D"/>
    <w:rsid w:val="301510BB"/>
    <w:rsid w:val="3049057C"/>
    <w:rsid w:val="3091782D"/>
    <w:rsid w:val="30937A49"/>
    <w:rsid w:val="30C145B6"/>
    <w:rsid w:val="32164E0D"/>
    <w:rsid w:val="332B21BB"/>
    <w:rsid w:val="35374E47"/>
    <w:rsid w:val="355C48AD"/>
    <w:rsid w:val="36AB557A"/>
    <w:rsid w:val="36F55D23"/>
    <w:rsid w:val="37692E75"/>
    <w:rsid w:val="37783C57"/>
    <w:rsid w:val="38E4576D"/>
    <w:rsid w:val="3C4C1ED4"/>
    <w:rsid w:val="3D5F4D3B"/>
    <w:rsid w:val="3E4C4433"/>
    <w:rsid w:val="3EBE716F"/>
    <w:rsid w:val="3EC15781"/>
    <w:rsid w:val="3F955863"/>
    <w:rsid w:val="417F152F"/>
    <w:rsid w:val="41D949B5"/>
    <w:rsid w:val="42A81132"/>
    <w:rsid w:val="434E5B94"/>
    <w:rsid w:val="440D4162"/>
    <w:rsid w:val="45E00BE3"/>
    <w:rsid w:val="465348A0"/>
    <w:rsid w:val="46AC4F69"/>
    <w:rsid w:val="487637EB"/>
    <w:rsid w:val="48AE6D76"/>
    <w:rsid w:val="49BB5C49"/>
    <w:rsid w:val="4A6B26D7"/>
    <w:rsid w:val="4A6C513B"/>
    <w:rsid w:val="4A851D59"/>
    <w:rsid w:val="4B133808"/>
    <w:rsid w:val="4C912C37"/>
    <w:rsid w:val="4D6046FD"/>
    <w:rsid w:val="4DB90697"/>
    <w:rsid w:val="4E8D38D2"/>
    <w:rsid w:val="4EA022A1"/>
    <w:rsid w:val="4F5C39D0"/>
    <w:rsid w:val="4FC13833"/>
    <w:rsid w:val="51094D5E"/>
    <w:rsid w:val="51510BE7"/>
    <w:rsid w:val="519166CD"/>
    <w:rsid w:val="52EC506B"/>
    <w:rsid w:val="53BF4E06"/>
    <w:rsid w:val="545C4E6A"/>
    <w:rsid w:val="54D758A7"/>
    <w:rsid w:val="54DB32D2"/>
    <w:rsid w:val="553B5E36"/>
    <w:rsid w:val="55450A62"/>
    <w:rsid w:val="554A0B9A"/>
    <w:rsid w:val="557702C4"/>
    <w:rsid w:val="577E1392"/>
    <w:rsid w:val="57D169C9"/>
    <w:rsid w:val="58471813"/>
    <w:rsid w:val="589F0F0F"/>
    <w:rsid w:val="59633BAD"/>
    <w:rsid w:val="59BD150F"/>
    <w:rsid w:val="59C36963"/>
    <w:rsid w:val="5A696FA1"/>
    <w:rsid w:val="5AD64312"/>
    <w:rsid w:val="5D740137"/>
    <w:rsid w:val="613876CD"/>
    <w:rsid w:val="61534833"/>
    <w:rsid w:val="619F599E"/>
    <w:rsid w:val="629628FD"/>
    <w:rsid w:val="67140941"/>
    <w:rsid w:val="6828049B"/>
    <w:rsid w:val="695B21AB"/>
    <w:rsid w:val="69D76B83"/>
    <w:rsid w:val="6AED37F2"/>
    <w:rsid w:val="6B3929BF"/>
    <w:rsid w:val="6BFB1A23"/>
    <w:rsid w:val="6D4318D3"/>
    <w:rsid w:val="6D631F76"/>
    <w:rsid w:val="6DB9234E"/>
    <w:rsid w:val="6DBE0F5A"/>
    <w:rsid w:val="6DCF3167"/>
    <w:rsid w:val="6E050CD4"/>
    <w:rsid w:val="6EE90259"/>
    <w:rsid w:val="6FF70753"/>
    <w:rsid w:val="702D0A47"/>
    <w:rsid w:val="709D579F"/>
    <w:rsid w:val="721B2E1F"/>
    <w:rsid w:val="725325F1"/>
    <w:rsid w:val="7306103D"/>
    <w:rsid w:val="73707041"/>
    <w:rsid w:val="74247693"/>
    <w:rsid w:val="745273DE"/>
    <w:rsid w:val="74B02FDD"/>
    <w:rsid w:val="750E1184"/>
    <w:rsid w:val="79682D81"/>
    <w:rsid w:val="79C92DC3"/>
    <w:rsid w:val="7ACF29F8"/>
    <w:rsid w:val="7D515947"/>
    <w:rsid w:val="7DD81BC4"/>
    <w:rsid w:val="7F127358"/>
    <w:rsid w:val="7F8A5140"/>
    <w:rsid w:val="7FE64A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9"/>
      <w:ind w:left="2336" w:right="182" w:hanging="2142"/>
    </w:pPr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Title"/>
    <w:basedOn w:val="1"/>
    <w:qFormat/>
    <w:uiPriority w:val="1"/>
    <w:pPr>
      <w:spacing w:before="75"/>
      <w:ind w:left="2491" w:right="2488"/>
      <w:jc w:val="center"/>
    </w:pPr>
    <w:rPr>
      <w:rFonts w:ascii="Times New Roman" w:hAnsi="Times New Roman" w:eastAsia="Times New Roman" w:cs="Times New Roman"/>
      <w:b/>
      <w:bCs/>
      <w:i/>
      <w:iCs/>
      <w:lang w:val="en-US" w:eastAsia="en-US" w:bidi="ar-SA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en-US" w:eastAsia="en-US" w:bidi="ar-SA"/>
    </w:rPr>
  </w:style>
  <w:style w:type="paragraph" w:customStyle="1" w:styleId="9">
    <w:name w:val="Table Paragraph"/>
    <w:basedOn w:val="1"/>
    <w:qFormat/>
    <w:uiPriority w:val="1"/>
    <w:pPr>
      <w:spacing w:line="235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  <w:style w:type="character" w:customStyle="1" w:styleId="10">
    <w:name w:val="15"/>
    <w:basedOn w:val="5"/>
    <w:qFormat/>
    <w:uiPriority w:val="0"/>
    <w:rPr>
      <w:rFonts w:hint="default" w:ascii="Times New Roman" w:hAnsi="Times New Roman" w:cs="Times New Roman"/>
      <w:color w:val="0563C1"/>
      <w:u w:val="single"/>
    </w:rPr>
  </w:style>
  <w:style w:type="paragraph" w:customStyle="1" w:styleId="11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200" w:afterAutospacing="0" w:line="276" w:lineRule="auto"/>
      <w:ind w:left="0" w:right="0" w:firstLine="420" w:firstLineChars="200"/>
      <w:jc w:val="both"/>
    </w:pPr>
    <w:rPr>
      <w:rFonts w:hint="default" w:ascii="Arial" w:hAnsi="Arial" w:eastAsia="宋体" w:cs="Arial"/>
      <w:kern w:val="0"/>
      <w:sz w:val="24"/>
      <w:szCs w:val="24"/>
      <w:lang w:val="en-US" w:eastAsia="zh-CN" w:bidi="ar"/>
    </w:rPr>
  </w:style>
  <w:style w:type="table" w:customStyle="1" w:styleId="12">
    <w:name w:val="无格式表格 31"/>
    <w:basedOn w:val="4"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916</Words>
  <Characters>5413</Characters>
  <TotalTime>0</TotalTime>
  <ScaleCrop>false</ScaleCrop>
  <LinksUpToDate>false</LinksUpToDate>
  <CharactersWithSpaces>6102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2022-05-11T15:19:00Z</dcterms:created>
  <dc:creator>罗承良</dc:creator>
  <cp:lastModifiedBy>WYD</cp:lastModifiedBy>
  <dcterms:modified xsi:type="dcterms:W3CDTF">2022-11-06T20:56:58Z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2022-05-11T00:00:00Z</vt:filetime>
  </property>
  <property fmtid="{D5CDD505-2E9C-101B-9397-08002B2CF9AE}" pid="5" name="KSOProductBuildVer">
    <vt:lpwstr>2052-11.1.0.12598</vt:lpwstr>
  </property>
  <property fmtid="{D5CDD505-2E9C-101B-9397-08002B2CF9AE}" pid="6" name="ICV">
    <vt:lpwstr>19CD4CFC48984EA39316BCE4367BED88</vt:lpwstr>
  </property>
</Properties>
</file>