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B1CF9" w14:textId="64213A1F" w:rsidR="00E13E43" w:rsidRDefault="00E13E4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hAnsi="Times New Roman" w:cs="Times New Roman" w:hint="eastAsia"/>
          <w:b/>
          <w:bCs/>
          <w:color w:val="000000"/>
          <w:sz w:val="28"/>
          <w:szCs w:val="28"/>
        </w:rPr>
        <w:t>d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ditional file 1</w:t>
      </w:r>
    </w:p>
    <w:p w14:paraId="688B19D6" w14:textId="288FA7F5" w:rsidR="005A6426" w:rsidRDefault="00D42242">
      <w:r>
        <w:rPr>
          <w:rFonts w:ascii="Times New Roman" w:hAnsi="Times New Roman" w:cs="Times New Roman"/>
          <w:b/>
          <w:bCs/>
          <w:color w:val="000000" w:themeColor="text1"/>
        </w:rPr>
        <w:t>Figure S1. Experimental design and animal groups.</w:t>
      </w:r>
      <w:r w:rsidR="00000000">
        <w:rPr>
          <w:rFonts w:hint="eastAsia"/>
          <w:noProof/>
        </w:rPr>
        <w:drawing>
          <wp:inline distT="0" distB="0" distL="0" distR="0" wp14:anchorId="6491925D" wp14:editId="3FA8D593">
            <wp:extent cx="5274310" cy="40792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7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B2286" w14:textId="0BE9B369" w:rsidR="005A6426" w:rsidRDefault="00000000">
      <w:pPr>
        <w:autoSpaceDE w:val="0"/>
        <w:autoSpaceDN w:val="0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II/R, intestinal ischemia and reperfusion; FNDC5: fibronectin type III domain-containing 5; TXNIP, thioredoxin-interacting protein; NLRP3, nucleotide-binding oligomerization domain-like receptor protein; AAV, adeno-associated virus; H&amp;E, hematoxylin-eosin staining; WB, Western blotting; IF, immunofluorescence; </w:t>
      </w:r>
      <w:proofErr w:type="spellStart"/>
      <w:r>
        <w:rPr>
          <w:rFonts w:ascii="Times New Roman" w:hAnsi="Times New Roman" w:cs="Times New Roman"/>
          <w:color w:val="000000" w:themeColor="text1"/>
        </w:rPr>
        <w:t>qRT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-PCR, quantitative real-time polymerase chain reaction; TUNEL, terminal deoxynucleotidyl transferase </w:t>
      </w:r>
      <w:proofErr w:type="spellStart"/>
      <w:r>
        <w:rPr>
          <w:rFonts w:ascii="Times New Roman" w:hAnsi="Times New Roman" w:cs="Times New Roman"/>
          <w:color w:val="000000" w:themeColor="text1"/>
        </w:rPr>
        <w:t>dUTP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nick end-labeling; ELISA, enzyme-linked immunosorbent assay; MWM, Morris water maze; LPS, lipopolysaccharide; NO, nitric oxide; FCM, flow cytometry; </w:t>
      </w:r>
      <w:proofErr w:type="spellStart"/>
      <w:r>
        <w:rPr>
          <w:rFonts w:ascii="Times New Roman" w:hAnsi="Times New Roman" w:cs="Times New Roman"/>
          <w:color w:val="000000" w:themeColor="text1"/>
        </w:rPr>
        <w:t>i.c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intracerebral injection; h, hour; d, day. </w:t>
      </w:r>
    </w:p>
    <w:p w14:paraId="1F9487B5" w14:textId="2026E5F3" w:rsidR="00D42242" w:rsidRDefault="00D42242">
      <w:pPr>
        <w:autoSpaceDE w:val="0"/>
        <w:autoSpaceDN w:val="0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F5061CA" w14:textId="19C432F0" w:rsidR="00D42242" w:rsidRDefault="00D42242">
      <w:pPr>
        <w:autoSpaceDE w:val="0"/>
        <w:autoSpaceDN w:val="0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6E2EFA4" w14:textId="1B1020E0" w:rsidR="00D42242" w:rsidRDefault="00D42242">
      <w:pPr>
        <w:autoSpaceDE w:val="0"/>
        <w:autoSpaceDN w:val="0"/>
        <w:spacing w:line="480" w:lineRule="auto"/>
        <w:jc w:val="both"/>
        <w:rPr>
          <w:rFonts w:ascii="Times New Roman" w:hAnsi="Times New Roman" w:cs="Times New Roman" w:hint="eastAsia"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lastRenderedPageBreak/>
        <w:t>Figure S2. Identification of FNDC5/irisin</w:t>
      </w:r>
      <w:r>
        <w:rPr>
          <w:rFonts w:ascii="Times New Roman" w:hAnsi="Times New Roman"/>
          <w:b/>
          <w:bCs/>
          <w:color w:val="000000" w:themeColor="text1"/>
          <w:vertAlign w:val="superscript"/>
        </w:rPr>
        <w:t>-/-</w:t>
      </w:r>
      <w:r>
        <w:rPr>
          <w:rFonts w:ascii="Times New Roman" w:hAnsi="Times New Roman"/>
          <w:b/>
          <w:bCs/>
          <w:color w:val="000000" w:themeColor="text1"/>
        </w:rPr>
        <w:t xml:space="preserve"> mice, the roles of FNDC5/irisin on </w:t>
      </w:r>
      <w:r>
        <w:rPr>
          <w:rFonts w:ascii="Times New Roman" w:hAnsi="Times New Roman" w:hint="eastAsia"/>
          <w:b/>
          <w:bCs/>
          <w:color w:val="000000" w:themeColor="text1"/>
        </w:rPr>
        <w:t>inflam</w:t>
      </w:r>
      <w:r>
        <w:rPr>
          <w:rFonts w:ascii="Times New Roman" w:hAnsi="Times New Roman"/>
          <w:b/>
          <w:bCs/>
          <w:color w:val="000000" w:themeColor="text1"/>
        </w:rPr>
        <w:t>ma</w:t>
      </w:r>
      <w:r>
        <w:rPr>
          <w:rFonts w:ascii="Times New Roman" w:hAnsi="Times New Roman" w:hint="eastAsia"/>
          <w:b/>
          <w:bCs/>
          <w:color w:val="000000" w:themeColor="text1"/>
        </w:rPr>
        <w:t>tory</w:t>
      </w:r>
      <w:r>
        <w:rPr>
          <w:rFonts w:ascii="Times New Roman" w:hAnsi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hint="eastAsia"/>
          <w:b/>
          <w:bCs/>
          <w:color w:val="000000" w:themeColor="text1"/>
        </w:rPr>
        <w:t>cytokines</w:t>
      </w:r>
      <w:r>
        <w:rPr>
          <w:rFonts w:ascii="Times New Roman" w:hAnsi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hint="eastAsia"/>
          <w:b/>
          <w:bCs/>
          <w:color w:val="000000" w:themeColor="text1"/>
        </w:rPr>
        <w:t>in</w:t>
      </w:r>
      <w:r>
        <w:rPr>
          <w:rFonts w:ascii="Times New Roman" w:hAnsi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hint="eastAsia"/>
          <w:b/>
          <w:bCs/>
          <w:color w:val="000000" w:themeColor="text1"/>
        </w:rPr>
        <w:t>serum</w:t>
      </w:r>
      <w:r>
        <w:rPr>
          <w:rFonts w:ascii="Times New Roman" w:hAnsi="Times New Roman"/>
          <w:b/>
          <w:bCs/>
          <w:color w:val="000000" w:themeColor="text1"/>
        </w:rPr>
        <w:t>, and the effects of TXNIP overexpression in vivo and in vitro.</w:t>
      </w:r>
    </w:p>
    <w:p w14:paraId="18184B38" w14:textId="77777777" w:rsidR="005A6426" w:rsidRDefault="00000000">
      <w:pPr>
        <w:autoSpaceDE w:val="0"/>
        <w:autoSpaceDN w:val="0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4B162F6F" wp14:editId="2D2696A8">
            <wp:extent cx="5274310" cy="3245485"/>
            <wp:effectExtent l="0" t="0" r="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A6354" w14:textId="54C9F0FD" w:rsidR="005A6426" w:rsidRDefault="00000000">
      <w:pPr>
        <w:spacing w:line="480" w:lineRule="auto"/>
        <w:jc w:val="both"/>
      </w:pPr>
      <w:r>
        <w:rPr>
          <w:rFonts w:ascii="Times New Roman" w:hAnsi="Times New Roman"/>
          <w:color w:val="000000" w:themeColor="text1"/>
        </w:rPr>
        <w:t>(A) Targeting strategy of FNDC5/irisin</w:t>
      </w:r>
      <w:r>
        <w:rPr>
          <w:rFonts w:ascii="Times New Roman" w:hAnsi="Times New Roman"/>
          <w:color w:val="000000" w:themeColor="text1"/>
          <w:vertAlign w:val="superscript"/>
        </w:rPr>
        <w:t>-/-</w:t>
      </w:r>
      <w:r>
        <w:rPr>
          <w:rFonts w:ascii="Times New Roman" w:hAnsi="Times New Roman"/>
          <w:color w:val="000000" w:themeColor="text1"/>
        </w:rPr>
        <w:t xml:space="preserve"> mice. (B) Genotyping of offspring was performed by PCR of tail-snip DNA to identify the FNDC5/irisin</w:t>
      </w:r>
      <w:r>
        <w:rPr>
          <w:rFonts w:ascii="Times New Roman" w:hAnsi="Times New Roman"/>
          <w:color w:val="000000" w:themeColor="text1"/>
          <w:vertAlign w:val="superscript"/>
        </w:rPr>
        <w:t>-/-</w:t>
      </w:r>
      <w:r>
        <w:rPr>
          <w:rFonts w:ascii="Times New Roman" w:hAnsi="Times New Roman"/>
          <w:color w:val="000000" w:themeColor="text1"/>
        </w:rPr>
        <w:t xml:space="preserve"> mice. (C–E) Representative western blot bands and quantitative analysis of FNDC5/irisin protein levels of the FNDC5/irisin</w:t>
      </w:r>
      <w:r>
        <w:rPr>
          <w:rFonts w:ascii="Times New Roman" w:hAnsi="Times New Roman"/>
          <w:color w:val="000000" w:themeColor="text1"/>
          <w:vertAlign w:val="superscript"/>
        </w:rPr>
        <w:t>-/-</w:t>
      </w:r>
      <w:r>
        <w:rPr>
          <w:rFonts w:ascii="Times New Roman" w:hAnsi="Times New Roman"/>
          <w:color w:val="000000" w:themeColor="text1"/>
        </w:rPr>
        <w:t xml:space="preserve"> mice. n = 6 per group. (F–H) Changes in IL-1β, TNF-α, and IL-6 levels in the serum. n = 8 per group. (I-J) Changes in IL-1β, TNF-α, and IL-6 levels in the serum. n = 8 per group. (L) Representative microphotographs of the AAV-EGFP expression in the hippocampal CA1 area 4 weeks after stereotaxic injection. (Magnification: ×200, scale bars = 50 </w:t>
      </w:r>
      <w:proofErr w:type="spellStart"/>
      <w:r>
        <w:rPr>
          <w:rFonts w:ascii="Times New Roman" w:hAnsi="Times New Roman"/>
          <w:color w:val="000000" w:themeColor="text1"/>
        </w:rPr>
        <w:t>μm</w:t>
      </w:r>
      <w:proofErr w:type="spellEnd"/>
      <w:r>
        <w:rPr>
          <w:rFonts w:ascii="Times New Roman" w:hAnsi="Times New Roman"/>
          <w:color w:val="000000" w:themeColor="text1"/>
        </w:rPr>
        <w:t xml:space="preserve">). (M) Real-time PCR results show the efficiency of TXNIP-overexpression by AAV in the hippocampus. n = 6 per group. (N) Representative microphotographs of the Lentivirus-EGFP expression in BV2 cells. (Magnification: ×100, scale bars = 100 </w:t>
      </w:r>
      <w:proofErr w:type="spellStart"/>
      <w:r>
        <w:rPr>
          <w:rFonts w:ascii="Times New Roman" w:hAnsi="Times New Roman"/>
          <w:color w:val="000000" w:themeColor="text1"/>
        </w:rPr>
        <w:t>μm</w:t>
      </w:r>
      <w:proofErr w:type="spellEnd"/>
      <w:r>
        <w:rPr>
          <w:rFonts w:ascii="Times New Roman" w:hAnsi="Times New Roman"/>
          <w:color w:val="000000" w:themeColor="text1"/>
        </w:rPr>
        <w:t xml:space="preserve">). (O) Real-time PCR results show the </w:t>
      </w:r>
      <w:r>
        <w:rPr>
          <w:rFonts w:ascii="Times New Roman" w:hAnsi="Times New Roman"/>
          <w:color w:val="000000" w:themeColor="text1"/>
        </w:rPr>
        <w:lastRenderedPageBreak/>
        <w:t>efficiency of TXNIP-overexpression by lentivirus in BV2 cells. n = 3 per group. Data are represented as mean ± SD. (*), (#), or (&amp;) indicate statistically significant differences (**</w:t>
      </w:r>
      <w:r>
        <w:rPr>
          <w:rFonts w:ascii="Times New Roman" w:hAnsi="Times New Roman"/>
          <w:i/>
          <w:iCs/>
          <w:color w:val="000000" w:themeColor="text1"/>
        </w:rPr>
        <w:t xml:space="preserve">P </w:t>
      </w:r>
      <w:r>
        <w:rPr>
          <w:rFonts w:ascii="Times New Roman" w:hAnsi="Times New Roman"/>
          <w:color w:val="000000" w:themeColor="text1"/>
        </w:rPr>
        <w:t xml:space="preserve">&lt; 0.01, </w:t>
      </w:r>
      <w:r>
        <w:rPr>
          <w:rFonts w:ascii="Times New Roman" w:hAnsi="Times New Roman"/>
          <w:color w:val="000000" w:themeColor="text1"/>
          <w:vertAlign w:val="superscript"/>
        </w:rPr>
        <w:t>##</w:t>
      </w:r>
      <w:r>
        <w:rPr>
          <w:rFonts w:ascii="Times New Roman" w:hAnsi="Times New Roman"/>
          <w:i/>
          <w:iCs/>
          <w:color w:val="000000" w:themeColor="text1"/>
        </w:rPr>
        <w:t>P</w:t>
      </w:r>
      <w:r>
        <w:rPr>
          <w:rFonts w:ascii="Times New Roman" w:hAnsi="Times New Roman"/>
          <w:color w:val="000000" w:themeColor="text1"/>
        </w:rPr>
        <w:t xml:space="preserve"> &lt; 0.01, and </w:t>
      </w:r>
      <w:r>
        <w:rPr>
          <w:rFonts w:ascii="Times New Roman" w:hAnsi="Times New Roman"/>
          <w:color w:val="000000" w:themeColor="text1"/>
          <w:vertAlign w:val="superscript"/>
        </w:rPr>
        <w:t>&amp;&amp;</w:t>
      </w:r>
      <w:r>
        <w:rPr>
          <w:rFonts w:ascii="Times New Roman" w:hAnsi="Times New Roman"/>
          <w:i/>
          <w:iCs/>
          <w:color w:val="000000" w:themeColor="text1"/>
        </w:rPr>
        <w:t xml:space="preserve">P </w:t>
      </w:r>
      <w:r>
        <w:rPr>
          <w:rFonts w:ascii="Times New Roman" w:hAnsi="Times New Roman"/>
          <w:color w:val="000000" w:themeColor="text1"/>
        </w:rPr>
        <w:t>&lt; 0.01).</w:t>
      </w:r>
    </w:p>
    <w:sectPr w:rsidR="005A64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85C"/>
    <w:rsid w:val="000042FA"/>
    <w:rsid w:val="000114FD"/>
    <w:rsid w:val="0002685C"/>
    <w:rsid w:val="00041983"/>
    <w:rsid w:val="0006418D"/>
    <w:rsid w:val="000758F2"/>
    <w:rsid w:val="00076929"/>
    <w:rsid w:val="000D603E"/>
    <w:rsid w:val="00151A66"/>
    <w:rsid w:val="001A2ED4"/>
    <w:rsid w:val="0022223F"/>
    <w:rsid w:val="002716B2"/>
    <w:rsid w:val="002A4A79"/>
    <w:rsid w:val="002A6655"/>
    <w:rsid w:val="00342DF0"/>
    <w:rsid w:val="00351663"/>
    <w:rsid w:val="00366760"/>
    <w:rsid w:val="003811DD"/>
    <w:rsid w:val="003A4DF1"/>
    <w:rsid w:val="003B1E72"/>
    <w:rsid w:val="003E7279"/>
    <w:rsid w:val="00405BD5"/>
    <w:rsid w:val="0044000D"/>
    <w:rsid w:val="00451457"/>
    <w:rsid w:val="004C137B"/>
    <w:rsid w:val="004D1DB2"/>
    <w:rsid w:val="004E1D24"/>
    <w:rsid w:val="00500350"/>
    <w:rsid w:val="00533FFB"/>
    <w:rsid w:val="00551F67"/>
    <w:rsid w:val="005A6426"/>
    <w:rsid w:val="005E4D11"/>
    <w:rsid w:val="00622B66"/>
    <w:rsid w:val="00624797"/>
    <w:rsid w:val="006371AE"/>
    <w:rsid w:val="00657D8D"/>
    <w:rsid w:val="006D5D42"/>
    <w:rsid w:val="006E4376"/>
    <w:rsid w:val="006E59E4"/>
    <w:rsid w:val="007058B2"/>
    <w:rsid w:val="00706657"/>
    <w:rsid w:val="00782C20"/>
    <w:rsid w:val="0082541E"/>
    <w:rsid w:val="00845087"/>
    <w:rsid w:val="008B0B5E"/>
    <w:rsid w:val="008D17A2"/>
    <w:rsid w:val="008F24B8"/>
    <w:rsid w:val="00A51A23"/>
    <w:rsid w:val="00A5463E"/>
    <w:rsid w:val="00AB3C28"/>
    <w:rsid w:val="00AE459C"/>
    <w:rsid w:val="00AF4CEF"/>
    <w:rsid w:val="00AF69AC"/>
    <w:rsid w:val="00B62BD1"/>
    <w:rsid w:val="00C0781E"/>
    <w:rsid w:val="00C30FC7"/>
    <w:rsid w:val="00C60C82"/>
    <w:rsid w:val="00C977CF"/>
    <w:rsid w:val="00CD5C2A"/>
    <w:rsid w:val="00D03AE7"/>
    <w:rsid w:val="00D2267B"/>
    <w:rsid w:val="00D42242"/>
    <w:rsid w:val="00D43306"/>
    <w:rsid w:val="00D55576"/>
    <w:rsid w:val="00D91A9B"/>
    <w:rsid w:val="00D94583"/>
    <w:rsid w:val="00D96DDE"/>
    <w:rsid w:val="00DB1785"/>
    <w:rsid w:val="00E13E43"/>
    <w:rsid w:val="00E30417"/>
    <w:rsid w:val="00E3781A"/>
    <w:rsid w:val="00EB6358"/>
    <w:rsid w:val="00EC6B12"/>
    <w:rsid w:val="00ED2CEA"/>
    <w:rsid w:val="00FE530B"/>
    <w:rsid w:val="3FFF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A453EA"/>
  <w15:docId w15:val="{B8C59AFD-FFD5-794A-BD94-4C64F565D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 yafang</dc:creator>
  <cp:lastModifiedBy>tan yafang</cp:lastModifiedBy>
  <cp:revision>5</cp:revision>
  <dcterms:created xsi:type="dcterms:W3CDTF">2022-11-29T21:05:00Z</dcterms:created>
  <dcterms:modified xsi:type="dcterms:W3CDTF">2022-12-19T11:31:00Z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2052-3.7.0.5929</vt:lpwstr>
  </property>
</Properties>
</file>