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9ECAE" w14:textId="77777777" w:rsidR="00FB3CB4" w:rsidRPr="00042940" w:rsidRDefault="00FB3CB4" w:rsidP="00FB3CB4">
      <w:pPr>
        <w:jc w:val="left"/>
        <w:rPr>
          <w:rFonts w:ascii="Arial" w:hAnsi="Arial" w:cs="Arial"/>
          <w:sz w:val="22"/>
        </w:rPr>
      </w:pPr>
      <w:r w:rsidRPr="007F08A9">
        <w:rPr>
          <w:rFonts w:ascii="Arial" w:hAnsi="Arial" w:cs="Arial"/>
          <w:b/>
          <w:bCs/>
          <w:sz w:val="22"/>
        </w:rPr>
        <w:t xml:space="preserve">Supplementary files </w:t>
      </w:r>
      <w:r w:rsidRPr="00042940">
        <w:rPr>
          <w:rFonts w:ascii="Arial" w:hAnsi="Arial" w:cs="Arial"/>
          <w:noProof/>
          <w:sz w:val="22"/>
        </w:rPr>
        <w:drawing>
          <wp:inline distT="0" distB="0" distL="0" distR="0" wp14:anchorId="1A70188B" wp14:editId="596A533A">
            <wp:extent cx="5274310" cy="52832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9156"/>
                    <a:stretch/>
                  </pic:blipFill>
                  <pic:spPr bwMode="auto">
                    <a:xfrm>
                      <a:off x="0" y="0"/>
                      <a:ext cx="5274310" cy="5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9D28F" w14:textId="3E493374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1. Effects of antibiotic treatment and cohousing approach on gut microbiota composition and immune response. </w:t>
      </w:r>
    </w:p>
    <w:p w14:paraId="12BFA1D3" w14:textId="77777777" w:rsidR="00FB3CB4" w:rsidRPr="00042940" w:rsidRDefault="00FB3CB4" w:rsidP="00FB3CB4">
      <w:pPr>
        <w:ind w:rightChars="100" w:right="210"/>
        <w:rPr>
          <w:rFonts w:ascii="Arial" w:hAnsi="Arial" w:cs="Arial"/>
          <w:sz w:val="22"/>
        </w:rPr>
      </w:pPr>
      <w:r w:rsidRPr="00042940">
        <w:rPr>
          <w:rFonts w:ascii="Arial" w:hAnsi="Arial" w:cs="Arial"/>
          <w:b/>
          <w:bCs/>
          <w:kern w:val="0"/>
          <w:sz w:val="22"/>
        </w:rPr>
        <w:t>A</w:t>
      </w:r>
      <w:r w:rsidRPr="00042940">
        <w:rPr>
          <w:rFonts w:ascii="Arial" w:hAnsi="Arial" w:cs="Arial"/>
          <w:kern w:val="0"/>
          <w:sz w:val="22"/>
        </w:rPr>
        <w:t xml:space="preserve">. The percentages of gut microbiota abundance at the phylum level of fecal microbiota from different groups. </w:t>
      </w:r>
      <w:r w:rsidRPr="00042940">
        <w:rPr>
          <w:rFonts w:ascii="Arial" w:hAnsi="Arial" w:cs="Arial"/>
          <w:b/>
          <w:bCs/>
          <w:kern w:val="0"/>
          <w:sz w:val="22"/>
        </w:rPr>
        <w:t>B</w:t>
      </w:r>
      <w:r w:rsidRPr="00042940">
        <w:rPr>
          <w:rFonts w:ascii="Arial" w:hAnsi="Arial" w:cs="Arial"/>
          <w:kern w:val="0"/>
          <w:sz w:val="22"/>
        </w:rPr>
        <w:t xml:space="preserve">. The percentages of gut microbiota abundance at the genus level of fecal microbiota from different groups. </w:t>
      </w:r>
      <w:r w:rsidRPr="00042940">
        <w:rPr>
          <w:rFonts w:ascii="Arial" w:hAnsi="Arial" w:cs="Arial"/>
          <w:b/>
          <w:bCs/>
          <w:kern w:val="0"/>
          <w:sz w:val="22"/>
        </w:rPr>
        <w:t>C</w:t>
      </w:r>
      <w:r w:rsidRPr="00042940">
        <w:rPr>
          <w:rFonts w:ascii="Arial" w:hAnsi="Arial" w:cs="Arial"/>
          <w:kern w:val="0"/>
          <w:sz w:val="22"/>
        </w:rPr>
        <w:t xml:space="preserve">.The count of white blood cells. </w:t>
      </w:r>
      <w:r w:rsidRPr="00042940">
        <w:rPr>
          <w:rFonts w:ascii="Arial" w:hAnsi="Arial" w:cs="Arial"/>
          <w:b/>
          <w:bCs/>
          <w:kern w:val="0"/>
          <w:sz w:val="22"/>
        </w:rPr>
        <w:t>D</w:t>
      </w:r>
      <w:r w:rsidRPr="00042940">
        <w:rPr>
          <w:rFonts w:ascii="Arial" w:hAnsi="Arial" w:cs="Arial"/>
          <w:kern w:val="0"/>
          <w:sz w:val="22"/>
        </w:rPr>
        <w:t xml:space="preserve">. The count of monocytes. </w:t>
      </w:r>
      <w:r w:rsidRPr="00042940">
        <w:rPr>
          <w:rFonts w:ascii="Arial" w:hAnsi="Arial" w:cs="Arial"/>
          <w:b/>
          <w:bCs/>
          <w:kern w:val="0"/>
          <w:sz w:val="22"/>
        </w:rPr>
        <w:t>E</w:t>
      </w:r>
      <w:r w:rsidRPr="00042940">
        <w:rPr>
          <w:rFonts w:ascii="Arial" w:hAnsi="Arial" w:cs="Arial"/>
          <w:kern w:val="0"/>
          <w:sz w:val="22"/>
        </w:rPr>
        <w:t xml:space="preserve">. The count of granulocytes. </w:t>
      </w:r>
      <w:r w:rsidRPr="00042940">
        <w:rPr>
          <w:rFonts w:ascii="Arial" w:hAnsi="Arial" w:cs="Arial"/>
          <w:b/>
          <w:bCs/>
          <w:kern w:val="0"/>
          <w:sz w:val="22"/>
        </w:rPr>
        <w:t>F</w:t>
      </w:r>
      <w:r w:rsidRPr="00042940">
        <w:rPr>
          <w:rFonts w:ascii="Arial" w:hAnsi="Arial" w:cs="Arial"/>
          <w:kern w:val="0"/>
          <w:sz w:val="22"/>
        </w:rPr>
        <w:t xml:space="preserve">. The count of lymphocytes. </w:t>
      </w:r>
      <w:r w:rsidRPr="00042940">
        <w:rPr>
          <w:rFonts w:ascii="Arial" w:hAnsi="Arial" w:cs="Arial"/>
          <w:b/>
          <w:bCs/>
          <w:kern w:val="0"/>
          <w:sz w:val="22"/>
        </w:rPr>
        <w:t>G</w:t>
      </w:r>
      <w:r w:rsidRPr="00042940">
        <w:rPr>
          <w:rFonts w:ascii="Arial" w:hAnsi="Arial" w:cs="Arial"/>
          <w:kern w:val="0"/>
          <w:sz w:val="22"/>
        </w:rPr>
        <w:t xml:space="preserve">. The percentage of monocytes. </w:t>
      </w:r>
      <w:r w:rsidRPr="00042940">
        <w:rPr>
          <w:rFonts w:ascii="Arial" w:hAnsi="Arial" w:cs="Arial"/>
          <w:b/>
          <w:bCs/>
          <w:kern w:val="0"/>
          <w:sz w:val="22"/>
        </w:rPr>
        <w:t>H</w:t>
      </w:r>
      <w:r w:rsidRPr="00042940">
        <w:rPr>
          <w:rFonts w:ascii="Arial" w:hAnsi="Arial" w:cs="Arial"/>
          <w:kern w:val="0"/>
          <w:sz w:val="22"/>
        </w:rPr>
        <w:t xml:space="preserve">. The percentage of granulocytes. </w:t>
      </w:r>
      <w:r w:rsidRPr="00042940">
        <w:rPr>
          <w:rFonts w:ascii="Arial" w:hAnsi="Arial" w:cs="Arial"/>
          <w:b/>
          <w:bCs/>
          <w:kern w:val="0"/>
          <w:sz w:val="22"/>
        </w:rPr>
        <w:t>I</w:t>
      </w:r>
      <w:r w:rsidRPr="00042940">
        <w:rPr>
          <w:rFonts w:ascii="Arial" w:hAnsi="Arial" w:cs="Arial"/>
          <w:kern w:val="0"/>
          <w:sz w:val="22"/>
        </w:rPr>
        <w:t xml:space="preserve">. The percentage of lymphocytes. </w:t>
      </w:r>
      <w:r w:rsidRPr="00042940">
        <w:rPr>
          <w:rFonts w:ascii="Arial" w:hAnsi="Arial" w:cs="Arial"/>
          <w:sz w:val="22"/>
        </w:rPr>
        <w:t>Data are expressed as mean ± SEM, analyzed by two-tailed Student’s t-test or one-way ANOVA with Tukey’s post-hoc test using Prism 8.0. *</w:t>
      </w:r>
      <w:r w:rsidRPr="00042940">
        <w:rPr>
          <w:rFonts w:ascii="Arial" w:hAnsi="Arial" w:cs="Arial"/>
          <w:i/>
          <w:iCs/>
          <w:sz w:val="22"/>
        </w:rPr>
        <w:t>P</w:t>
      </w:r>
      <w:r w:rsidRPr="00042940">
        <w:rPr>
          <w:rFonts w:ascii="Arial" w:hAnsi="Arial" w:cs="Arial"/>
          <w:sz w:val="22"/>
        </w:rPr>
        <w:t xml:space="preserve"> &lt; 0.05, **</w:t>
      </w:r>
      <w:r w:rsidRPr="00042940">
        <w:rPr>
          <w:rFonts w:ascii="Arial" w:hAnsi="Arial" w:cs="Arial"/>
          <w:i/>
          <w:iCs/>
          <w:sz w:val="22"/>
        </w:rPr>
        <w:t>P</w:t>
      </w:r>
      <w:r w:rsidRPr="00042940">
        <w:rPr>
          <w:rFonts w:ascii="Arial" w:hAnsi="Arial" w:cs="Arial"/>
          <w:sz w:val="22"/>
        </w:rPr>
        <w:t xml:space="preserve"> &lt; 0.01 and ***</w:t>
      </w:r>
      <w:r w:rsidRPr="00042940">
        <w:rPr>
          <w:rFonts w:ascii="Arial" w:hAnsi="Arial" w:cs="Arial"/>
          <w:i/>
          <w:iCs/>
          <w:sz w:val="22"/>
        </w:rPr>
        <w:t>P</w:t>
      </w:r>
      <w:r w:rsidRPr="00042940">
        <w:rPr>
          <w:rFonts w:ascii="Arial" w:hAnsi="Arial" w:cs="Arial"/>
          <w:sz w:val="22"/>
        </w:rPr>
        <w:t xml:space="preserve"> &lt; 0.001.</w:t>
      </w:r>
    </w:p>
    <w:p w14:paraId="5CAFE861" w14:textId="77777777" w:rsidR="00FB3CB4" w:rsidRPr="00042940" w:rsidRDefault="00FB3CB4" w:rsidP="00FB3CB4">
      <w:pPr>
        <w:rPr>
          <w:rFonts w:ascii="Arial" w:hAnsi="Arial" w:cs="Arial"/>
          <w:kern w:val="0"/>
          <w:sz w:val="22"/>
        </w:rPr>
      </w:pPr>
    </w:p>
    <w:p w14:paraId="6372AB13" w14:textId="77777777" w:rsidR="00FB3CB4" w:rsidRPr="00042940" w:rsidRDefault="00FB3CB4" w:rsidP="00FB3CB4">
      <w:pPr>
        <w:rPr>
          <w:rFonts w:ascii="Arial" w:hAnsi="Arial" w:cs="Arial"/>
          <w:kern w:val="0"/>
          <w:sz w:val="22"/>
        </w:rPr>
      </w:pPr>
    </w:p>
    <w:p w14:paraId="4119EFF0" w14:textId="77777777" w:rsidR="00FB3CB4" w:rsidRPr="00042940" w:rsidRDefault="00FB3CB4" w:rsidP="00FB3CB4">
      <w:pPr>
        <w:rPr>
          <w:rFonts w:ascii="Arial" w:hAnsi="Arial" w:cs="Arial"/>
          <w:kern w:val="0"/>
          <w:sz w:val="22"/>
        </w:rPr>
      </w:pPr>
    </w:p>
    <w:p w14:paraId="1B16A394" w14:textId="77777777" w:rsidR="00FB3CB4" w:rsidRPr="00042940" w:rsidRDefault="00FB3CB4" w:rsidP="00FB3CB4">
      <w:pPr>
        <w:rPr>
          <w:rFonts w:ascii="Arial" w:hAnsi="Arial" w:cs="Arial"/>
          <w:kern w:val="0"/>
          <w:sz w:val="22"/>
        </w:rPr>
      </w:pPr>
    </w:p>
    <w:p w14:paraId="4E8E32FD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40470607" w14:textId="77777777" w:rsidR="00FB3CB4" w:rsidRPr="00042940" w:rsidRDefault="00FB3CB4" w:rsidP="00FB3CB4">
      <w:pPr>
        <w:rPr>
          <w:rFonts w:ascii="Arial" w:hAnsi="Arial" w:cs="Arial"/>
          <w:kern w:val="0"/>
          <w:sz w:val="22"/>
        </w:rPr>
      </w:pPr>
      <w:r w:rsidRPr="00042940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5F07CF64" wp14:editId="49AC2677">
            <wp:extent cx="5274310" cy="300355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17" b="30007"/>
                    <a:stretch/>
                  </pic:blipFill>
                  <pic:spPr bwMode="auto">
                    <a:xfrm>
                      <a:off x="0" y="0"/>
                      <a:ext cx="527431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F0684" w14:textId="51A9134F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2. </w:t>
      </w:r>
      <w:r w:rsidR="00296B33" w:rsidRPr="00802E04">
        <w:rPr>
          <w:rFonts w:ascii="Arial" w:hAnsi="Arial" w:cs="Arial"/>
          <w:b/>
          <w:bCs/>
          <w:sz w:val="22"/>
        </w:rPr>
        <w:t>Effects of alteration of gut microbiota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by antibiotics and </w:t>
      </w:r>
      <w:r w:rsidR="00296B33" w:rsidRPr="00042940">
        <w:rPr>
          <w:rFonts w:ascii="Arial" w:hAnsi="Arial" w:cs="Arial"/>
          <w:b/>
          <w:bCs/>
          <w:sz w:val="22"/>
          <w:szCs w:val="22"/>
        </w:rPr>
        <w:t>cohousing approach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on apolipoprotein profile.</w:t>
      </w:r>
      <w:r w:rsidRPr="00042940">
        <w:rPr>
          <w:rFonts w:ascii="Arial" w:hAnsi="Arial" w:cs="Arial"/>
          <w:sz w:val="22"/>
          <w:szCs w:val="22"/>
        </w:rPr>
        <w:t xml:space="preserve"> </w:t>
      </w:r>
      <w:r w:rsidRPr="00042940">
        <w:rPr>
          <w:rFonts w:ascii="Arial" w:hAnsi="Arial" w:cs="Arial"/>
          <w:b/>
          <w:bCs/>
          <w:sz w:val="22"/>
          <w:szCs w:val="22"/>
        </w:rPr>
        <w:t>A</w:t>
      </w:r>
      <w:r w:rsidRPr="00042940">
        <w:rPr>
          <w:rFonts w:ascii="Arial" w:hAnsi="Arial" w:cs="Arial"/>
          <w:sz w:val="22"/>
          <w:szCs w:val="22"/>
        </w:rPr>
        <w:t>-</w:t>
      </w:r>
      <w:r w:rsidRPr="00042940">
        <w:rPr>
          <w:rFonts w:ascii="Arial" w:hAnsi="Arial" w:cs="Arial"/>
          <w:b/>
          <w:bCs/>
          <w:sz w:val="22"/>
          <w:szCs w:val="22"/>
        </w:rPr>
        <w:t>B</w:t>
      </w:r>
      <w:r w:rsidRPr="00042940">
        <w:rPr>
          <w:rFonts w:ascii="Arial" w:hAnsi="Arial" w:cs="Arial"/>
          <w:sz w:val="22"/>
          <w:szCs w:val="22"/>
        </w:rPr>
        <w:t>. The distribution of cholesterol (</w:t>
      </w:r>
      <w:r w:rsidRPr="00042940">
        <w:rPr>
          <w:rFonts w:ascii="Arial" w:hAnsi="Arial" w:cs="Arial"/>
          <w:b/>
          <w:bCs/>
          <w:sz w:val="22"/>
          <w:szCs w:val="22"/>
        </w:rPr>
        <w:t>A</w:t>
      </w:r>
      <w:r w:rsidRPr="00042940">
        <w:rPr>
          <w:rFonts w:ascii="Arial" w:hAnsi="Arial" w:cs="Arial"/>
          <w:sz w:val="22"/>
          <w:szCs w:val="22"/>
        </w:rPr>
        <w:t>) and triglycerides (</w:t>
      </w:r>
      <w:r w:rsidRPr="00042940">
        <w:rPr>
          <w:rFonts w:ascii="Arial" w:hAnsi="Arial" w:cs="Arial"/>
          <w:b/>
          <w:bCs/>
          <w:sz w:val="22"/>
          <w:szCs w:val="22"/>
        </w:rPr>
        <w:t>B</w:t>
      </w:r>
      <w:r w:rsidRPr="00042940">
        <w:rPr>
          <w:rFonts w:ascii="Arial" w:hAnsi="Arial" w:cs="Arial"/>
          <w:sz w:val="22"/>
          <w:szCs w:val="22"/>
        </w:rPr>
        <w:t xml:space="preserve">) in pooled plasma samples from the indicated groups after 12-week HCHF diet feeding (n = 6/group). </w:t>
      </w:r>
      <w:r w:rsidRPr="00042940">
        <w:rPr>
          <w:rFonts w:ascii="Arial" w:hAnsi="Arial" w:cs="Arial"/>
          <w:b/>
          <w:bCs/>
          <w:sz w:val="22"/>
          <w:szCs w:val="22"/>
        </w:rPr>
        <w:t>C</w:t>
      </w:r>
      <w:r w:rsidRPr="00042940">
        <w:rPr>
          <w:rFonts w:ascii="Arial" w:hAnsi="Arial" w:cs="Arial"/>
          <w:sz w:val="22"/>
          <w:szCs w:val="22"/>
        </w:rPr>
        <w:t>. Representative Western blots of ApoB, ApoE, and ApoA1 in eluted fractions from the indicated groups. n = 6/group.</w:t>
      </w:r>
    </w:p>
    <w:p w14:paraId="5E69FD32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23236220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1F781BE0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5DD22755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623BC23E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2997A09D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38F96394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526DF59D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5F74617F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0ECD40B2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7337B44B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3B0C93F6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6C9521CD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303EA2B8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6DF54063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74B4041B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390E809C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7C68C3CC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5A2C7539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7699FF52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0CE4D10C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41346E55" w14:textId="77777777" w:rsidR="00FB3CB4" w:rsidRPr="00042940" w:rsidRDefault="00FB3CB4" w:rsidP="00FB3CB4">
      <w:pPr>
        <w:rPr>
          <w:rFonts w:ascii="Arial" w:hAnsi="Arial" w:cs="Arial"/>
          <w:kern w:val="0"/>
          <w:sz w:val="22"/>
        </w:rPr>
      </w:pPr>
    </w:p>
    <w:p w14:paraId="13799CD5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  <w:r w:rsidRPr="00042940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6C4C75B9" wp14:editId="4C4D39E2">
            <wp:extent cx="5274310" cy="15430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09"/>
                    <a:stretch/>
                  </pic:blipFill>
                  <pic:spPr bwMode="auto">
                    <a:xfrm>
                      <a:off x="0" y="0"/>
                      <a:ext cx="527431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244B6" w14:textId="7B7EC119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3. Antibiotic</w:t>
      </w:r>
      <w:r w:rsidR="00FE2B7C">
        <w:rPr>
          <w:rFonts w:ascii="Arial" w:hAnsi="Arial" w:cs="Arial"/>
          <w:b/>
          <w:bCs/>
          <w:sz w:val="22"/>
          <w:szCs w:val="22"/>
        </w:rPr>
        <w:t>s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and</w:t>
      </w:r>
      <w:r w:rsidR="00296B33">
        <w:rPr>
          <w:rFonts w:ascii="Arial" w:hAnsi="Arial" w:cs="Arial"/>
          <w:b/>
          <w:bCs/>
          <w:sz w:val="22"/>
          <w:szCs w:val="22"/>
        </w:rPr>
        <w:t xml:space="preserve"> </w:t>
      </w:r>
      <w:r w:rsidR="00296B33" w:rsidRPr="00042940">
        <w:rPr>
          <w:rFonts w:ascii="Arial" w:hAnsi="Arial" w:cs="Arial"/>
          <w:b/>
          <w:bCs/>
          <w:sz w:val="22"/>
          <w:szCs w:val="22"/>
        </w:rPr>
        <w:t>cohousing approach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do not affect lipolysis and thermogenesis </w:t>
      </w:r>
      <w:r w:rsidR="00296B33" w:rsidRPr="00802E04">
        <w:rPr>
          <w:rFonts w:ascii="Arial" w:hAnsi="Arial" w:cs="Arial"/>
          <w:b/>
          <w:bCs/>
          <w:sz w:val="22"/>
        </w:rPr>
        <w:t>gene</w:t>
      </w:r>
      <w:r w:rsidR="00296B33">
        <w:rPr>
          <w:rFonts w:ascii="Arial" w:hAnsi="Arial" w:cs="Arial"/>
          <w:b/>
          <w:bCs/>
          <w:sz w:val="22"/>
        </w:rPr>
        <w:t>s</w:t>
      </w:r>
      <w:r w:rsidR="00296B33" w:rsidRPr="00802E04">
        <w:rPr>
          <w:rFonts w:ascii="Arial" w:hAnsi="Arial" w:cs="Arial"/>
          <w:b/>
          <w:bCs/>
          <w:sz w:val="22"/>
        </w:rPr>
        <w:t xml:space="preserve"> expression</w:t>
      </w:r>
      <w:r w:rsidR="00296B33" w:rsidRPr="000429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in adipose tissue. </w:t>
      </w:r>
      <w:r w:rsidRPr="00042940">
        <w:rPr>
          <w:rFonts w:ascii="Arial" w:hAnsi="Arial" w:cs="Arial"/>
          <w:sz w:val="22"/>
          <w:szCs w:val="22"/>
        </w:rPr>
        <w:t>The LDLR</w:t>
      </w:r>
      <w:r w:rsidRPr="00042940">
        <w:rPr>
          <w:rFonts w:ascii="Arial" w:hAnsi="Arial" w:cs="Arial"/>
          <w:sz w:val="22"/>
          <w:szCs w:val="22"/>
          <w:vertAlign w:val="superscript"/>
        </w:rPr>
        <w:t>−/−</w:t>
      </w:r>
      <w:r w:rsidRPr="00042940">
        <w:rPr>
          <w:rFonts w:ascii="Arial" w:hAnsi="Arial" w:cs="Arial"/>
          <w:sz w:val="22"/>
          <w:szCs w:val="22"/>
        </w:rPr>
        <w:t xml:space="preserve"> hamsters fed HFHC diet were given placebo or antibiotics for 12 weeks through a separate or cohousing approach (n = 6/group). </w:t>
      </w:r>
      <w:r w:rsidRPr="00042940">
        <w:rPr>
          <w:rFonts w:ascii="Arial" w:hAnsi="Arial" w:cs="Arial"/>
          <w:b/>
          <w:bCs/>
          <w:sz w:val="22"/>
          <w:szCs w:val="22"/>
        </w:rPr>
        <w:t>A</w:t>
      </w:r>
      <w:r w:rsidRPr="00042940">
        <w:rPr>
          <w:rFonts w:ascii="Arial" w:hAnsi="Arial" w:cs="Arial"/>
          <w:sz w:val="22"/>
          <w:szCs w:val="22"/>
        </w:rPr>
        <w:t>. mRNA levels of LPL, HSL, MGL, CIDEA, UCP1 and PGC1α in the BAT of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hamsters. </w:t>
      </w:r>
      <w:r w:rsidRPr="00042940">
        <w:rPr>
          <w:rFonts w:ascii="Arial" w:hAnsi="Arial" w:cs="Arial"/>
          <w:b/>
          <w:bCs/>
          <w:sz w:val="22"/>
          <w:szCs w:val="22"/>
        </w:rPr>
        <w:t>B</w:t>
      </w:r>
      <w:r w:rsidRPr="00042940">
        <w:rPr>
          <w:rFonts w:ascii="Arial" w:hAnsi="Arial" w:cs="Arial"/>
          <w:sz w:val="22"/>
          <w:szCs w:val="22"/>
        </w:rPr>
        <w:t>. mRNA levels of LPL, HSL, MGL, UCP1 and PGC1α in the eWAT of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hamsters. </w:t>
      </w:r>
    </w:p>
    <w:p w14:paraId="0F92CFD7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0E3C16CB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32431940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532C8C3B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6F0CA76C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537FBAF7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663482C0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0788E49B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29B6D485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6603AD5C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361E815B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4B555F38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2532B50C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25584EB3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47CFEB7D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0E89F8AC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5E15A54A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7F72FAAB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79077CCF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2F4C19CB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15865FAF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5F11755E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3BD08B37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kern w:val="0"/>
          <w:sz w:val="22"/>
        </w:rPr>
      </w:pPr>
    </w:p>
    <w:p w14:paraId="4A797E51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hAnsi="Arial" w:cs="Arial"/>
          <w:noProof/>
          <w:sz w:val="22"/>
        </w:rPr>
      </w:pPr>
      <w:r w:rsidRPr="00042940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49B280B9" wp14:editId="6E2A4A38">
            <wp:extent cx="5274310" cy="38544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4" b="40650"/>
                    <a:stretch/>
                  </pic:blipFill>
                  <pic:spPr bwMode="auto">
                    <a:xfrm>
                      <a:off x="0" y="0"/>
                      <a:ext cx="527431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2940">
        <w:rPr>
          <w:rFonts w:ascii="Arial" w:hAnsi="Arial" w:cs="Arial"/>
          <w:noProof/>
          <w:sz w:val="22"/>
        </w:rPr>
        <w:t xml:space="preserve"> </w:t>
      </w:r>
    </w:p>
    <w:p w14:paraId="31EFD240" w14:textId="47B611B4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4. Modulation of gut microbiota by antibiotics and </w:t>
      </w:r>
      <w:r w:rsidR="00296B33" w:rsidRPr="00042940">
        <w:rPr>
          <w:rFonts w:ascii="Arial" w:hAnsi="Arial" w:cs="Arial"/>
          <w:b/>
          <w:bCs/>
          <w:sz w:val="22"/>
          <w:szCs w:val="22"/>
        </w:rPr>
        <w:t>cohousing approach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alleviate HFHC diet-induced NASH. </w:t>
      </w:r>
      <w:r w:rsidRPr="00042940">
        <w:rPr>
          <w:rFonts w:ascii="Arial" w:hAnsi="Arial" w:cs="Arial"/>
          <w:sz w:val="22"/>
          <w:szCs w:val="22"/>
        </w:rPr>
        <w:t>The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hamsters fed a HFHC diet were given placebo or antibiotics for 12 weeks by a separate or cohousing approach (n = 6 /group).</w:t>
      </w:r>
      <w:r w:rsidRPr="00042940">
        <w:rPr>
          <w:rFonts w:ascii="Arial" w:hAnsi="Arial" w:cs="Arial"/>
          <w:noProof/>
          <w:sz w:val="22"/>
          <w:szCs w:val="22"/>
        </w:rPr>
        <w:t xml:space="preserve"> </w:t>
      </w:r>
      <w:r w:rsidRPr="00042940">
        <w:rPr>
          <w:rFonts w:ascii="Arial" w:hAnsi="Arial" w:cs="Arial"/>
          <w:b/>
          <w:bCs/>
          <w:sz w:val="22"/>
          <w:szCs w:val="22"/>
        </w:rPr>
        <w:t>A</w:t>
      </w:r>
      <w:r w:rsidRPr="00042940">
        <w:rPr>
          <w:rFonts w:ascii="Arial" w:hAnsi="Arial" w:cs="Arial"/>
          <w:sz w:val="22"/>
          <w:szCs w:val="22"/>
        </w:rPr>
        <w:t xml:space="preserve">. qPCR for total bacterial </w:t>
      </w:r>
      <w:r>
        <w:rPr>
          <w:rFonts w:ascii="Arial" w:hAnsi="Arial" w:cs="Arial"/>
          <w:sz w:val="22"/>
          <w:szCs w:val="22"/>
        </w:rPr>
        <w:t xml:space="preserve">16S rRNA gene </w:t>
      </w:r>
      <w:r w:rsidRPr="00042940">
        <w:rPr>
          <w:rFonts w:ascii="Arial" w:hAnsi="Arial" w:cs="Arial"/>
          <w:sz w:val="22"/>
          <w:szCs w:val="22"/>
        </w:rPr>
        <w:t xml:space="preserve">in liver. </w:t>
      </w:r>
      <w:r w:rsidRPr="00042940">
        <w:rPr>
          <w:rFonts w:ascii="Arial" w:hAnsi="Arial" w:cs="Arial"/>
          <w:b/>
          <w:bCs/>
          <w:sz w:val="22"/>
          <w:szCs w:val="22"/>
        </w:rPr>
        <w:t>B</w:t>
      </w:r>
      <w:r w:rsidRPr="00042940">
        <w:rPr>
          <w:rFonts w:ascii="Arial" w:hAnsi="Arial" w:cs="Arial"/>
          <w:sz w:val="22"/>
          <w:szCs w:val="22"/>
        </w:rPr>
        <w:t xml:space="preserve">. Plasma LPL activities. </w:t>
      </w:r>
      <w:r w:rsidRPr="00042940">
        <w:rPr>
          <w:rFonts w:ascii="Arial" w:hAnsi="Arial" w:cs="Arial"/>
          <w:b/>
          <w:bCs/>
          <w:sz w:val="22"/>
          <w:szCs w:val="22"/>
        </w:rPr>
        <w:t>C</w:t>
      </w:r>
      <w:r w:rsidRPr="00042940">
        <w:rPr>
          <w:rFonts w:ascii="Arial" w:hAnsi="Arial" w:cs="Arial"/>
          <w:sz w:val="22"/>
          <w:szCs w:val="22"/>
        </w:rPr>
        <w:t>. VLDL secretion was analyzed in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 after intraperitoneal injection P-407 (1500 mg/kg, n = 6/group). </w:t>
      </w:r>
      <w:r w:rsidRPr="00042940">
        <w:rPr>
          <w:rFonts w:ascii="Arial" w:hAnsi="Arial" w:cs="Arial"/>
          <w:b/>
          <w:bCs/>
          <w:sz w:val="22"/>
          <w:szCs w:val="22"/>
        </w:rPr>
        <w:t>D</w:t>
      </w:r>
      <w:r w:rsidRPr="00042940">
        <w:rPr>
          <w:rFonts w:ascii="Arial" w:hAnsi="Arial" w:cs="Arial"/>
          <w:sz w:val="22"/>
          <w:szCs w:val="22"/>
        </w:rPr>
        <w:t>. The area under the curve for (</w:t>
      </w:r>
      <w:r w:rsidRPr="00042940">
        <w:rPr>
          <w:rFonts w:ascii="Arial" w:hAnsi="Arial" w:cs="Arial"/>
          <w:b/>
          <w:bCs/>
          <w:sz w:val="22"/>
          <w:szCs w:val="22"/>
        </w:rPr>
        <w:t>C</w:t>
      </w:r>
      <w:r w:rsidRPr="00042940">
        <w:rPr>
          <w:rFonts w:ascii="Arial" w:hAnsi="Arial" w:cs="Arial"/>
          <w:sz w:val="22"/>
          <w:szCs w:val="22"/>
        </w:rPr>
        <w:t>).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E</w:t>
      </w:r>
      <w:r w:rsidRPr="00042940">
        <w:rPr>
          <w:rFonts w:ascii="Arial" w:hAnsi="Arial" w:cs="Arial"/>
          <w:sz w:val="22"/>
          <w:szCs w:val="22"/>
        </w:rPr>
        <w:t xml:space="preserve">. </w:t>
      </w:r>
      <w:r w:rsidRPr="00042940">
        <w:rPr>
          <w:rFonts w:ascii="Arial" w:eastAsia="TimesNewRomanPSMT" w:hAnsi="Arial" w:cs="Arial"/>
          <w:sz w:val="22"/>
          <w:szCs w:val="22"/>
        </w:rPr>
        <w:t xml:space="preserve">The level of total cholesterol in liver. </w:t>
      </w:r>
      <w:r w:rsidRPr="00042940">
        <w:rPr>
          <w:rFonts w:ascii="Arial" w:eastAsia="TimesNewRomanPSMT" w:hAnsi="Arial" w:cs="Arial"/>
          <w:b/>
          <w:bCs/>
          <w:sz w:val="22"/>
          <w:szCs w:val="22"/>
        </w:rPr>
        <w:t>F</w:t>
      </w:r>
      <w:r w:rsidRPr="00042940">
        <w:rPr>
          <w:rFonts w:ascii="Arial" w:eastAsia="TimesNewRomanPSMT" w:hAnsi="Arial" w:cs="Arial"/>
          <w:sz w:val="22"/>
          <w:szCs w:val="22"/>
        </w:rPr>
        <w:t xml:space="preserve">. The level of total triglyceride in liver. </w:t>
      </w:r>
      <w:r w:rsidRPr="00042940">
        <w:rPr>
          <w:rFonts w:ascii="Arial" w:hAnsi="Arial" w:cs="Arial"/>
          <w:sz w:val="22"/>
          <w:szCs w:val="22"/>
        </w:rPr>
        <w:t>Data are expressed as mean ± SEM, analyzed by two-tailed Student’s t-test or one-way ANOVA with Tukey’s post-hoc test using Prism 8.0. Data are analyzed by Prism 8.0. *</w:t>
      </w:r>
      <w:r w:rsidRPr="00042940">
        <w:rPr>
          <w:rFonts w:ascii="Arial" w:hAnsi="Arial" w:cs="Arial"/>
          <w:i/>
          <w:iCs/>
          <w:sz w:val="22"/>
          <w:szCs w:val="22"/>
        </w:rPr>
        <w:t>P</w:t>
      </w:r>
      <w:r w:rsidRPr="00042940">
        <w:rPr>
          <w:rFonts w:ascii="Arial" w:hAnsi="Arial" w:cs="Arial"/>
          <w:sz w:val="22"/>
          <w:szCs w:val="22"/>
        </w:rPr>
        <w:t xml:space="preserve"> &lt; 0.05, **</w:t>
      </w:r>
      <w:r w:rsidRPr="00042940">
        <w:rPr>
          <w:rFonts w:ascii="Arial" w:hAnsi="Arial" w:cs="Arial"/>
          <w:i/>
          <w:iCs/>
          <w:sz w:val="22"/>
          <w:szCs w:val="22"/>
        </w:rPr>
        <w:t>P</w:t>
      </w:r>
      <w:r w:rsidRPr="00042940">
        <w:rPr>
          <w:rFonts w:ascii="Arial" w:hAnsi="Arial" w:cs="Arial"/>
          <w:sz w:val="22"/>
          <w:szCs w:val="22"/>
        </w:rPr>
        <w:t xml:space="preserve"> &lt; 0.01 and ***</w:t>
      </w:r>
      <w:r w:rsidRPr="00042940">
        <w:rPr>
          <w:rFonts w:ascii="Arial" w:hAnsi="Arial" w:cs="Arial"/>
          <w:i/>
          <w:iCs/>
          <w:sz w:val="22"/>
          <w:szCs w:val="22"/>
        </w:rPr>
        <w:t>P</w:t>
      </w:r>
      <w:r w:rsidRPr="00042940">
        <w:rPr>
          <w:rFonts w:ascii="Arial" w:hAnsi="Arial" w:cs="Arial"/>
          <w:sz w:val="22"/>
          <w:szCs w:val="22"/>
        </w:rPr>
        <w:t xml:space="preserve"> &lt; 0.001.</w:t>
      </w:r>
    </w:p>
    <w:p w14:paraId="5861BF82" w14:textId="47D5DAD3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04294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2C6363C" wp14:editId="291B59D7">
            <wp:extent cx="5274310" cy="69913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8" b="4462"/>
                    <a:stretch/>
                  </pic:blipFill>
                  <pic:spPr bwMode="auto">
                    <a:xfrm>
                      <a:off x="0" y="0"/>
                      <a:ext cx="527431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294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5. Antibiotics application and </w:t>
      </w:r>
      <w:r w:rsidR="00296B33" w:rsidRPr="00042940">
        <w:rPr>
          <w:rFonts w:ascii="Arial" w:hAnsi="Arial" w:cs="Arial"/>
          <w:b/>
          <w:bCs/>
          <w:sz w:val="22"/>
          <w:szCs w:val="22"/>
        </w:rPr>
        <w:t>cohousing approach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improve hepatic metabolic profiles. </w:t>
      </w:r>
      <w:r w:rsidRPr="00042940">
        <w:rPr>
          <w:rFonts w:ascii="Arial" w:hAnsi="Arial" w:cs="Arial"/>
          <w:sz w:val="22"/>
          <w:szCs w:val="22"/>
        </w:rPr>
        <w:t>The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hamsters fed HFHC diet were given placebo or antibiotics for 12 weeks by a separate or cohousing approach (n = 6/group). </w:t>
      </w:r>
      <w:r w:rsidRPr="00042940">
        <w:rPr>
          <w:rFonts w:ascii="Arial" w:eastAsia="TimesNewRomanPSMT" w:hAnsi="Arial" w:cs="Arial"/>
          <w:sz w:val="22"/>
          <w:szCs w:val="22"/>
        </w:rPr>
        <w:t xml:space="preserve">RNAs and proteins were extracted from livers and quantified by qPCR and Western blot, respectively. </w:t>
      </w:r>
      <w:r w:rsidRPr="00042940">
        <w:rPr>
          <w:rFonts w:ascii="Arial" w:hAnsi="Arial" w:cs="Arial"/>
          <w:b/>
          <w:bCs/>
          <w:sz w:val="22"/>
          <w:szCs w:val="22"/>
        </w:rPr>
        <w:t>A</w:t>
      </w:r>
      <w:r w:rsidRPr="00042940">
        <w:rPr>
          <w:rFonts w:ascii="Arial" w:hAnsi="Arial" w:cs="Arial"/>
          <w:sz w:val="22"/>
          <w:szCs w:val="22"/>
        </w:rPr>
        <w:t xml:space="preserve">. mRNA expression levels of </w:t>
      </w:r>
      <w:bookmarkStart w:id="0" w:name="_Hlk117947023"/>
      <w:r w:rsidRPr="00042940">
        <w:rPr>
          <w:rFonts w:ascii="Arial" w:hAnsi="Arial" w:cs="Arial"/>
          <w:sz w:val="22"/>
          <w:szCs w:val="22"/>
        </w:rPr>
        <w:t>inflammation and fibrosis</w:t>
      </w:r>
      <w:bookmarkEnd w:id="0"/>
      <w:r w:rsidRPr="00042940">
        <w:rPr>
          <w:rFonts w:ascii="Arial" w:hAnsi="Arial" w:cs="Arial"/>
          <w:sz w:val="22"/>
          <w:szCs w:val="22"/>
        </w:rPr>
        <w:t xml:space="preserve"> genes in liver. </w:t>
      </w:r>
      <w:r w:rsidRPr="00042940">
        <w:rPr>
          <w:rFonts w:ascii="Arial" w:hAnsi="Arial" w:cs="Arial"/>
          <w:b/>
          <w:bCs/>
          <w:sz w:val="22"/>
          <w:szCs w:val="22"/>
        </w:rPr>
        <w:t>B</w:t>
      </w:r>
      <w:r w:rsidRPr="00042940">
        <w:rPr>
          <w:rFonts w:ascii="Arial" w:hAnsi="Arial" w:cs="Arial"/>
          <w:sz w:val="22"/>
          <w:szCs w:val="22"/>
        </w:rPr>
        <w:t>. mRNA expression of genes involved in</w:t>
      </w:r>
      <w:bookmarkStart w:id="1" w:name="_Hlk117947040"/>
      <w:r w:rsidRPr="00042940">
        <w:rPr>
          <w:rFonts w:ascii="Arial" w:hAnsi="Arial" w:cs="Arial"/>
          <w:sz w:val="22"/>
          <w:szCs w:val="22"/>
        </w:rPr>
        <w:t xml:space="preserve"> l</w:t>
      </w:r>
      <w:r w:rsidRPr="00042940">
        <w:rPr>
          <w:rFonts w:ascii="Arial" w:eastAsia="ArialMT" w:hAnsi="Arial" w:cs="Arial"/>
          <w:sz w:val="22"/>
          <w:szCs w:val="22"/>
        </w:rPr>
        <w:t>ipid uptake,</w:t>
      </w:r>
      <w:r w:rsidRPr="00042940">
        <w:rPr>
          <w:rFonts w:ascii="Arial" w:hAnsi="Arial" w:cs="Arial"/>
          <w:sz w:val="22"/>
          <w:szCs w:val="22"/>
        </w:rPr>
        <w:t xml:space="preserve"> </w:t>
      </w:r>
      <w:r w:rsidRPr="00042940">
        <w:rPr>
          <w:rFonts w:ascii="Arial" w:eastAsia="ArialMT" w:hAnsi="Arial" w:cs="Arial"/>
          <w:sz w:val="22"/>
          <w:szCs w:val="22"/>
        </w:rPr>
        <w:t>synthesis and transport</w:t>
      </w:r>
      <w:bookmarkEnd w:id="1"/>
      <w:r w:rsidRPr="00042940">
        <w:rPr>
          <w:rFonts w:ascii="Arial" w:eastAsia="ArialMT" w:hAnsi="Arial" w:cs="Arial"/>
          <w:sz w:val="22"/>
          <w:szCs w:val="22"/>
        </w:rPr>
        <w:t xml:space="preserve"> in liver. </w:t>
      </w:r>
      <w:r w:rsidRPr="00042940">
        <w:rPr>
          <w:rFonts w:ascii="Arial" w:hAnsi="Arial" w:cs="Arial"/>
          <w:b/>
          <w:bCs/>
          <w:sz w:val="22"/>
          <w:szCs w:val="22"/>
        </w:rPr>
        <w:t>C</w:t>
      </w:r>
      <w:r w:rsidRPr="00042940">
        <w:rPr>
          <w:rFonts w:ascii="Arial" w:hAnsi="Arial" w:cs="Arial"/>
          <w:sz w:val="22"/>
          <w:szCs w:val="22"/>
        </w:rPr>
        <w:t>. mRNA expression of genes involved in</w:t>
      </w:r>
      <w:bookmarkStart w:id="2" w:name="_Hlk117947121"/>
      <w:r w:rsidRPr="00042940">
        <w:rPr>
          <w:rFonts w:ascii="Arial" w:eastAsia="ArialMT" w:hAnsi="Arial" w:cs="Arial"/>
          <w:sz w:val="22"/>
          <w:szCs w:val="22"/>
        </w:rPr>
        <w:t xml:space="preserve"> fatty acid synthesis and oxidation</w:t>
      </w:r>
      <w:bookmarkEnd w:id="2"/>
      <w:r w:rsidRPr="00042940">
        <w:rPr>
          <w:rFonts w:ascii="Arial" w:eastAsia="ArialMT" w:hAnsi="Arial" w:cs="Arial"/>
          <w:sz w:val="22"/>
          <w:szCs w:val="22"/>
        </w:rPr>
        <w:t xml:space="preserve"> in liver. </w:t>
      </w:r>
      <w:r w:rsidRPr="00042940">
        <w:rPr>
          <w:rFonts w:ascii="Arial" w:eastAsia="ArialMT" w:hAnsi="Arial" w:cs="Arial"/>
          <w:b/>
          <w:bCs/>
          <w:sz w:val="22"/>
          <w:szCs w:val="22"/>
        </w:rPr>
        <w:t>D</w:t>
      </w:r>
      <w:r w:rsidRPr="00042940">
        <w:rPr>
          <w:rFonts w:ascii="Arial" w:eastAsia="ArialMT" w:hAnsi="Arial" w:cs="Arial"/>
          <w:sz w:val="22"/>
          <w:szCs w:val="22"/>
        </w:rPr>
        <w:t xml:space="preserve">. </w:t>
      </w:r>
      <w:r w:rsidRPr="00042940">
        <w:rPr>
          <w:rFonts w:ascii="Arial" w:eastAsia="TimesNewRomanPSMT" w:hAnsi="Arial" w:cs="Arial"/>
          <w:sz w:val="22"/>
          <w:szCs w:val="22"/>
        </w:rPr>
        <w:t>Western blot</w:t>
      </w:r>
      <w:r w:rsidRPr="00042940">
        <w:rPr>
          <w:rFonts w:ascii="Arial" w:eastAsia="ArialMT" w:hAnsi="Arial" w:cs="Arial"/>
          <w:sz w:val="22"/>
          <w:szCs w:val="22"/>
        </w:rPr>
        <w:t xml:space="preserve"> showing the levels of p-AKT and AKT in liver. </w:t>
      </w:r>
      <w:r w:rsidRPr="00042940">
        <w:rPr>
          <w:rFonts w:ascii="Arial" w:eastAsia="ArialMT" w:hAnsi="Arial" w:cs="Arial"/>
          <w:b/>
          <w:bCs/>
          <w:sz w:val="22"/>
          <w:szCs w:val="22"/>
        </w:rPr>
        <w:t>E</w:t>
      </w:r>
      <w:r w:rsidRPr="00042940">
        <w:rPr>
          <w:rFonts w:ascii="Arial" w:eastAsia="ArialMT" w:hAnsi="Arial" w:cs="Arial"/>
          <w:sz w:val="22"/>
          <w:szCs w:val="22"/>
        </w:rPr>
        <w:t xml:space="preserve">. </w:t>
      </w:r>
      <w:r w:rsidRPr="00042940">
        <w:rPr>
          <w:rFonts w:ascii="Arial" w:hAnsi="Arial" w:cs="Arial"/>
          <w:sz w:val="22"/>
          <w:szCs w:val="22"/>
        </w:rPr>
        <w:t xml:space="preserve">The quantitative </w:t>
      </w:r>
      <w:r w:rsidRPr="00042940">
        <w:rPr>
          <w:rFonts w:ascii="Arial" w:hAnsi="Arial" w:cs="Arial"/>
          <w:sz w:val="22"/>
          <w:szCs w:val="22"/>
        </w:rPr>
        <w:lastRenderedPageBreak/>
        <w:t>analysis for (</w:t>
      </w:r>
      <w:r w:rsidRPr="00042940">
        <w:rPr>
          <w:rFonts w:ascii="Arial" w:hAnsi="Arial" w:cs="Arial"/>
          <w:b/>
          <w:bCs/>
          <w:sz w:val="22"/>
          <w:szCs w:val="22"/>
        </w:rPr>
        <w:t>D</w:t>
      </w:r>
      <w:r w:rsidRPr="00042940">
        <w:rPr>
          <w:rFonts w:ascii="Arial" w:hAnsi="Arial" w:cs="Arial"/>
          <w:sz w:val="22"/>
          <w:szCs w:val="22"/>
        </w:rPr>
        <w:t>). Data are expressed as mean ± SEM, analyzed by two-tailed Student’s t-test or one-way ANOVA with Tukey’s post-hoc test using Prism 8.0. *</w:t>
      </w:r>
      <w:r w:rsidRPr="00042940">
        <w:rPr>
          <w:rFonts w:ascii="Arial" w:hAnsi="Arial" w:cs="Arial"/>
          <w:i/>
          <w:iCs/>
          <w:sz w:val="22"/>
          <w:szCs w:val="22"/>
        </w:rPr>
        <w:t>P</w:t>
      </w:r>
      <w:r w:rsidRPr="00042940">
        <w:rPr>
          <w:rFonts w:ascii="Arial" w:hAnsi="Arial" w:cs="Arial"/>
          <w:sz w:val="22"/>
          <w:szCs w:val="22"/>
        </w:rPr>
        <w:t xml:space="preserve"> &lt; 0.05, **</w:t>
      </w:r>
      <w:r w:rsidRPr="00042940">
        <w:rPr>
          <w:rFonts w:ascii="Arial" w:hAnsi="Arial" w:cs="Arial"/>
          <w:i/>
          <w:iCs/>
          <w:sz w:val="22"/>
          <w:szCs w:val="22"/>
        </w:rPr>
        <w:t>P</w:t>
      </w:r>
      <w:r w:rsidRPr="00042940">
        <w:rPr>
          <w:rFonts w:ascii="Arial" w:hAnsi="Arial" w:cs="Arial"/>
          <w:sz w:val="22"/>
          <w:szCs w:val="22"/>
        </w:rPr>
        <w:t xml:space="preserve"> &lt; 0.01 and ***</w:t>
      </w:r>
      <w:r w:rsidRPr="00042940">
        <w:rPr>
          <w:rFonts w:ascii="Arial" w:hAnsi="Arial" w:cs="Arial"/>
          <w:i/>
          <w:iCs/>
          <w:sz w:val="22"/>
          <w:szCs w:val="22"/>
        </w:rPr>
        <w:t>P</w:t>
      </w:r>
      <w:r w:rsidRPr="00042940">
        <w:rPr>
          <w:rFonts w:ascii="Arial" w:hAnsi="Arial" w:cs="Arial"/>
          <w:sz w:val="22"/>
          <w:szCs w:val="22"/>
        </w:rPr>
        <w:t xml:space="preserve"> &lt; 0.001.</w:t>
      </w:r>
    </w:p>
    <w:p w14:paraId="38FCCB66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5513D47B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74CB5702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37D5F03F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256E78EE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1A220659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265A4D8A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715D6C5D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281325B2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0199E586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08070094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0FADD867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1B53B3F6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752B999A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24B0981A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25C7F5F0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0332BF86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4CEA2828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4E137461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5B6482A8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39F54392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112DF808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2B910307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752DFF41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00A6470B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0600302A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50447374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6D0E1751" w14:textId="77777777" w:rsidR="00FB3CB4" w:rsidRPr="00042940" w:rsidRDefault="00FB3CB4" w:rsidP="00FB3CB4">
      <w:pPr>
        <w:autoSpaceDE w:val="0"/>
        <w:autoSpaceDN w:val="0"/>
        <w:adjustRightInd w:val="0"/>
        <w:rPr>
          <w:rFonts w:ascii="Arial" w:eastAsia="ArialMT" w:hAnsi="Arial" w:cs="Arial"/>
          <w:kern w:val="0"/>
          <w:sz w:val="22"/>
        </w:rPr>
      </w:pPr>
      <w:r w:rsidRPr="00042940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19524FDF" wp14:editId="05CECB6C">
            <wp:extent cx="5274310" cy="745744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167C6" w14:textId="52549150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6. Effects of antibiotic</w:t>
      </w:r>
      <w:r w:rsidR="00296B33" w:rsidRPr="00042940">
        <w:rPr>
          <w:rFonts w:ascii="Arial" w:hAnsi="Arial" w:cs="Arial"/>
          <w:b/>
          <w:bCs/>
          <w:sz w:val="22"/>
          <w:szCs w:val="22"/>
        </w:rPr>
        <w:t>s application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on the composition of the gut microbiota.</w:t>
      </w:r>
      <w:r w:rsidRPr="00042940">
        <w:rPr>
          <w:rFonts w:ascii="Arial" w:hAnsi="Arial" w:cs="Arial"/>
          <w:sz w:val="22"/>
          <w:szCs w:val="22"/>
        </w:rPr>
        <w:t xml:space="preserve"> </w:t>
      </w:r>
      <w:r w:rsidRPr="00042940">
        <w:rPr>
          <w:rFonts w:ascii="Arial" w:eastAsia="ArialMT" w:hAnsi="Arial" w:cs="Arial"/>
          <w:b/>
          <w:bCs/>
          <w:sz w:val="22"/>
          <w:szCs w:val="22"/>
        </w:rPr>
        <w:t>A</w:t>
      </w:r>
      <w:r w:rsidRPr="00042940">
        <w:rPr>
          <w:rFonts w:ascii="Arial" w:eastAsia="ArialMT" w:hAnsi="Arial" w:cs="Arial"/>
          <w:sz w:val="22"/>
          <w:szCs w:val="22"/>
        </w:rPr>
        <w:t xml:space="preserve">. </w:t>
      </w:r>
      <w:r w:rsidRPr="00042940">
        <w:rPr>
          <w:rFonts w:ascii="Arial" w:hAnsi="Arial" w:cs="Arial"/>
          <w:sz w:val="22"/>
          <w:szCs w:val="22"/>
        </w:rPr>
        <w:t>LEfSe comparison of the gut microbiota between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hamsters in PS (green) and AS (red) group. LDA score &gt; 6 are shown. The length of the bar represents the LDA score. </w:t>
      </w:r>
      <w:r w:rsidRPr="00042940">
        <w:rPr>
          <w:rFonts w:ascii="Arial" w:eastAsia="ArialMT" w:hAnsi="Arial" w:cs="Arial"/>
          <w:b/>
          <w:bCs/>
          <w:sz w:val="22"/>
          <w:szCs w:val="22"/>
        </w:rPr>
        <w:t>B</w:t>
      </w:r>
      <w:r w:rsidRPr="00042940">
        <w:rPr>
          <w:rFonts w:ascii="Arial" w:eastAsia="ArialMT" w:hAnsi="Arial" w:cs="Arial"/>
          <w:sz w:val="22"/>
          <w:szCs w:val="22"/>
        </w:rPr>
        <w:t xml:space="preserve">. </w:t>
      </w:r>
      <w:r w:rsidRPr="00042940">
        <w:rPr>
          <w:rFonts w:ascii="Arial" w:hAnsi="Arial" w:cs="Arial"/>
          <w:sz w:val="22"/>
          <w:szCs w:val="22"/>
        </w:rPr>
        <w:t>LEfSe comparison of the gut microbiota between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hamsters in PM (green) and AM (red) group. LDA score &gt; 6 are shown. The length of the bar represents the LDA score. </w:t>
      </w:r>
      <w:r w:rsidRPr="00042940">
        <w:rPr>
          <w:rFonts w:ascii="Arial" w:hAnsi="Arial" w:cs="Arial"/>
          <w:b/>
          <w:bCs/>
          <w:sz w:val="22"/>
          <w:szCs w:val="22"/>
        </w:rPr>
        <w:t>C</w:t>
      </w:r>
      <w:r w:rsidRPr="00042940">
        <w:rPr>
          <w:rFonts w:ascii="Arial" w:hAnsi="Arial" w:cs="Arial"/>
          <w:sz w:val="22"/>
          <w:szCs w:val="22"/>
        </w:rPr>
        <w:t>. Similarity percentage analysis of</w:t>
      </w:r>
      <w:r w:rsidRPr="00042940">
        <w:rPr>
          <w:rFonts w:ascii="Arial" w:hAnsi="Arial" w:cs="Arial"/>
          <w:color w:val="2A2B2E"/>
          <w:sz w:val="22"/>
          <w:szCs w:val="22"/>
        </w:rPr>
        <w:t xml:space="preserve"> top 10 </w:t>
      </w:r>
      <w:r w:rsidRPr="00042940">
        <w:rPr>
          <w:rFonts w:ascii="Arial" w:hAnsi="Arial" w:cs="Arial"/>
          <w:color w:val="2A2B2E"/>
          <w:sz w:val="22"/>
          <w:szCs w:val="22"/>
        </w:rPr>
        <w:lastRenderedPageBreak/>
        <w:t>species and their abundances in terms of differential contribution between</w:t>
      </w:r>
      <w:r w:rsidRPr="00042940">
        <w:rPr>
          <w:rFonts w:ascii="Arial" w:hAnsi="Arial" w:cs="Arial"/>
          <w:sz w:val="22"/>
          <w:szCs w:val="22"/>
        </w:rPr>
        <w:t xml:space="preserve"> PS and AS groups. </w:t>
      </w:r>
      <w:r w:rsidRPr="00042940">
        <w:rPr>
          <w:rFonts w:ascii="Arial" w:hAnsi="Arial" w:cs="Arial"/>
          <w:b/>
          <w:bCs/>
          <w:sz w:val="22"/>
          <w:szCs w:val="22"/>
        </w:rPr>
        <w:t>D</w:t>
      </w:r>
      <w:r w:rsidRPr="00042940">
        <w:rPr>
          <w:rFonts w:ascii="Arial" w:hAnsi="Arial" w:cs="Arial"/>
          <w:sz w:val="22"/>
          <w:szCs w:val="22"/>
        </w:rPr>
        <w:t>. Similarity percentage analysis of</w:t>
      </w:r>
      <w:r w:rsidRPr="00042940">
        <w:rPr>
          <w:rFonts w:ascii="Arial" w:hAnsi="Arial" w:cs="Arial"/>
          <w:color w:val="2A2B2E"/>
          <w:sz w:val="22"/>
          <w:szCs w:val="22"/>
        </w:rPr>
        <w:t xml:space="preserve"> top 10 species and their abundances in terms of differential contribution between</w:t>
      </w:r>
      <w:r w:rsidRPr="00042940">
        <w:rPr>
          <w:rFonts w:ascii="Arial" w:hAnsi="Arial" w:cs="Arial"/>
          <w:sz w:val="22"/>
          <w:szCs w:val="22"/>
        </w:rPr>
        <w:t xml:space="preserve"> PM and AM groups. </w:t>
      </w:r>
      <w:r w:rsidRPr="00042940">
        <w:rPr>
          <w:rFonts w:ascii="Arial" w:hAnsi="Arial" w:cs="Arial"/>
          <w:b/>
          <w:bCs/>
          <w:sz w:val="22"/>
          <w:szCs w:val="22"/>
        </w:rPr>
        <w:t>E</w:t>
      </w:r>
      <w:r w:rsidRPr="00042940">
        <w:rPr>
          <w:rFonts w:ascii="Arial" w:hAnsi="Arial" w:cs="Arial"/>
          <w:sz w:val="22"/>
          <w:szCs w:val="22"/>
        </w:rPr>
        <w:t xml:space="preserve">. T-test analysis of differences of the gut bacteria at the species level between PS and AS groups. </w:t>
      </w:r>
      <w:r w:rsidRPr="00042940">
        <w:rPr>
          <w:rFonts w:ascii="Arial" w:hAnsi="Arial" w:cs="Arial"/>
          <w:b/>
          <w:bCs/>
          <w:sz w:val="22"/>
          <w:szCs w:val="22"/>
        </w:rPr>
        <w:t>F</w:t>
      </w:r>
      <w:r w:rsidRPr="00042940">
        <w:rPr>
          <w:rFonts w:ascii="Arial" w:hAnsi="Arial" w:cs="Arial"/>
          <w:sz w:val="22"/>
          <w:szCs w:val="22"/>
        </w:rPr>
        <w:t>. T-test analysis of differences of the gut bacteria at the species level between PM and AM groups.</w:t>
      </w:r>
    </w:p>
    <w:p w14:paraId="5B16FFC1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1C5E6D60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6D96C2AE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4BB78000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59B66454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4533CCAC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6F3FBA5F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7ADDD12F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2AAEEFE3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14359C07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67AF73BC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50F7E02B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505FA88A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00D18496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00D828CA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7FA18CFF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73AB0024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02314D28" w14:textId="77777777" w:rsidR="00FB3CB4" w:rsidRPr="00042940" w:rsidRDefault="00FB3CB4" w:rsidP="00FB3CB4">
      <w:pPr>
        <w:rPr>
          <w:rFonts w:ascii="Arial" w:hAnsi="Arial" w:cs="Arial"/>
          <w:sz w:val="22"/>
        </w:rPr>
      </w:pPr>
    </w:p>
    <w:p w14:paraId="3869B68C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4A8CE97C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eastAsia="ArialMT" w:hAnsi="Arial" w:cs="Arial"/>
          <w:sz w:val="22"/>
          <w:szCs w:val="22"/>
        </w:rPr>
      </w:pPr>
      <w:r w:rsidRPr="0004294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695EA48E" wp14:editId="6EDBCFDF">
            <wp:extent cx="5274310" cy="666750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9" b="8294"/>
                    <a:stretch/>
                  </pic:blipFill>
                  <pic:spPr bwMode="auto">
                    <a:xfrm>
                      <a:off x="0" y="0"/>
                      <a:ext cx="527431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6159D" w14:textId="2CCC54D2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7. Effects of different housing on the composition of the gut microbiota.</w:t>
      </w:r>
      <w:r w:rsidRPr="00042940">
        <w:rPr>
          <w:rFonts w:ascii="Arial" w:hAnsi="Arial" w:cs="Arial"/>
          <w:sz w:val="22"/>
          <w:szCs w:val="22"/>
        </w:rPr>
        <w:t xml:space="preserve"> </w:t>
      </w:r>
    </w:p>
    <w:p w14:paraId="07D7DA2A" w14:textId="77777777" w:rsidR="00FB3CB4" w:rsidRPr="00042940" w:rsidRDefault="00FB3CB4" w:rsidP="00FB3CB4">
      <w:pPr>
        <w:pStyle w:val="src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  <w:r w:rsidRPr="00042940">
        <w:rPr>
          <w:rFonts w:ascii="Arial" w:hAnsi="Arial" w:cs="Arial"/>
          <w:sz w:val="22"/>
          <w:szCs w:val="22"/>
        </w:rPr>
        <w:t>LEfSe comparison of the gut microbiota between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hamsters in PS (green)</w:t>
      </w:r>
    </w:p>
    <w:p w14:paraId="7ED94496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  <w:r w:rsidRPr="00042940">
        <w:rPr>
          <w:rFonts w:ascii="Arial" w:hAnsi="Arial" w:cs="Arial"/>
          <w:sz w:val="22"/>
          <w:szCs w:val="22"/>
        </w:rPr>
        <w:t xml:space="preserve">and PM (red) group. LDA score &gt; 6 are shown. The length of the bar represents the LDA score. </w:t>
      </w:r>
      <w:r w:rsidRPr="00042940">
        <w:rPr>
          <w:rFonts w:ascii="Arial" w:eastAsia="ArialMT" w:hAnsi="Arial" w:cs="Arial"/>
          <w:b/>
          <w:bCs/>
          <w:sz w:val="22"/>
          <w:szCs w:val="22"/>
        </w:rPr>
        <w:t>B</w:t>
      </w:r>
      <w:r w:rsidRPr="00042940">
        <w:rPr>
          <w:rFonts w:ascii="Arial" w:eastAsia="ArialMT" w:hAnsi="Arial" w:cs="Arial"/>
          <w:sz w:val="22"/>
          <w:szCs w:val="22"/>
        </w:rPr>
        <w:t xml:space="preserve">. </w:t>
      </w:r>
      <w:r w:rsidRPr="00042940">
        <w:rPr>
          <w:rFonts w:ascii="Arial" w:hAnsi="Arial" w:cs="Arial"/>
          <w:sz w:val="22"/>
          <w:szCs w:val="22"/>
        </w:rPr>
        <w:t>LEfSe comparison of the gut microbiota between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hamsters in AS (green) and AM (red) group. LDA score &gt; 6 are shown. The length of the bar represents the LDA score. </w:t>
      </w:r>
      <w:r w:rsidRPr="00042940">
        <w:rPr>
          <w:rFonts w:ascii="Arial" w:hAnsi="Arial" w:cs="Arial"/>
          <w:b/>
          <w:bCs/>
          <w:sz w:val="22"/>
          <w:szCs w:val="22"/>
        </w:rPr>
        <w:t>C</w:t>
      </w:r>
      <w:r w:rsidRPr="00042940">
        <w:rPr>
          <w:rFonts w:ascii="Arial" w:hAnsi="Arial" w:cs="Arial"/>
          <w:sz w:val="22"/>
          <w:szCs w:val="22"/>
        </w:rPr>
        <w:t>. Similarity percentage analysis of</w:t>
      </w:r>
      <w:r w:rsidRPr="00042940">
        <w:rPr>
          <w:rFonts w:ascii="Arial" w:hAnsi="Arial" w:cs="Arial"/>
          <w:color w:val="2A2B2E"/>
          <w:sz w:val="22"/>
          <w:szCs w:val="22"/>
        </w:rPr>
        <w:t xml:space="preserve"> top 10 species and their abundances in terms of differential contribution between</w:t>
      </w:r>
      <w:r w:rsidRPr="00042940">
        <w:rPr>
          <w:rFonts w:ascii="Arial" w:hAnsi="Arial" w:cs="Arial"/>
          <w:sz w:val="22"/>
          <w:szCs w:val="22"/>
        </w:rPr>
        <w:t xml:space="preserve"> PS and PM groups. </w:t>
      </w:r>
      <w:r w:rsidRPr="00042940">
        <w:rPr>
          <w:rFonts w:ascii="Arial" w:hAnsi="Arial" w:cs="Arial"/>
          <w:b/>
          <w:bCs/>
          <w:sz w:val="22"/>
          <w:szCs w:val="22"/>
        </w:rPr>
        <w:t>D</w:t>
      </w:r>
      <w:r w:rsidRPr="00042940">
        <w:rPr>
          <w:rFonts w:ascii="Arial" w:hAnsi="Arial" w:cs="Arial"/>
          <w:sz w:val="22"/>
          <w:szCs w:val="22"/>
        </w:rPr>
        <w:t>. Similarity percentage analysis of</w:t>
      </w:r>
      <w:r w:rsidRPr="00042940">
        <w:rPr>
          <w:rFonts w:ascii="Arial" w:hAnsi="Arial" w:cs="Arial"/>
          <w:color w:val="2A2B2E"/>
          <w:sz w:val="22"/>
          <w:szCs w:val="22"/>
        </w:rPr>
        <w:t xml:space="preserve"> top 10 species and their abundances in terms of differential contribution between</w:t>
      </w:r>
      <w:r w:rsidRPr="00042940">
        <w:rPr>
          <w:rFonts w:ascii="Arial" w:hAnsi="Arial" w:cs="Arial"/>
          <w:sz w:val="22"/>
          <w:szCs w:val="22"/>
        </w:rPr>
        <w:t xml:space="preserve"> AS and AM groups. </w:t>
      </w:r>
      <w:r w:rsidRPr="00042940">
        <w:rPr>
          <w:rFonts w:ascii="Arial" w:hAnsi="Arial" w:cs="Arial"/>
          <w:b/>
          <w:bCs/>
          <w:sz w:val="22"/>
          <w:szCs w:val="22"/>
        </w:rPr>
        <w:t>E</w:t>
      </w:r>
      <w:r w:rsidRPr="00042940">
        <w:rPr>
          <w:rFonts w:ascii="Arial" w:hAnsi="Arial" w:cs="Arial"/>
          <w:sz w:val="22"/>
          <w:szCs w:val="22"/>
        </w:rPr>
        <w:t xml:space="preserve">. T-test analysis of differences </w:t>
      </w:r>
      <w:r w:rsidRPr="00042940">
        <w:rPr>
          <w:rFonts w:ascii="Arial" w:hAnsi="Arial" w:cs="Arial"/>
          <w:sz w:val="22"/>
          <w:szCs w:val="22"/>
        </w:rPr>
        <w:lastRenderedPageBreak/>
        <w:t xml:space="preserve">of the gut bacteria at the species level between PS and PM groups. </w:t>
      </w:r>
      <w:r w:rsidRPr="00042940">
        <w:rPr>
          <w:rFonts w:ascii="Arial" w:hAnsi="Arial" w:cs="Arial"/>
          <w:b/>
          <w:bCs/>
          <w:sz w:val="22"/>
          <w:szCs w:val="22"/>
        </w:rPr>
        <w:t>F</w:t>
      </w:r>
      <w:r w:rsidRPr="00042940">
        <w:rPr>
          <w:rFonts w:ascii="Arial" w:hAnsi="Arial" w:cs="Arial"/>
          <w:sz w:val="22"/>
          <w:szCs w:val="22"/>
        </w:rPr>
        <w:t>. T-test analysis of differences of the gut bacteria at the species level between AS and AM groups.</w:t>
      </w:r>
    </w:p>
    <w:p w14:paraId="70292BB2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767E3995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6373F4F3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7288F6CD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0B70FF3A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08FC0527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475E5BAB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09EF994C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47D8BAD9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6084E02F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6499649B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6BB57FF9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2CFB625A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42F8E9F1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623394D2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6FE1270F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2BA4646F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5CADC513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116E4013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4D9CC808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12B2BE6A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6E3FA45F" w14:textId="77777777" w:rsidR="00FB3CB4" w:rsidRPr="00042940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sz w:val="22"/>
          <w:szCs w:val="22"/>
        </w:rPr>
      </w:pPr>
    </w:p>
    <w:p w14:paraId="1A91D5BD" w14:textId="77777777" w:rsidR="00FB3CB4" w:rsidRPr="00042940" w:rsidRDefault="00FB3CB4" w:rsidP="00FB3CB4">
      <w:pPr>
        <w:rPr>
          <w:rFonts w:ascii="Arial" w:hAnsi="Arial" w:cs="Arial"/>
          <w:sz w:val="22"/>
        </w:rPr>
      </w:pPr>
      <w:r w:rsidRPr="00042940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01C29A9F" wp14:editId="21B27BF0">
            <wp:extent cx="5274310" cy="444500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395"/>
                    <a:stretch/>
                  </pic:blipFill>
                  <pic:spPr bwMode="auto">
                    <a:xfrm>
                      <a:off x="0" y="0"/>
                      <a:ext cx="527431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4FDFA" w14:textId="20428E7D" w:rsidR="00FB3CB4" w:rsidRPr="009C012D" w:rsidRDefault="00FB3CB4" w:rsidP="00FB3CB4">
      <w:pPr>
        <w:pStyle w:val="src"/>
        <w:shd w:val="clear" w:color="auto" w:fill="FFFFFF"/>
        <w:autoSpaceDE w:val="0"/>
        <w:autoSpaceDN w:val="0"/>
        <w:adjustRightInd w:val="0"/>
        <w:spacing w:before="0" w:beforeAutospacing="0" w:after="0" w:afterAutospacing="0" w:line="315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8. Influence of antibiotics application and </w:t>
      </w:r>
      <w:r w:rsidR="00296B33" w:rsidRPr="00042940">
        <w:rPr>
          <w:rFonts w:ascii="Arial" w:hAnsi="Arial" w:cs="Arial"/>
          <w:b/>
          <w:bCs/>
          <w:sz w:val="22"/>
          <w:szCs w:val="22"/>
        </w:rPr>
        <w:t>cohousing approach</w:t>
      </w:r>
      <w:r w:rsidRPr="00042940">
        <w:rPr>
          <w:rFonts w:ascii="Arial" w:hAnsi="Arial" w:cs="Arial"/>
          <w:b/>
          <w:bCs/>
          <w:sz w:val="22"/>
          <w:szCs w:val="22"/>
        </w:rPr>
        <w:t xml:space="preserve"> on </w:t>
      </w:r>
      <w:bookmarkStart w:id="3" w:name="_Hlk120221390"/>
      <w:r w:rsidRPr="00042940">
        <w:rPr>
          <w:rFonts w:ascii="Arial" w:hAnsi="Arial" w:cs="Arial"/>
          <w:b/>
          <w:bCs/>
          <w:sz w:val="22"/>
          <w:szCs w:val="22"/>
        </w:rPr>
        <w:t>SCFAs and BAs metabolic profiles</w:t>
      </w:r>
      <w:bookmarkEnd w:id="3"/>
      <w:r w:rsidRPr="00042940">
        <w:rPr>
          <w:rFonts w:ascii="Arial" w:hAnsi="Arial" w:cs="Arial"/>
          <w:b/>
          <w:bCs/>
          <w:sz w:val="22"/>
          <w:szCs w:val="22"/>
        </w:rPr>
        <w:t xml:space="preserve">. </w:t>
      </w:r>
      <w:r w:rsidRPr="00042940">
        <w:rPr>
          <w:rFonts w:ascii="Arial" w:hAnsi="Arial" w:cs="Arial"/>
          <w:sz w:val="22"/>
          <w:szCs w:val="22"/>
        </w:rPr>
        <w:t>The LDLR</w:t>
      </w:r>
      <w:r w:rsidRPr="00042940">
        <w:rPr>
          <w:rFonts w:ascii="Arial" w:hAnsi="Arial" w:cs="Arial"/>
          <w:sz w:val="22"/>
          <w:szCs w:val="22"/>
          <w:vertAlign w:val="superscript"/>
        </w:rPr>
        <w:t>-/-</w:t>
      </w:r>
      <w:r w:rsidRPr="00042940">
        <w:rPr>
          <w:rFonts w:ascii="Arial" w:hAnsi="Arial" w:cs="Arial"/>
          <w:sz w:val="22"/>
          <w:szCs w:val="22"/>
        </w:rPr>
        <w:t xml:space="preserve"> hamsters fed HFHC diet were given placebo or antibiotics for 12 weeks by a separate or cohousing approach (n = 6/group). The relative levels of SCFAs and BAs were detected by fecal and hepatic metabolomics. </w:t>
      </w:r>
      <w:r w:rsidRPr="00042940">
        <w:rPr>
          <w:rFonts w:ascii="Arial" w:hAnsi="Arial" w:cs="Arial"/>
          <w:b/>
          <w:bCs/>
          <w:sz w:val="22"/>
          <w:szCs w:val="22"/>
        </w:rPr>
        <w:t>A</w:t>
      </w:r>
      <w:r w:rsidRPr="00042940">
        <w:rPr>
          <w:rFonts w:ascii="Arial" w:hAnsi="Arial" w:cs="Arial"/>
          <w:sz w:val="22"/>
          <w:szCs w:val="22"/>
        </w:rPr>
        <w:t xml:space="preserve">. Fecal acetate content. </w:t>
      </w:r>
      <w:r w:rsidRPr="00042940">
        <w:rPr>
          <w:rFonts w:ascii="Arial" w:hAnsi="Arial" w:cs="Arial"/>
          <w:b/>
          <w:bCs/>
          <w:sz w:val="22"/>
          <w:szCs w:val="22"/>
        </w:rPr>
        <w:t>B</w:t>
      </w:r>
      <w:r w:rsidRPr="00042940">
        <w:rPr>
          <w:rFonts w:ascii="Arial" w:hAnsi="Arial" w:cs="Arial"/>
          <w:sz w:val="22"/>
          <w:szCs w:val="22"/>
        </w:rPr>
        <w:t xml:space="preserve">. Fecal propionate content. </w:t>
      </w:r>
      <w:r w:rsidRPr="00042940">
        <w:rPr>
          <w:rFonts w:ascii="Arial" w:hAnsi="Arial" w:cs="Arial"/>
          <w:b/>
          <w:bCs/>
          <w:sz w:val="22"/>
          <w:szCs w:val="22"/>
        </w:rPr>
        <w:t>C</w:t>
      </w:r>
      <w:r w:rsidRPr="00042940">
        <w:rPr>
          <w:rFonts w:ascii="Arial" w:hAnsi="Arial" w:cs="Arial"/>
          <w:sz w:val="22"/>
          <w:szCs w:val="22"/>
        </w:rPr>
        <w:t xml:space="preserve">. Fecal butyrate content. </w:t>
      </w:r>
      <w:r w:rsidRPr="00042940">
        <w:rPr>
          <w:rFonts w:ascii="Arial" w:hAnsi="Arial" w:cs="Arial"/>
          <w:b/>
          <w:bCs/>
          <w:sz w:val="22"/>
          <w:szCs w:val="22"/>
        </w:rPr>
        <w:t>D</w:t>
      </w:r>
      <w:r w:rsidRPr="00042940">
        <w:rPr>
          <w:rFonts w:ascii="Arial" w:hAnsi="Arial" w:cs="Arial"/>
          <w:sz w:val="22"/>
          <w:szCs w:val="22"/>
        </w:rPr>
        <w:t>. Fecal</w:t>
      </w:r>
      <w:r w:rsidR="009C012D">
        <w:rPr>
          <w:rFonts w:ascii="Arial" w:hAnsi="Arial" w:cs="Arial" w:hint="eastAsia"/>
          <w:b/>
          <w:bCs/>
          <w:sz w:val="22"/>
          <w:szCs w:val="22"/>
        </w:rPr>
        <w:t xml:space="preserve"> </w:t>
      </w:r>
      <w:r w:rsidRPr="00042940">
        <w:rPr>
          <w:rFonts w:ascii="Arial" w:hAnsi="Arial" w:cs="Arial"/>
          <w:sz w:val="22"/>
          <w:szCs w:val="22"/>
        </w:rPr>
        <w:t xml:space="preserve">indole-3-lactic acid content. </w:t>
      </w:r>
      <w:r w:rsidRPr="00042940">
        <w:rPr>
          <w:rFonts w:ascii="Arial" w:hAnsi="Arial" w:cs="Arial"/>
          <w:b/>
          <w:bCs/>
          <w:sz w:val="22"/>
          <w:szCs w:val="22"/>
        </w:rPr>
        <w:t>E</w:t>
      </w:r>
      <w:r w:rsidRPr="00042940">
        <w:rPr>
          <w:rFonts w:ascii="Arial" w:hAnsi="Arial" w:cs="Arial"/>
          <w:sz w:val="22"/>
          <w:szCs w:val="22"/>
        </w:rPr>
        <w:t xml:space="preserve">. Fecal 3-phenyllactic acid content. </w:t>
      </w:r>
      <w:r w:rsidRPr="00042940">
        <w:rPr>
          <w:rFonts w:ascii="Arial" w:hAnsi="Arial" w:cs="Arial"/>
          <w:b/>
          <w:bCs/>
          <w:sz w:val="22"/>
          <w:szCs w:val="22"/>
        </w:rPr>
        <w:t>F</w:t>
      </w:r>
      <w:r w:rsidRPr="00042940">
        <w:rPr>
          <w:rFonts w:ascii="Arial" w:hAnsi="Arial" w:cs="Arial"/>
          <w:sz w:val="22"/>
          <w:szCs w:val="22"/>
        </w:rPr>
        <w:t xml:space="preserve">. BA profiles in the liver. </w:t>
      </w:r>
      <w:r w:rsidRPr="00042940">
        <w:rPr>
          <w:rFonts w:ascii="Arial" w:hAnsi="Arial" w:cs="Arial"/>
          <w:b/>
          <w:bCs/>
          <w:sz w:val="22"/>
          <w:szCs w:val="22"/>
        </w:rPr>
        <w:t>G</w:t>
      </w:r>
      <w:r w:rsidRPr="00042940">
        <w:rPr>
          <w:rFonts w:ascii="Arial" w:hAnsi="Arial" w:cs="Arial"/>
          <w:sz w:val="22"/>
          <w:szCs w:val="22"/>
        </w:rPr>
        <w:t>. BA profiles in the feces. Data are expressed as mean ± SEM, analyzed by two-tailed Student’s t-test or one-way ANOVA with Tukey’s post-hoc test using Prism 8.0. *</w:t>
      </w:r>
      <w:r w:rsidRPr="00042940">
        <w:rPr>
          <w:rFonts w:ascii="Arial" w:hAnsi="Arial" w:cs="Arial"/>
          <w:i/>
          <w:iCs/>
          <w:sz w:val="22"/>
          <w:szCs w:val="22"/>
        </w:rPr>
        <w:t>P</w:t>
      </w:r>
      <w:r w:rsidRPr="00042940">
        <w:rPr>
          <w:rFonts w:ascii="Arial" w:hAnsi="Arial" w:cs="Arial"/>
          <w:sz w:val="22"/>
          <w:szCs w:val="22"/>
        </w:rPr>
        <w:t xml:space="preserve"> &lt; 0.05, **</w:t>
      </w:r>
      <w:r w:rsidRPr="00042940">
        <w:rPr>
          <w:rFonts w:ascii="Arial" w:hAnsi="Arial" w:cs="Arial"/>
          <w:i/>
          <w:iCs/>
          <w:sz w:val="22"/>
          <w:szCs w:val="22"/>
        </w:rPr>
        <w:t>P</w:t>
      </w:r>
      <w:r w:rsidRPr="00042940">
        <w:rPr>
          <w:rFonts w:ascii="Arial" w:hAnsi="Arial" w:cs="Arial"/>
          <w:sz w:val="22"/>
          <w:szCs w:val="22"/>
        </w:rPr>
        <w:t xml:space="preserve"> &lt; 0.01 and ***</w:t>
      </w:r>
      <w:r w:rsidRPr="00042940">
        <w:rPr>
          <w:rFonts w:ascii="Arial" w:hAnsi="Arial" w:cs="Arial"/>
          <w:i/>
          <w:iCs/>
          <w:sz w:val="22"/>
          <w:szCs w:val="22"/>
        </w:rPr>
        <w:t>P</w:t>
      </w:r>
      <w:r w:rsidRPr="00042940">
        <w:rPr>
          <w:rFonts w:ascii="Arial" w:hAnsi="Arial" w:cs="Arial"/>
          <w:sz w:val="22"/>
          <w:szCs w:val="22"/>
        </w:rPr>
        <w:t xml:space="preserve"> &lt; 0.001.</w:t>
      </w:r>
    </w:p>
    <w:p w14:paraId="556A71D6" w14:textId="77777777" w:rsidR="00CA0C8A" w:rsidRDefault="00CA0C8A"/>
    <w:sectPr w:rsidR="00CA0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A209" w14:textId="77777777" w:rsidR="00816738" w:rsidRDefault="00816738" w:rsidP="00FB3CB4">
      <w:r>
        <w:separator/>
      </w:r>
    </w:p>
  </w:endnote>
  <w:endnote w:type="continuationSeparator" w:id="0">
    <w:p w14:paraId="5B92BCE8" w14:textId="77777777" w:rsidR="00816738" w:rsidRDefault="00816738" w:rsidP="00FB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微软雅黑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39252" w14:textId="77777777" w:rsidR="00816738" w:rsidRDefault="00816738" w:rsidP="00FB3CB4">
      <w:r>
        <w:separator/>
      </w:r>
    </w:p>
  </w:footnote>
  <w:footnote w:type="continuationSeparator" w:id="0">
    <w:p w14:paraId="7D0D4C14" w14:textId="77777777" w:rsidR="00816738" w:rsidRDefault="00816738" w:rsidP="00FB3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24C2A"/>
    <w:multiLevelType w:val="hybridMultilevel"/>
    <w:tmpl w:val="B4B2B4EA"/>
    <w:lvl w:ilvl="0" w:tplc="D53A8E62">
      <w:start w:val="1"/>
      <w:numFmt w:val="upperLetter"/>
      <w:lvlText w:val="%1."/>
      <w:lvlJc w:val="left"/>
      <w:pPr>
        <w:ind w:left="360" w:hanging="360"/>
      </w:pPr>
      <w:rPr>
        <w:rFonts w:eastAsia="ArialMT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6435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D7"/>
    <w:rsid w:val="00034018"/>
    <w:rsid w:val="002743ED"/>
    <w:rsid w:val="00296B33"/>
    <w:rsid w:val="00816738"/>
    <w:rsid w:val="009C012D"/>
    <w:rsid w:val="009D1AD7"/>
    <w:rsid w:val="00C013A1"/>
    <w:rsid w:val="00CA0C8A"/>
    <w:rsid w:val="00EC6039"/>
    <w:rsid w:val="00FB3CB4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B31EA"/>
  <w15:chartTrackingRefBased/>
  <w15:docId w15:val="{FC62354C-6188-4F7F-B68B-63EB05AB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C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CB4"/>
    <w:rPr>
      <w:sz w:val="18"/>
      <w:szCs w:val="18"/>
    </w:rPr>
  </w:style>
  <w:style w:type="paragraph" w:customStyle="1" w:styleId="src">
    <w:name w:val="src"/>
    <w:basedOn w:val="a"/>
    <w:rsid w:val="00FB3C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 Guolin</dc:creator>
  <cp:keywords/>
  <dc:description/>
  <cp:lastModifiedBy>Miao Guolin</cp:lastModifiedBy>
  <cp:revision>6</cp:revision>
  <dcterms:created xsi:type="dcterms:W3CDTF">2022-12-15T11:39:00Z</dcterms:created>
  <dcterms:modified xsi:type="dcterms:W3CDTF">2022-12-15T14:22:00Z</dcterms:modified>
</cp:coreProperties>
</file>