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eastAsia="宋体" w:cs="Times New Roman"/>
          <w:i/>
          <w:iCs/>
          <w:kern w:val="0"/>
          <w:sz w:val="44"/>
          <w:szCs w:val="44"/>
          <w:lang w:bidi="ar"/>
        </w:rPr>
      </w:pPr>
      <w:r>
        <w:rPr>
          <w:rFonts w:hint="eastAsia" w:eastAsia="宋体" w:cs="Times New Roman"/>
          <w:i/>
          <w:iCs/>
          <w:kern w:val="0"/>
          <w:sz w:val="44"/>
          <w:szCs w:val="44"/>
          <w:lang w:bidi="ar"/>
        </w:rPr>
        <w:t>Supplementary Information</w:t>
      </w:r>
    </w:p>
    <w:p>
      <w:pPr>
        <w:ind w:firstLine="0" w:firstLineChars="0"/>
        <w:jc w:val="center"/>
        <w:rPr>
          <w:rFonts w:eastAsia="宋体" w:cs="Times New Roman"/>
          <w:kern w:val="0"/>
          <w:sz w:val="44"/>
          <w:szCs w:val="44"/>
          <w:lang w:bidi="ar"/>
        </w:rPr>
      </w:pPr>
      <w:r>
        <w:rPr>
          <w:rFonts w:eastAsia="宋体" w:cs="Times New Roman"/>
          <w:kern w:val="0"/>
          <w:sz w:val="44"/>
          <w:szCs w:val="44"/>
          <w:lang w:bidi="ar"/>
        </w:rPr>
        <w:t>F</w:t>
      </w:r>
      <w:r>
        <w:rPr>
          <w:rFonts w:hint="eastAsia" w:eastAsia="宋体" w:cs="Times New Roman"/>
          <w:kern w:val="0"/>
          <w:sz w:val="44"/>
          <w:szCs w:val="44"/>
          <w:lang w:bidi="ar"/>
        </w:rPr>
        <w:t>or</w:t>
      </w:r>
    </w:p>
    <w:p>
      <w:pPr>
        <w:pStyle w:val="13"/>
        <w:widowControl/>
        <w:rPr>
          <w:rFonts w:cs="Times New Roman"/>
          <w:kern w:val="0"/>
          <w:szCs w:val="20"/>
          <w:lang w:eastAsia="en-US"/>
        </w:rPr>
      </w:pPr>
      <w:r>
        <w:rPr>
          <w:rFonts w:cs="Times New Roman"/>
          <w:kern w:val="0"/>
          <w:szCs w:val="20"/>
          <w:lang w:eastAsia="en-US"/>
        </w:rPr>
        <w:t xml:space="preserve">Rapid oxidation </w:t>
      </w:r>
      <w:r>
        <w:rPr>
          <w:rFonts w:hint="eastAsia" w:cs="Times New Roman"/>
          <w:kern w:val="0"/>
          <w:szCs w:val="20"/>
          <w:lang w:eastAsia="en-US"/>
        </w:rPr>
        <w:t>o</w:t>
      </w:r>
      <w:r>
        <w:rPr>
          <w:rFonts w:cs="Times New Roman"/>
          <w:kern w:val="0"/>
          <w:szCs w:val="20"/>
          <w:lang w:eastAsia="en-US"/>
        </w:rPr>
        <w:t>f gasoline exhausts reveals marked impact</w:t>
      </w:r>
      <w:r>
        <w:rPr>
          <w:rFonts w:hint="eastAsia" w:cs="Times New Roman"/>
          <w:kern w:val="0"/>
          <w:szCs w:val="20"/>
          <w:lang w:eastAsia="en-US"/>
        </w:rPr>
        <w:t>s</w:t>
      </w:r>
      <w:r>
        <w:rPr>
          <w:rFonts w:cs="Times New Roman"/>
          <w:kern w:val="0"/>
          <w:szCs w:val="20"/>
          <w:lang w:eastAsia="en-US"/>
        </w:rPr>
        <w:t xml:space="preserve"> of transient conditions on potential of secondary organic aerosol production</w:t>
      </w:r>
    </w:p>
    <w:p>
      <w:pPr>
        <w:pStyle w:val="14"/>
        <w:ind w:firstLine="0" w:firstLineChars="0"/>
        <w:jc w:val="left"/>
      </w:pPr>
      <w:r>
        <w:rPr>
          <w:rFonts w:hint="eastAsia" w:cs="Times"/>
        </w:rPr>
        <w:t>Jinsheng Zhang</w:t>
      </w:r>
      <w:r>
        <w:rPr>
          <w:rFonts w:hint="eastAsia" w:cs="Times"/>
          <w:vertAlign w:val="superscript"/>
        </w:rPr>
        <w:t>1</w:t>
      </w:r>
      <w:r>
        <w:rPr>
          <w:rFonts w:hint="eastAsia" w:cs="Times"/>
        </w:rPr>
        <w:t>, Jianfei Peng</w:t>
      </w:r>
      <w:r>
        <w:rPr>
          <w:rFonts w:hint="eastAsia" w:cs="Times"/>
          <w:vertAlign w:val="superscript"/>
        </w:rPr>
        <w:t>1,*</w:t>
      </w:r>
      <w:r>
        <w:rPr>
          <w:rFonts w:hint="eastAsia" w:cs="Times"/>
        </w:rPr>
        <w:t>, Ainan Song</w:t>
      </w:r>
      <w:r>
        <w:rPr>
          <w:rFonts w:hint="eastAsia" w:cs="Times"/>
          <w:vertAlign w:val="superscript"/>
        </w:rPr>
        <w:t>1</w:t>
      </w:r>
      <w:r>
        <w:rPr>
          <w:rFonts w:hint="eastAsia" w:cs="Times"/>
        </w:rPr>
        <w:t>, Zongyan Lv</w:t>
      </w:r>
      <w:r>
        <w:rPr>
          <w:rFonts w:hint="eastAsia" w:cs="Times"/>
          <w:vertAlign w:val="superscript"/>
        </w:rPr>
        <w:t>1</w:t>
      </w:r>
      <w:r>
        <w:rPr>
          <w:rFonts w:hint="eastAsia" w:cs="Times"/>
        </w:rPr>
        <w:t>, Hui Tong</w:t>
      </w:r>
      <w:r>
        <w:rPr>
          <w:rFonts w:hint="eastAsia" w:cs="Times"/>
          <w:vertAlign w:val="superscript"/>
        </w:rPr>
        <w:t>1</w:t>
      </w:r>
      <w:r>
        <w:rPr>
          <w:rFonts w:hint="eastAsia" w:cs="Times"/>
        </w:rPr>
        <w:t>, Zhuofei Du</w:t>
      </w:r>
      <w:r>
        <w:rPr>
          <w:rFonts w:hint="eastAsia" w:cs="Times"/>
          <w:vertAlign w:val="superscript"/>
        </w:rPr>
        <w:t>1</w:t>
      </w:r>
      <w:r>
        <w:rPr>
          <w:rFonts w:hint="eastAsia" w:cs="Times"/>
        </w:rPr>
        <w:t>, Jiliang Guo</w:t>
      </w:r>
      <w:r>
        <w:rPr>
          <w:rFonts w:hint="eastAsia" w:cs="Times"/>
          <w:vertAlign w:val="superscript"/>
        </w:rPr>
        <w:t>1</w:t>
      </w:r>
      <w:r>
        <w:rPr>
          <w:rFonts w:hint="eastAsia" w:cs="Times"/>
        </w:rPr>
        <w:t>, Lin Wu</w:t>
      </w:r>
      <w:r>
        <w:rPr>
          <w:rFonts w:hint="eastAsia" w:cs="Times"/>
          <w:vertAlign w:val="superscript"/>
        </w:rPr>
        <w:t>1</w:t>
      </w:r>
      <w:r>
        <w:rPr>
          <w:rFonts w:hint="eastAsia" w:cs="Times"/>
        </w:rPr>
        <w:t>,</w:t>
      </w:r>
      <w:r>
        <w:rPr>
          <w:rFonts w:hint="eastAsia"/>
        </w:rPr>
        <w:t xml:space="preserve"> </w:t>
      </w:r>
      <w:r>
        <w:rPr>
          <w:rFonts w:hint="eastAsia" w:cs="Times"/>
        </w:rPr>
        <w:t>Ting Wang</w:t>
      </w:r>
      <w:r>
        <w:rPr>
          <w:rFonts w:hint="eastAsia" w:cs="Times"/>
          <w:vertAlign w:val="superscript"/>
        </w:rPr>
        <w:t>1</w:t>
      </w:r>
      <w:r>
        <w:rPr>
          <w:rFonts w:hint="eastAsia" w:cs="Times"/>
        </w:rPr>
        <w:t xml:space="preserve">, </w:t>
      </w:r>
      <w:r>
        <w:rPr>
          <w:rFonts w:cs="Times"/>
        </w:rPr>
        <w:t>M</w:t>
      </w:r>
      <w:r>
        <w:rPr>
          <w:rFonts w:hint="eastAsia" w:cs="Times"/>
        </w:rPr>
        <w:t>at</w:t>
      </w:r>
      <w:r>
        <w:rPr>
          <w:rFonts w:cs="Times"/>
        </w:rPr>
        <w:t>tias Hallquist</w:t>
      </w:r>
      <w:r>
        <w:rPr>
          <w:rFonts w:cs="Times"/>
          <w:vertAlign w:val="superscript"/>
        </w:rPr>
        <w:t>2</w:t>
      </w:r>
      <w:r>
        <w:rPr>
          <w:rFonts w:hint="eastAsia" w:cs="Times"/>
        </w:rPr>
        <w:t>,</w:t>
      </w:r>
      <w:r>
        <w:rPr>
          <w:rFonts w:cs="Times"/>
        </w:rPr>
        <w:t xml:space="preserve"> </w:t>
      </w:r>
      <w:r>
        <w:rPr>
          <w:rFonts w:hint="eastAsia" w:cs="Times"/>
        </w:rPr>
        <w:t>Hongjun Mao</w:t>
      </w:r>
      <w:r>
        <w:rPr>
          <w:rFonts w:hint="eastAsia" w:cs="Times"/>
          <w:vertAlign w:val="superscript"/>
        </w:rPr>
        <w:t>1</w:t>
      </w:r>
    </w:p>
    <w:p>
      <w:pPr>
        <w:pStyle w:val="14"/>
        <w:ind w:firstLine="0" w:firstLineChars="0"/>
        <w:jc w:val="both"/>
      </w:pPr>
    </w:p>
    <w:p>
      <w:pPr>
        <w:pStyle w:val="15"/>
        <w:ind w:firstLine="0" w:firstLineChars="0"/>
        <w:jc w:val="left"/>
      </w:pPr>
      <w:r>
        <w:t>1 Tianjin Key Laboratory of Urban Transport Emission Research &amp; State Environmental Protection Key Laboratory of Urban Ambient Air Particulate Matter Pollution Prevention and Control, College of Environmental Science and Engineering, Nankai University, Tianjin 300071, China;</w:t>
      </w:r>
    </w:p>
    <w:p>
      <w:pPr>
        <w:pStyle w:val="16"/>
        <w:ind w:firstLine="0" w:firstLineChars="0"/>
      </w:pPr>
      <w:r>
        <w:rPr>
          <w:rFonts w:hint="eastAsia"/>
        </w:rPr>
        <w:t>2</w:t>
      </w:r>
      <w:r>
        <w:t xml:space="preserve"> Department of Chemistry and Molecular Biology, University of Gothenburg, 41296 Gothenburg,</w:t>
      </w:r>
      <w:r>
        <w:rPr>
          <w:rFonts w:hint="eastAsia"/>
        </w:rPr>
        <w:t xml:space="preserve"> </w:t>
      </w:r>
      <w:r>
        <w:t>Sweden.</w:t>
      </w:r>
    </w:p>
    <w:p>
      <w:pPr>
        <w:pStyle w:val="17"/>
        <w:ind w:firstLine="0" w:firstLineChars="0"/>
        <w:rPr>
          <w:b w:val="0"/>
        </w:rPr>
      </w:pPr>
      <w:r>
        <w:rPr>
          <w:b w:val="0"/>
        </w:rPr>
        <w:t>*Correspondence: J</w:t>
      </w:r>
      <w:r>
        <w:rPr>
          <w:rFonts w:hint="eastAsia"/>
          <w:b w:val="0"/>
        </w:rPr>
        <w:t>i</w:t>
      </w:r>
      <w:r>
        <w:rPr>
          <w:b w:val="0"/>
        </w:rPr>
        <w:t>anfei Peng (pengjianfei@nankai.edu.cn.)</w:t>
      </w:r>
    </w:p>
    <w:p>
      <w:pPr>
        <w:pStyle w:val="16"/>
        <w:ind w:firstLine="480"/>
      </w:pPr>
    </w:p>
    <w:p>
      <w:pPr>
        <w:pStyle w:val="16"/>
        <w:ind w:firstLine="480"/>
      </w:pPr>
    </w:p>
    <w:p>
      <w:pPr>
        <w:pStyle w:val="17"/>
        <w:ind w:firstLine="482"/>
      </w:pPr>
    </w:p>
    <w:p>
      <w:pPr>
        <w:pStyle w:val="18"/>
        <w:ind w:firstLine="480"/>
      </w:pPr>
    </w:p>
    <w:p>
      <w:pPr>
        <w:pStyle w:val="19"/>
        <w:ind w:firstLine="480"/>
      </w:pPr>
    </w:p>
    <w:p>
      <w:pPr>
        <w:pStyle w:val="17"/>
        <w:spacing w:after="0"/>
        <w:ind w:firstLine="0" w:firstLineChars="0"/>
      </w:pPr>
      <w:r>
        <w:rPr>
          <w:rFonts w:hint="eastAsia"/>
        </w:rPr>
        <w:t>This file includes:</w:t>
      </w:r>
    </w:p>
    <w:p>
      <w:pPr>
        <w:pStyle w:val="17"/>
        <w:spacing w:after="0"/>
        <w:ind w:firstLine="0" w:firstLineChars="0"/>
        <w:rPr>
          <w:b w:val="0"/>
          <w:bCs/>
        </w:rPr>
      </w:pPr>
      <w:r>
        <w:rPr>
          <w:rFonts w:hint="eastAsia"/>
          <w:b w:val="0"/>
          <w:bCs/>
        </w:rPr>
        <w:t xml:space="preserve">Supporting </w:t>
      </w:r>
      <w:r>
        <w:rPr>
          <w:b w:val="0"/>
          <w:bCs/>
        </w:rPr>
        <w:t>T</w:t>
      </w:r>
      <w:r>
        <w:rPr>
          <w:rFonts w:hint="eastAsia"/>
          <w:b w:val="0"/>
          <w:bCs/>
        </w:rPr>
        <w:t>ext</w:t>
      </w:r>
      <w:r>
        <w:rPr>
          <w:b w:val="0"/>
          <w:bCs/>
        </w:rPr>
        <w:t xml:space="preserve"> S1-S2</w:t>
      </w:r>
    </w:p>
    <w:p>
      <w:pPr>
        <w:pStyle w:val="17"/>
        <w:spacing w:after="0"/>
        <w:ind w:firstLine="0" w:firstLineChars="0"/>
        <w:rPr>
          <w:b w:val="0"/>
          <w:bCs/>
        </w:rPr>
      </w:pPr>
      <w:r>
        <w:rPr>
          <w:rFonts w:hint="eastAsia"/>
          <w:b w:val="0"/>
          <w:bCs/>
        </w:rPr>
        <w:t>Supporting Table S1-S2</w:t>
      </w:r>
    </w:p>
    <w:p>
      <w:pPr>
        <w:pStyle w:val="17"/>
        <w:spacing w:after="0"/>
        <w:ind w:firstLine="0" w:firstLineChars="0"/>
        <w:rPr>
          <w:b w:val="0"/>
          <w:bCs/>
        </w:rPr>
      </w:pPr>
      <w:r>
        <w:rPr>
          <w:rFonts w:hint="eastAsia"/>
          <w:b w:val="0"/>
          <w:bCs/>
        </w:rPr>
        <w:t>Supporting Figure S1-S21</w:t>
      </w:r>
    </w:p>
    <w:p>
      <w:pPr>
        <w:pStyle w:val="17"/>
        <w:spacing w:after="0"/>
        <w:ind w:firstLine="0" w:firstLineChars="0"/>
        <w:rPr>
          <w:b w:val="0"/>
          <w:bCs/>
        </w:rPr>
      </w:pPr>
      <w:r>
        <w:rPr>
          <w:rFonts w:hint="eastAsia"/>
          <w:b w:val="0"/>
          <w:bCs/>
        </w:rPr>
        <w:t>Supporting references</w:t>
      </w:r>
    </w:p>
    <w:p>
      <w:pPr>
        <w:pStyle w:val="18"/>
        <w:ind w:firstLine="0" w:firstLineChars="0"/>
        <w:rPr>
          <w:b/>
          <w:bCs/>
        </w:rPr>
      </w:pPr>
      <w:r>
        <w:rPr>
          <w:rFonts w:hint="eastAsia"/>
          <w:b/>
          <w:bCs/>
        </w:rPr>
        <w:t xml:space="preserve">Text </w:t>
      </w:r>
      <w:r>
        <w:rPr>
          <w:b/>
          <w:bCs/>
        </w:rPr>
        <w:t>S</w:t>
      </w:r>
      <w:r>
        <w:rPr>
          <w:rFonts w:hint="eastAsia"/>
          <w:b/>
          <w:bCs/>
        </w:rPr>
        <w:t>1. A fast response flow reactor sys</w:t>
      </w:r>
      <w:r>
        <w:rPr>
          <w:b/>
          <w:bCs/>
        </w:rPr>
        <w:t xml:space="preserve">tem </w:t>
      </w:r>
      <w:r>
        <w:rPr>
          <w:rFonts w:hint="eastAsia"/>
          <w:b/>
          <w:bCs/>
        </w:rPr>
        <w:t>for photochemical oxidation</w:t>
      </w:r>
    </w:p>
    <w:p>
      <w:pPr>
        <w:pStyle w:val="19"/>
        <w:ind w:firstLine="480"/>
      </w:pPr>
      <w:r>
        <w:rPr>
          <w:rFonts w:hint="eastAsia"/>
        </w:rPr>
        <w:t>The SOA formation from the vehicle emission is investigated through an improved oxidative flow reactor （referred to as Veh-OFR） by exposing the sampled diluted exhaust to high levels of oxidants</w:t>
      </w:r>
      <w:r>
        <w:t>. A</w:t>
      </w:r>
      <w:r>
        <w:rPr>
          <w:rFonts w:hint="eastAsia"/>
        </w:rPr>
        <w:t>s</w:t>
      </w:r>
      <w:r>
        <w:t xml:space="preserve"> shown in Fig. S11, the </w:t>
      </w:r>
      <w:r>
        <w:rPr>
          <w:rFonts w:hint="eastAsia" w:cs="Times"/>
        </w:rPr>
        <w:t>Veh-OFR</w:t>
      </w:r>
      <w:r>
        <w:t xml:space="preserve"> reactor is a 6.8 L vertical quartz glass cylindrical tube (98 cm long and 9.4 cm internal diameter). The entrance and end of the reactor are sealed with Teflon caps having facilities for entering or extracting gases and particles. </w:t>
      </w:r>
      <w:bookmarkStart w:id="0" w:name="_Hlk116375556"/>
      <w:r>
        <w:t xml:space="preserve">The injection flow is divided into sheath flow and sample flow. </w:t>
      </w:r>
      <w:bookmarkEnd w:id="0"/>
      <w:bookmarkStart w:id="1" w:name="_Hlk116375626"/>
      <w:r>
        <w:t>The sample flow consists of the seed aerosol and diluted exhaust, while the sheath flow mixes the ozone and humid air. The residence time of sampled air is regulated by the flow rate inside the flow reactor. F</w:t>
      </w:r>
      <w:r>
        <w:rPr>
          <w:rFonts w:hint="eastAsia"/>
        </w:rPr>
        <w:t>o</w:t>
      </w:r>
      <w:r>
        <w:t xml:space="preserve">r the tests in this study, the total flow rate through the </w:t>
      </w:r>
      <w:r>
        <w:rPr>
          <w:rFonts w:hint="eastAsia"/>
        </w:rPr>
        <w:t>Veh-</w:t>
      </w:r>
      <w:r>
        <w:t xml:space="preserve">OFR reactor is set as </w:t>
      </w:r>
      <w:r>
        <w:rPr>
          <w:rFonts w:hint="eastAsia"/>
        </w:rPr>
        <w:t>15</w:t>
      </w:r>
      <w:r>
        <w:t xml:space="preserve"> L min</w:t>
      </w:r>
      <w:r>
        <w:rPr>
          <w:vertAlign w:val="superscript"/>
        </w:rPr>
        <w:t>–1</w:t>
      </w:r>
      <w:r>
        <w:t xml:space="preserve"> with a residence time of 37s (Fig. S12). </w:t>
      </w:r>
      <w:bookmarkEnd w:id="1"/>
      <w:r>
        <w:rPr>
          <w:rFonts w:hint="eastAsia"/>
        </w:rPr>
        <w:t>The</w:t>
      </w:r>
      <w:r>
        <w:t xml:space="preserve"> temperature inside the reactor is</w:t>
      </w:r>
      <w:r>
        <w:rPr>
          <w:rFonts w:hint="eastAsia"/>
        </w:rPr>
        <w:t xml:space="preserve"> </w:t>
      </w:r>
      <w:r>
        <w:t>maintained at 298 K</w:t>
      </w:r>
      <w:r>
        <w:rPr>
          <w:rFonts w:hint="eastAsia"/>
        </w:rPr>
        <w:t xml:space="preserve"> by circulated compressed air cooling through a high-volume fan. The RH </w:t>
      </w:r>
      <w:r>
        <w:t xml:space="preserve">inside </w:t>
      </w:r>
      <w:r>
        <w:rPr>
          <w:rFonts w:hint="eastAsia"/>
        </w:rPr>
        <w:t xml:space="preserve">the OFR </w:t>
      </w:r>
      <w:r>
        <w:t>i</w:t>
      </w:r>
      <w:r>
        <w:rPr>
          <w:rFonts w:hint="eastAsia"/>
        </w:rPr>
        <w:t xml:space="preserve">s </w:t>
      </w:r>
      <w:r>
        <w:t>in the range of</w:t>
      </w:r>
      <w:r>
        <w:rPr>
          <w:rFonts w:hint="eastAsia"/>
        </w:rPr>
        <w:t xml:space="preserve"> 35%</w:t>
      </w:r>
      <w:r>
        <w:t>-40%</w:t>
      </w:r>
      <w:r>
        <w:rPr>
          <w:rFonts w:hint="eastAsia"/>
        </w:rPr>
        <w:t xml:space="preserve"> by controlling the flow </w:t>
      </w:r>
      <w:r>
        <w:t xml:space="preserve">ratio </w:t>
      </w:r>
      <w:r>
        <w:rPr>
          <w:rFonts w:hint="eastAsia"/>
        </w:rPr>
        <w:t xml:space="preserve">of dry and wet zero air into the OFR. </w:t>
      </w:r>
    </w:p>
    <w:p>
      <w:pPr>
        <w:pStyle w:val="19"/>
        <w:ind w:firstLine="420" w:firstLineChars="0"/>
      </w:pPr>
      <w:r>
        <w:rPr>
          <w:rFonts w:hint="eastAsia"/>
        </w:rPr>
        <w:t>The timescale of SOA formation inside the reactor consists of (1) physical dispersion</w:t>
      </w:r>
      <w:r>
        <w:t xml:space="preserve"> time</w:t>
      </w:r>
      <w:r>
        <w:rPr>
          <w:rFonts w:hint="eastAsia"/>
        </w:rPr>
        <w:t>, (2) gas-phase oxidation</w:t>
      </w:r>
      <w:r>
        <w:t xml:space="preserve"> time</w:t>
      </w:r>
      <w:r>
        <w:rPr>
          <w:rFonts w:hint="eastAsia"/>
        </w:rPr>
        <w:t>, and (3) gas-particle equilibration</w:t>
      </w:r>
      <w:r>
        <w:t xml:space="preserve"> time</w:t>
      </w:r>
      <w:r>
        <w:rPr>
          <w:rFonts w:hint="eastAsia"/>
        </w:rPr>
        <w:t xml:space="preserve">. Therefore, it is expected to shorten the timescales of these processes to achieve </w:t>
      </w:r>
      <w:r>
        <w:t>rapid</w:t>
      </w:r>
      <w:r>
        <w:rPr>
          <w:rFonts w:hint="eastAsia"/>
        </w:rPr>
        <w:t xml:space="preserve"> SOA formation. </w:t>
      </w:r>
    </w:p>
    <w:p>
      <w:pPr>
        <w:pStyle w:val="19"/>
        <w:ind w:firstLine="480"/>
      </w:pPr>
      <w:r>
        <w:t>In the reactor tube, axial diffusion is unavoidable, which will cause a delay in the gas or particle flow peak. The timescale of physical dispersion is determined by the extent of laminar flow. In Veh-OFR, the laminar extent of flow is quantified by a CO pulse.</w:t>
      </w:r>
      <w:r>
        <w:rPr>
          <w:rFonts w:hint="eastAsia"/>
        </w:rPr>
        <w:t xml:space="preserve"> As shown in Fig. S</w:t>
      </w:r>
      <w:r>
        <w:t>1</w:t>
      </w:r>
      <w:r>
        <w:rPr>
          <w:rFonts w:hint="eastAsia"/>
        </w:rPr>
        <w:t>2, due to the type of turbulence flow, the PAM reactor has a long tailing of the peak, which si</w:t>
      </w:r>
      <w:r>
        <w:t>gnificantly limits</w:t>
      </w:r>
      <w:r>
        <w:rPr>
          <w:rFonts w:hint="eastAsia"/>
        </w:rPr>
        <w:t xml:space="preserve"> identifying continuous </w:t>
      </w:r>
      <w:r>
        <w:t xml:space="preserve">pulse </w:t>
      </w:r>
      <w:r>
        <w:rPr>
          <w:rFonts w:hint="eastAsia"/>
        </w:rPr>
        <w:t xml:space="preserve">changes in precursor </w:t>
      </w:r>
      <w:r>
        <w:t xml:space="preserve">gaseous </w:t>
      </w:r>
      <w:r>
        <w:rPr>
          <w:rFonts w:hint="eastAsia"/>
        </w:rPr>
        <w:t xml:space="preserve">input. By comparison, the Go: PAM </w:t>
      </w:r>
      <w:r>
        <w:t xml:space="preserve">(Gothenburg Potential Aerosol Mass Reactor, Go: PAM) </w:t>
      </w:r>
      <w:r>
        <w:rPr>
          <w:rFonts w:hint="eastAsia"/>
        </w:rPr>
        <w:t xml:space="preserve">and Veh-OFR have shorter tailing, suggesting </w:t>
      </w:r>
      <w:r>
        <w:t>a</w:t>
      </w:r>
      <w:r>
        <w:rPr>
          <w:rFonts w:hint="eastAsia"/>
        </w:rPr>
        <w:t xml:space="preserve"> </w:t>
      </w:r>
      <w:r>
        <w:t>greater</w:t>
      </w:r>
      <w:r>
        <w:rPr>
          <w:rFonts w:hint="eastAsia"/>
        </w:rPr>
        <w:t xml:space="preserve"> laminar extent</w:t>
      </w:r>
      <w:r>
        <w:t>,</w:t>
      </w:r>
      <w:r>
        <w:rPr>
          <w:rFonts w:hint="eastAsia"/>
        </w:rPr>
        <w:t xml:space="preserve"> which is conducive to decreas</w:t>
      </w:r>
      <w:r>
        <w:t>ing</w:t>
      </w:r>
      <w:r>
        <w:rPr>
          <w:rFonts w:hint="eastAsia"/>
        </w:rPr>
        <w:t xml:space="preserve"> the timescale of physical dispersion.</w:t>
      </w:r>
      <w:r>
        <w:t xml:space="preserve"> In particular, for the Veh-OFR reactor, by adjusting the flow rate ratio of sample flow and sheath flow, an isokinetic injection of sample flow and sheath flow is achieved, further enhancing the laminar extent. Therefore, the outlet CO peak of the </w:t>
      </w:r>
      <w:r>
        <w:rPr>
          <w:rFonts w:hint="eastAsia"/>
        </w:rPr>
        <w:t>Veh-OFR</w:t>
      </w:r>
      <w:r>
        <w:t xml:space="preserve"> reactor performs more symmetry than other rectors, showing better laminar flow performance. Furthermore, continuous particle pulse measurements are conducted to quantify the time response of the Veh-OFR reactor for axial diffusion. As shown in Fig. S13, the Veh-OFR reactor can distinguish the changes of injection flow pulses in 10s.</w:t>
      </w:r>
    </w:p>
    <w:p>
      <w:pPr>
        <w:pStyle w:val="19"/>
        <w:ind w:firstLine="480"/>
      </w:pPr>
      <w:r>
        <w:rPr>
          <w:rFonts w:hint="eastAsia"/>
        </w:rPr>
        <w:t xml:space="preserve">The timescale of the gas-phase oxidation process depends on the OH exposure within the reactor. </w:t>
      </w:r>
      <w:r>
        <w:t xml:space="preserve">To improve the oxidant production capacity, the Veh-OFR reactor is equipped with eight Philips UVC 45 W fluorescent lamps (λ = 254 nm). </w:t>
      </w:r>
      <w:r>
        <w:rPr>
          <w:rFonts w:cs="Times"/>
        </w:rPr>
        <w:t>W</w:t>
      </w:r>
      <w:r>
        <w:rPr>
          <w:rFonts w:hint="eastAsia" w:cs="Times"/>
        </w:rPr>
        <w:t>e use SO</w:t>
      </w:r>
      <w:r>
        <w:rPr>
          <w:rFonts w:hint="eastAsia" w:cs="Times"/>
          <w:vertAlign w:val="subscript"/>
        </w:rPr>
        <w:t>2</w:t>
      </w:r>
      <w:r>
        <w:rPr>
          <w:rFonts w:hint="eastAsia"/>
        </w:rPr>
        <w:t xml:space="preserve"> </w:t>
      </w:r>
      <w:r>
        <w:rPr>
          <w:rFonts w:hint="eastAsia" w:cs="Times"/>
        </w:rPr>
        <w:t>as a surrogate to estimate the OH production capacity of the reactor system, obtaining an upper bound value. The result shows that the maximum OH exposure of the reactor at 15 L min</w:t>
      </w:r>
      <w:r>
        <w:rPr>
          <w:rFonts w:hint="eastAsia" w:cs="Times"/>
          <w:vertAlign w:val="superscript"/>
        </w:rPr>
        <w:t>-1</w:t>
      </w:r>
      <w:r>
        <w:rPr>
          <w:rFonts w:hint="eastAsia"/>
        </w:rPr>
        <w:t xml:space="preserve"> </w:t>
      </w:r>
      <w:r>
        <w:rPr>
          <w:rFonts w:hint="eastAsia" w:cs="Times"/>
        </w:rPr>
        <w:t xml:space="preserve">is </w:t>
      </w:r>
      <w:r>
        <w:rPr>
          <w:rFonts w:cs="Times"/>
        </w:rPr>
        <w:t>3</w:t>
      </w:r>
      <w:r>
        <w:rPr>
          <w:rFonts w:hint="eastAsia" w:cs="Times"/>
        </w:rPr>
        <w:t>.0</w:t>
      </w:r>
      <w:r>
        <w:t>×</w:t>
      </w:r>
      <w:r>
        <w:rPr>
          <w:rFonts w:hint="eastAsia" w:cs="Times"/>
        </w:rPr>
        <w:t>10</w:t>
      </w:r>
      <w:r>
        <w:rPr>
          <w:rFonts w:hint="eastAsia" w:cs="Times"/>
          <w:vertAlign w:val="superscript"/>
        </w:rPr>
        <w:t>12</w:t>
      </w:r>
      <w:r>
        <w:rPr>
          <w:rFonts w:hint="eastAsia"/>
        </w:rPr>
        <w:t xml:space="preserve"> </w:t>
      </w:r>
      <w:r>
        <w:rPr>
          <w:rFonts w:hint="eastAsia" w:cs="Times"/>
        </w:rPr>
        <w:t>molec. s cm</w:t>
      </w:r>
      <w:r>
        <w:rPr>
          <w:rFonts w:hint="eastAsia" w:cs="Times"/>
          <w:vertAlign w:val="superscript"/>
        </w:rPr>
        <w:t>-3</w:t>
      </w:r>
      <w:r>
        <w:rPr>
          <w:rFonts w:hint="eastAsia" w:cs="Times"/>
        </w:rPr>
        <w:t xml:space="preserve">, which is equivalent to </w:t>
      </w:r>
      <w:r>
        <w:rPr>
          <w:rFonts w:cs="Times"/>
        </w:rPr>
        <w:t>23.5</w:t>
      </w:r>
      <w:r>
        <w:rPr>
          <w:rFonts w:hint="eastAsia" w:cs="Times"/>
        </w:rPr>
        <w:t xml:space="preserve"> days of atmospheric photochemical oxidation.</w:t>
      </w:r>
      <w:r>
        <w:rPr>
          <w:rFonts w:cs="Times"/>
        </w:rPr>
        <w:t xml:space="preserve"> Such a level of OH exposure production can be against more external OH reactivities in the vehicle exhaust</w:t>
      </w:r>
      <w:r>
        <w:rPr>
          <w:rFonts w:hint="eastAsia" w:cs="Times"/>
        </w:rPr>
        <w:t>.</w:t>
      </w:r>
      <w:r>
        <w:rPr>
          <w:rStyle w:val="11"/>
          <w:rFonts w:cs="Times"/>
        </w:rPr>
        <w:endnoteReference w:id="0"/>
      </w:r>
      <w:r>
        <w:rPr>
          <w:rFonts w:cs="Times"/>
        </w:rPr>
        <w:t xml:space="preserve"> </w:t>
      </w:r>
      <w:r>
        <w:rPr>
          <w:rFonts w:hint="eastAsia"/>
        </w:rPr>
        <w:t xml:space="preserve">Meanwhile, </w:t>
      </w:r>
      <w:r>
        <w:t>considering</w:t>
      </w:r>
      <w:r>
        <w:rPr>
          <w:rFonts w:hint="eastAsia"/>
        </w:rPr>
        <w:t xml:space="preserve"> the fragmentation of aged vapors, this oxidation range should have an upper limit</w:t>
      </w:r>
      <w:r>
        <w:t>, especially for the latest emission standard vehicle test</w:t>
      </w:r>
      <w:r>
        <w:rPr>
          <w:rFonts w:hint="eastAsia"/>
        </w:rPr>
        <w:t xml:space="preserve">. Thus, a relative excess of oxidant concentration </w:t>
      </w:r>
      <w:r>
        <w:t>is generated</w:t>
      </w:r>
      <w:r>
        <w:rPr>
          <w:rFonts w:hint="eastAsia"/>
        </w:rPr>
        <w:t xml:space="preserve"> in the </w:t>
      </w:r>
      <w:r>
        <w:t xml:space="preserve">reactor during the </w:t>
      </w:r>
      <w:r>
        <w:rPr>
          <w:rFonts w:hint="eastAsia"/>
        </w:rPr>
        <w:t>vehicle test</w:t>
      </w:r>
      <w:r>
        <w:t>s</w:t>
      </w:r>
      <w:r>
        <w:rPr>
          <w:rFonts w:hint="eastAsia"/>
        </w:rPr>
        <w:t>, approximately equal</w:t>
      </w:r>
      <w:r>
        <w:t>ing</w:t>
      </w:r>
      <w:r>
        <w:rPr>
          <w:rFonts w:hint="eastAsia"/>
        </w:rPr>
        <w:t xml:space="preserve"> 2.4 to 6.8 days of atmospheric oxidation. </w:t>
      </w:r>
    </w:p>
    <w:p>
      <w:pPr>
        <w:pStyle w:val="19"/>
        <w:ind w:firstLine="480"/>
      </w:pPr>
      <w:r>
        <w:rPr>
          <w:rFonts w:hint="eastAsia"/>
        </w:rPr>
        <w:t>Another important factor driving</w:t>
      </w:r>
      <w:r>
        <w:t xml:space="preserve"> rapid SOA formation</w:t>
      </w:r>
      <w:r>
        <w:rPr>
          <w:rFonts w:hint="eastAsia"/>
        </w:rPr>
        <w:t xml:space="preserve"> is the </w:t>
      </w:r>
      <w:r>
        <w:t>timescale</w:t>
      </w:r>
      <w:r>
        <w:rPr>
          <w:rFonts w:hint="eastAsia"/>
        </w:rPr>
        <w:t xml:space="preserve"> of gas-particle equilibrium, which is determined by the condensation sink </w:t>
      </w:r>
      <w:r>
        <w:t>(CS) inside</w:t>
      </w:r>
      <w:r>
        <w:rPr>
          <w:rFonts w:hint="eastAsia"/>
        </w:rPr>
        <w:t xml:space="preserve"> the reactor. Previous studies have shown that the </w:t>
      </w:r>
      <w:r>
        <w:t>CS</w:t>
      </w:r>
      <w:r>
        <w:rPr>
          <w:rFonts w:hint="eastAsia"/>
        </w:rPr>
        <w:t xml:space="preserve"> can lead to an </w:t>
      </w:r>
      <w:r>
        <w:rPr>
          <w:rStyle w:val="20"/>
          <w:rFonts w:hint="eastAsia"/>
        </w:rPr>
        <w:t>order of magnitude variation in SOA yield in the</w:t>
      </w:r>
      <w:r>
        <w:rPr>
          <w:rFonts w:hint="eastAsia"/>
        </w:rPr>
        <w:t xml:space="preserve"> OFR photochemical oxidation of vehicle exhaust.</w:t>
      </w:r>
      <w:bookmarkStart w:id="2" w:name="_Ref115599395"/>
      <w:r>
        <w:rPr>
          <w:rStyle w:val="11"/>
          <w:rFonts w:cs="Times"/>
        </w:rPr>
        <w:endnoteReference w:id="1"/>
      </w:r>
      <w:bookmarkEnd w:id="2"/>
      <w:r>
        <w:rPr>
          <w:rFonts w:cs="Times"/>
          <w:vertAlign w:val="superscript"/>
        </w:rPr>
        <w:t>,</w:t>
      </w:r>
      <w:bookmarkStart w:id="3" w:name="_Ref115599429"/>
      <w:r>
        <w:rPr>
          <w:rStyle w:val="11"/>
          <w:rFonts w:cs="Times"/>
        </w:rPr>
        <w:endnoteReference w:id="2"/>
      </w:r>
      <w:bookmarkEnd w:id="3"/>
      <w:r>
        <w:rPr>
          <w:rFonts w:hint="eastAsia"/>
        </w:rPr>
        <w:t xml:space="preserve"> </w:t>
      </w:r>
      <w:r>
        <w:t>It will not be able to obtain the real SOA production pulse with a large fluctuation of CS inside the reactor. In this study, a constant seed aerosol flow is introduced into the Veh-OFR reactor during the photochemical simulation of the vehicle tests, providing a steady and sufficient CS level. The seed aerosol (~280 µg m</w:t>
      </w:r>
      <w:r>
        <w:rPr>
          <w:vertAlign w:val="superscript"/>
        </w:rPr>
        <w:t>-3</w:t>
      </w:r>
      <w:r>
        <w:t xml:space="preserve"> with a mode mobility diameter of 45 nm) is generated via aerosol atomization (TSI, model 3706) and dried through a silica diffusion drier</w:t>
      </w:r>
      <w:r>
        <w:rPr>
          <w:rFonts w:hint="eastAsia"/>
        </w:rPr>
        <w:t xml:space="preserve">. </w:t>
      </w:r>
      <w:r>
        <w:t>The timescale of gas-particle equilibrium in the vehicle test fell into a range of 8.7-25.6 s, which is calculated as:</w:t>
      </w:r>
    </w:p>
    <w:p>
      <w:pPr>
        <w:pStyle w:val="19"/>
        <w:ind w:firstLine="480"/>
        <w:jc w:val="right"/>
      </w:pPr>
      <m:oMath>
        <m:sSub>
          <m:sSubPr>
            <m:ctrlPr>
              <w:rPr>
                <w:rFonts w:ascii="Cambria Math" w:hAnsi="Cambria Math"/>
              </w:rPr>
            </m:ctrlPr>
          </m:sSubPr>
          <m:e>
            <m:r>
              <m:rPr/>
              <w:rPr>
                <w:rFonts w:ascii="Cambria Math" w:hAnsi="Cambria Math"/>
              </w:rPr>
              <m:t>τ</m:t>
            </m:r>
            <m:ctrlPr>
              <w:rPr>
                <w:rFonts w:ascii="Cambria Math" w:hAnsi="Cambria Math"/>
              </w:rPr>
            </m:ctrlPr>
          </m:e>
          <m:sub>
            <m:r>
              <m:rPr/>
              <w:rPr>
                <w:rFonts w:ascii="Cambria Math" w:hAnsi="Cambria Math"/>
              </w:rPr>
              <m:t>g−p</m:t>
            </m:r>
            <m:ctrlPr>
              <w:rPr>
                <w:rFonts w:ascii="Cambria Math" w:hAnsi="Cambria Math"/>
              </w:rPr>
            </m:ctrlPr>
          </m:sub>
        </m:sSub>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rPr>
                  <m:t>2π</m:t>
                </m:r>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p</m:t>
                    </m:r>
                    <m:ctrlPr>
                      <w:rPr>
                        <w:rFonts w:ascii="Cambria Math" w:hAnsi="Cambria Math"/>
                        <w:i/>
                      </w:rPr>
                    </m:ctrlPr>
                  </m:sub>
                </m:sSub>
                <m:acc>
                  <m:accPr>
                    <m:chr m:val="̅"/>
                    <m:ctrlPr>
                      <w:rPr>
                        <w:rFonts w:ascii="Cambria Math" w:hAnsi="Cambria Math"/>
                        <w:i/>
                      </w:rPr>
                    </m:ctrlPr>
                  </m:accPr>
                  <m:e>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p</m:t>
                        </m:r>
                        <m:ctrlPr>
                          <w:rPr>
                            <w:rFonts w:ascii="Cambria Math" w:hAnsi="Cambria Math"/>
                            <w:i/>
                          </w:rPr>
                        </m:ctrlPr>
                      </m:sub>
                    </m:sSub>
                    <m:ctrlPr>
                      <w:rPr>
                        <w:rFonts w:ascii="Cambria Math" w:hAnsi="Cambria Math"/>
                        <w:i/>
                      </w:rPr>
                    </m:ctrlPr>
                  </m:e>
                </m:acc>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gas</m:t>
                    </m:r>
                    <m:ctrlPr>
                      <w:rPr>
                        <w:rFonts w:ascii="Cambria Math" w:hAnsi="Cambria Math"/>
                        <w:i/>
                      </w:rPr>
                    </m:ctrlPr>
                  </m:sub>
                </m:sSub>
                <m:acc>
                  <m:accPr>
                    <m:chr m:val="̅"/>
                    <m:ctrlPr>
                      <w:rPr>
                        <w:rFonts w:ascii="Cambria Math" w:hAnsi="Cambria Math"/>
                        <w:i/>
                      </w:rPr>
                    </m:ctrlPr>
                  </m:accPr>
                  <m:e>
                    <m:r>
                      <m:rPr/>
                      <w:rPr>
                        <w:rFonts w:ascii="Cambria Math" w:hAnsi="Cambria Math"/>
                      </w:rPr>
                      <m:t>β</m:t>
                    </m:r>
                    <m:ctrlPr>
                      <w:rPr>
                        <w:rFonts w:ascii="Cambria Math" w:hAnsi="Cambria Math"/>
                        <w:i/>
                      </w:rPr>
                    </m:ctrlPr>
                  </m:e>
                </m:acc>
                <m:ctrlPr>
                  <w:rPr>
                    <w:rFonts w:ascii="Cambria Math" w:hAnsi="Cambria Math"/>
                    <w:i/>
                  </w:rPr>
                </m:ctrlPr>
              </m:e>
            </m:d>
            <m:ctrlPr>
              <w:rPr>
                <w:rFonts w:ascii="Cambria Math" w:hAnsi="Cambria Math"/>
                <w:i/>
              </w:rPr>
            </m:ctrlPr>
          </m:e>
          <m:sup>
            <m:r>
              <m:rPr/>
              <w:rPr>
                <w:rFonts w:ascii="Cambria Math" w:hAnsi="Cambria Math"/>
              </w:rPr>
              <m:t>−1</m:t>
            </m:r>
            <m:ctrlPr>
              <w:rPr>
                <w:rFonts w:ascii="Cambria Math" w:hAnsi="Cambria Math"/>
                <w:i/>
              </w:rPr>
            </m:ctrlPr>
          </m:sup>
        </m:sSup>
      </m:oMath>
      <w:r>
        <w:rPr>
          <w:rFonts w:hint="eastAsia"/>
        </w:rPr>
        <w:t xml:space="preserve"> </w:t>
      </w:r>
      <w:r>
        <w:t xml:space="preserve">              </w:t>
      </w:r>
      <w:r>
        <w:rPr>
          <w:rFonts w:hint="eastAsia"/>
        </w:rPr>
        <w:t>(S</w:t>
      </w:r>
      <w:r>
        <w:t>1)</w:t>
      </w:r>
    </w:p>
    <w:p>
      <w:pPr>
        <w:pStyle w:val="19"/>
        <w:ind w:firstLine="0" w:firstLineChars="0"/>
      </w:pPr>
      <w:r>
        <w:t xml:space="preserve">where </w:t>
      </w:r>
      <w:r>
        <w:rPr>
          <w:rFonts w:cs="Times New Roman"/>
          <w:i/>
        </w:rPr>
        <w:t>τ</w:t>
      </w:r>
      <w:r>
        <w:rPr>
          <w:rFonts w:hint="eastAsia"/>
          <w:i/>
          <w:vertAlign w:val="subscript"/>
        </w:rPr>
        <w:t>g-p</w:t>
      </w:r>
      <w:r>
        <w:t xml:space="preserve"> denotes the timescale of gas-particle partitioning, </w:t>
      </w:r>
      <w:r>
        <w:rPr>
          <w:i/>
        </w:rPr>
        <w:t>Np</w:t>
      </w:r>
      <w:r>
        <w:t xml:space="preserve"> denotes the particle number con</w:t>
      </w:r>
      <w:r>
        <w:rPr>
          <w:rFonts w:cs="Times New Roman"/>
        </w:rPr>
        <w:t xml:space="preserve">centration, </w:t>
      </w:r>
      <m:oMath>
        <m:acc>
          <m:accPr>
            <m:chr m:val="̅"/>
            <m:ctrlPr>
              <w:rPr>
                <w:rFonts w:ascii="Cambria Math" w:hAnsi="Cambria Math"/>
                <w:i/>
              </w:rPr>
            </m:ctrlPr>
          </m:accPr>
          <m:e>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p</m:t>
                </m:r>
                <m:ctrlPr>
                  <w:rPr>
                    <w:rFonts w:ascii="Cambria Math" w:hAnsi="Cambria Math"/>
                    <w:i/>
                  </w:rPr>
                </m:ctrlPr>
              </m:sub>
            </m:sSub>
            <m:ctrlPr>
              <w:rPr>
                <w:rFonts w:ascii="Cambria Math" w:hAnsi="Cambria Math"/>
                <w:i/>
              </w:rPr>
            </m:ctrlPr>
          </m:e>
        </m:acc>
      </m:oMath>
      <w:r>
        <w:rPr>
          <w:rFonts w:hint="eastAsia" w:cs="Times New Roman"/>
        </w:rPr>
        <w:t xml:space="preserve"> </w:t>
      </w:r>
      <w:r>
        <w:rPr>
          <w:rFonts w:cs="Times New Roman"/>
        </w:rPr>
        <w:t xml:space="preserve">presents the number mean diameter, </w:t>
      </w:r>
      <w:r>
        <w:rPr>
          <w:rFonts w:cs="Times New Roman"/>
          <w:i/>
        </w:rPr>
        <w:t>D</w:t>
      </w:r>
      <w:r>
        <w:rPr>
          <w:rFonts w:cs="Times New Roman"/>
          <w:i/>
          <w:vertAlign w:val="subscript"/>
        </w:rPr>
        <w:t>gas</w:t>
      </w:r>
      <w:r>
        <w:rPr>
          <w:rFonts w:cs="Times New Roman"/>
        </w:rPr>
        <w:t xml:space="preserve"> is the gas-phase diffusivity, and </w:t>
      </w:r>
      <m:oMath>
        <m:acc>
          <m:accPr>
            <m:chr m:val="̅"/>
            <m:ctrlPr>
              <w:rPr>
                <w:rFonts w:ascii="Cambria Math" w:hAnsi="Cambria Math"/>
                <w:i/>
              </w:rPr>
            </m:ctrlPr>
          </m:accPr>
          <m:e>
            <m:r>
              <m:rPr/>
              <w:rPr>
                <w:rFonts w:ascii="Cambria Math" w:hAnsi="Cambria Math"/>
              </w:rPr>
              <m:t>β</m:t>
            </m:r>
            <m:ctrlPr>
              <w:rPr>
                <w:rFonts w:ascii="Cambria Math" w:hAnsi="Cambria Math"/>
                <w:i/>
              </w:rPr>
            </m:ctrlPr>
          </m:e>
        </m:acc>
      </m:oMath>
      <w:r>
        <w:rPr>
          <w:rFonts w:cs="Times New Roman"/>
        </w:rPr>
        <w:t xml:space="preserve"> is the correction factor for t</w:t>
      </w:r>
      <w:r>
        <w:t>he mass transfer flux in the</w:t>
      </w:r>
      <w:r>
        <w:rPr>
          <w:rFonts w:hAnsi="Cambria Math" w:cs="Times New Roman"/>
        </w:rPr>
        <w:t xml:space="preserve"> condensing process</w:t>
      </w:r>
      <w:r>
        <w:rPr>
          <w:rFonts w:hint="eastAsia"/>
        </w:rPr>
        <w:t>.</w:t>
      </w:r>
      <w:r>
        <w:t xml:space="preserve"> </w:t>
      </w:r>
    </w:p>
    <w:p>
      <w:pPr>
        <w:pStyle w:val="19"/>
        <w:ind w:firstLine="480"/>
      </w:pPr>
      <w:r>
        <w:rPr>
          <w:rFonts w:hint="eastAsia"/>
        </w:rPr>
        <w:t xml:space="preserve">Overall, </w:t>
      </w:r>
      <w:r>
        <w:t xml:space="preserve">the timescale of SOA formation should be shortened through these optimizations. Here, </w:t>
      </w:r>
      <w:r>
        <w:rPr>
          <w:rFonts w:hint="eastAsia"/>
        </w:rPr>
        <w:t xml:space="preserve">pulse experiments </w:t>
      </w:r>
      <w:r>
        <w:t xml:space="preserve">are conducted </w:t>
      </w:r>
      <w:r>
        <w:rPr>
          <w:rFonts w:hint="eastAsia"/>
        </w:rPr>
        <w:t xml:space="preserve">to </w:t>
      </w:r>
      <w:r>
        <w:t>quantify</w:t>
      </w:r>
      <w:r>
        <w:rPr>
          <w:rFonts w:hint="eastAsia"/>
        </w:rPr>
        <w:t xml:space="preserve"> the response </w:t>
      </w:r>
      <w:r>
        <w:t xml:space="preserve">time </w:t>
      </w:r>
      <w:r>
        <w:rPr>
          <w:rFonts w:hint="eastAsia"/>
        </w:rPr>
        <w:t xml:space="preserve">of </w:t>
      </w:r>
      <w:r>
        <w:t xml:space="preserve">SOA formation in the </w:t>
      </w:r>
      <w:r>
        <w:rPr>
          <w:rFonts w:hint="eastAsia"/>
        </w:rPr>
        <w:t>Veh-OFR system</w:t>
      </w:r>
      <w:r>
        <w:t>, referred to Simonen et al</w:t>
      </w:r>
      <w:r>
        <w:rPr>
          <w:rFonts w:hint="eastAsia"/>
        </w:rPr>
        <w:t>.</w:t>
      </w:r>
      <w:r>
        <w:t>’s method.</w:t>
      </w:r>
      <w:r>
        <w:rPr>
          <w:rStyle w:val="11"/>
          <w:rFonts w:cs="Times"/>
        </w:rPr>
        <w:endnoteReference w:id="3"/>
      </w:r>
      <w:r>
        <w:rPr>
          <w:rFonts w:hint="eastAsia"/>
        </w:rPr>
        <w:t xml:space="preserve"> </w:t>
      </w:r>
      <w:r>
        <w:t>Use “</w:t>
      </w:r>
      <w:r>
        <w:rPr>
          <w:rFonts w:hint="eastAsia"/>
        </w:rPr>
        <w:t>on-off-on-off-on-off</w:t>
      </w:r>
      <w:r>
        <w:t>”</w:t>
      </w:r>
      <w:r>
        <w:rPr>
          <w:rFonts w:hint="eastAsia"/>
        </w:rPr>
        <w:t xml:space="preserve"> to generate continuous toluene pulses</w:t>
      </w:r>
      <w:r>
        <w:t xml:space="preserve"> u</w:t>
      </w:r>
      <w:r>
        <w:rPr>
          <w:rFonts w:hint="eastAsia"/>
        </w:rPr>
        <w:t xml:space="preserve">nder the </w:t>
      </w:r>
      <w:r>
        <w:t>same</w:t>
      </w:r>
      <w:r>
        <w:rPr>
          <w:rFonts w:hint="eastAsia"/>
        </w:rPr>
        <w:t xml:space="preserve"> conditions</w:t>
      </w:r>
      <w:r>
        <w:t xml:space="preserve"> during vehicle tests</w:t>
      </w:r>
      <w:r>
        <w:rPr>
          <w:rFonts w:hint="eastAsia"/>
        </w:rPr>
        <w:t xml:space="preserve">. </w:t>
      </w:r>
      <w:r>
        <w:t>The results are</w:t>
      </w:r>
      <w:r>
        <w:rPr>
          <w:rFonts w:hint="eastAsia"/>
        </w:rPr>
        <w:t xml:space="preserve"> </w:t>
      </w:r>
      <w:r>
        <w:t>present</w:t>
      </w:r>
      <w:r>
        <w:rPr>
          <w:rFonts w:hint="eastAsia"/>
        </w:rPr>
        <w:t xml:space="preserve"> in Fig. S</w:t>
      </w:r>
      <w:r>
        <w:t>14, showing that</w:t>
      </w:r>
      <w:r>
        <w:rPr>
          <w:rFonts w:hint="eastAsia"/>
        </w:rPr>
        <w:t xml:space="preserve"> </w:t>
      </w:r>
      <w:r>
        <w:t xml:space="preserve">the </w:t>
      </w:r>
      <w:r>
        <w:rPr>
          <w:rFonts w:hint="eastAsia"/>
        </w:rPr>
        <w:t xml:space="preserve">10s interval </w:t>
      </w:r>
      <w:r>
        <w:t>SOA peaks are conglutinated, while m</w:t>
      </w:r>
      <w:r>
        <w:rPr>
          <w:rFonts w:hint="eastAsia"/>
        </w:rPr>
        <w:t>ost</w:t>
      </w:r>
      <w:r>
        <w:t xml:space="preserve"> 15s interval SOA</w:t>
      </w:r>
      <w:r>
        <w:rPr>
          <w:rFonts w:hint="eastAsia"/>
        </w:rPr>
        <w:t xml:space="preserve"> peaks can be identified</w:t>
      </w:r>
      <w:r>
        <w:t xml:space="preserve">. This suggests that the Veh-OFR system can distinguish the changes of organic precursor pulses over 15s. </w:t>
      </w:r>
    </w:p>
    <w:p>
      <w:pPr>
        <w:pStyle w:val="19"/>
        <w:ind w:firstLine="360" w:firstLineChars="150"/>
      </w:pPr>
      <w:r>
        <w:rPr>
          <w:rFonts w:hint="eastAsia"/>
        </w:rPr>
        <w:t xml:space="preserve">Monodisperse particles are used to quantify the particle wall loss </w:t>
      </w:r>
      <w:r>
        <w:t xml:space="preserve">of the Veh-OFR reactor </w:t>
      </w:r>
      <w:r>
        <w:rPr>
          <w:rFonts w:hint="eastAsia"/>
        </w:rPr>
        <w:t>(Fig. S</w:t>
      </w:r>
      <w:r>
        <w:t>15</w:t>
      </w:r>
      <w:r>
        <w:rPr>
          <w:rFonts w:hint="eastAsia"/>
        </w:rPr>
        <w:t xml:space="preserve">). The results show that the loss of 40 nm and 60 nm particles </w:t>
      </w:r>
      <w:r>
        <w:t>are</w:t>
      </w:r>
      <w:r>
        <w:rPr>
          <w:rFonts w:hint="eastAsia"/>
        </w:rPr>
        <w:t xml:space="preserve"> less than 5%, while there is almost no wall loss for 80 nm and 120 nm particles. Therefore, the wall loss would cause little uncertainty in aerosol mass concentration. </w:t>
      </w:r>
    </w:p>
    <w:p>
      <w:pPr>
        <w:pStyle w:val="18"/>
        <w:ind w:firstLine="0" w:firstLineChars="0"/>
        <w:rPr>
          <w:b/>
          <w:bCs/>
        </w:rPr>
      </w:pPr>
      <w:r>
        <w:rPr>
          <w:rFonts w:hint="eastAsia"/>
          <w:b/>
          <w:bCs/>
        </w:rPr>
        <w:t xml:space="preserve">Text </w:t>
      </w:r>
      <w:r>
        <w:rPr>
          <w:b/>
          <w:bCs/>
        </w:rPr>
        <w:t>S2</w:t>
      </w:r>
      <w:r>
        <w:rPr>
          <w:rFonts w:hint="eastAsia"/>
          <w:b/>
          <w:bCs/>
        </w:rPr>
        <w:t>. Condensation sink calculation and modeling</w:t>
      </w:r>
    </w:p>
    <w:p>
      <w:pPr>
        <w:pStyle w:val="19"/>
        <w:ind w:firstLine="480"/>
      </w:pPr>
      <w:r>
        <w:t>In the oxidation system, the fates of the aged VOCs include condensing onto aerosols, condensing on the reactor walls, exiting the reactor to condense on sampling lines, and reacting with OH to produce volatile fragmentation products, e.g., CO</w:t>
      </w:r>
      <w:r>
        <w:rPr>
          <w:vertAlign w:val="subscript"/>
        </w:rPr>
        <w:t>2</w:t>
      </w:r>
      <w:r>
        <w:t xml:space="preserve">. The fraction of the fates depends strongly on the aerosol surface area available for the condensation sink (CS). For ambient experiments with low CS or laboratory experiments without seed aerosol, especially for the sampling with a relatively short residence time, a large aged VOCs vapor may be lost without condensing on the aerosol. Therefore, adding an aerosol seed flow to sample the air with low aerosol CS (such as this study) would reduce the uncertainties associated with VOCs </w:t>
      </w:r>
      <w:r>
        <w:rPr>
          <w:rFonts w:hint="eastAsia"/>
        </w:rPr>
        <w:t>lo</w:t>
      </w:r>
      <w:r>
        <w:t xml:space="preserve">sses. </w:t>
      </w:r>
    </w:p>
    <w:p>
      <w:pPr>
        <w:pStyle w:val="19"/>
        <w:ind w:firstLine="480"/>
      </w:pPr>
      <w:r>
        <w:t xml:space="preserve">According to the </w:t>
      </w:r>
      <w:r>
        <w:rPr>
          <w:rFonts w:hint="eastAsia"/>
        </w:rPr>
        <w:t>method reported by Palm et al.</w:t>
      </w:r>
      <w:r>
        <w:rPr>
          <w:rStyle w:val="11"/>
        </w:rPr>
        <w:endnoteReference w:id="4"/>
      </w:r>
      <w:r>
        <w:t xml:space="preserve">, </w:t>
      </w:r>
      <w:r>
        <w:rPr>
          <w:rFonts w:hint="eastAsia"/>
        </w:rPr>
        <w:t>C</w:t>
      </w:r>
      <w:r>
        <w:t>S</w:t>
      </w:r>
      <w:r>
        <w:rPr>
          <w:rFonts w:hint="eastAsia"/>
        </w:rPr>
        <w:t xml:space="preserve"> calculation used the </w:t>
      </w:r>
    </w:p>
    <w:p>
      <w:pPr>
        <w:pStyle w:val="19"/>
        <w:ind w:firstLine="480"/>
        <w:jc w:val="right"/>
        <w:rPr>
          <w:rFonts w:hAnsi="Cambria Math" w:cs="Times New Roman"/>
        </w:rPr>
      </w:pPr>
      <m:oMath>
        <m:r>
          <m:rPr>
            <m:sty m:val="p"/>
          </m:rPr>
          <w:rPr>
            <w:rFonts w:ascii="Cambria Math" w:hAnsi="Cambria Math" w:cs="Times New Roman"/>
          </w:rPr>
          <m:t>CS=</m:t>
        </m:r>
        <m:nary>
          <m:naryPr>
            <m:chr m:val="∑"/>
            <m:limLoc m:val="undOvr"/>
            <m:supHide m:val="1"/>
            <m:ctrlPr>
              <w:rPr>
                <w:rFonts w:ascii="Cambria Math" w:hAnsi="Cambria Math" w:cs="Times New Roman"/>
              </w:rPr>
            </m:ctrlPr>
          </m:naryPr>
          <m:sub>
            <m:r>
              <m:rPr>
                <m:sty m:val="p"/>
              </m:rPr>
              <w:rPr>
                <w:rFonts w:hint="eastAsia" w:ascii="Cambria Math" w:hAnsi="Cambria Math" w:cs="Times New Roman"/>
              </w:rPr>
              <m:t>i</m:t>
            </m:r>
            <m:ctrlPr>
              <w:rPr>
                <w:rFonts w:ascii="Cambria Math" w:hAnsi="Cambria Math" w:cs="Times New Roman"/>
              </w:rPr>
            </m:ctrlPr>
          </m:sub>
          <m:sup>
            <m:ctrlPr>
              <w:rPr>
                <w:rFonts w:ascii="Cambria Math" w:hAnsi="Cambria Math" w:cs="Times New Roman"/>
              </w:rPr>
            </m:ctrlPr>
          </m:sup>
          <m:e>
            <m:r>
              <m:rPr>
                <m:sty m:val="p"/>
              </m:rPr>
              <w:rPr>
                <w:rFonts w:ascii="Cambria Math" w:hAnsi="Cambria Math" w:cs="Times New Roman"/>
              </w:rPr>
              <m:t>β(</m:t>
            </m:r>
            <m:sSub>
              <m:sSubPr>
                <m:ctrlPr>
                  <w:rPr>
                    <w:rFonts w:ascii="Cambria Math" w:hAnsi="Cambria Math" w:cs="Times New Roman"/>
                  </w:rPr>
                </m:ctrlPr>
              </m:sSubPr>
              <m:e>
                <m:r>
                  <m:rPr>
                    <m:sty m:val="p"/>
                  </m:rPr>
                  <w:rPr>
                    <w:rFonts w:ascii="Cambria Math" w:hAnsi="Cambria Math" w:cs="Times New Roman"/>
                  </w:rPr>
                  <m:t>r</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r</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sSub>
              <m:sSubPr>
                <m:ctrlPr>
                  <w:rPr>
                    <w:rFonts w:ascii="Cambria Math" w:hAnsi="Cambria Math" w:cs="Times New Roman"/>
                  </w:rPr>
                </m:ctrlPr>
              </m:sSubPr>
              <m:e>
                <m:r>
                  <m:rPr>
                    <m:sty m:val="p"/>
                  </m:rPr>
                  <w:rPr>
                    <w:rFonts w:ascii="Cambria Math" w:hAnsi="Cambria Math" w:cs="Times New Roman"/>
                  </w:rPr>
                  <m:t>N</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ctrlPr>
              <w:rPr>
                <w:rFonts w:ascii="Cambria Math" w:hAnsi="Cambria Math" w:cs="Times New Roman"/>
              </w:rPr>
            </m:ctrlPr>
          </m:e>
        </m:nary>
      </m:oMath>
      <w:r>
        <w:rPr>
          <w:rFonts w:hint="eastAsia" w:hAnsi="Cambria Math" w:cs="Times New Roman"/>
        </w:rPr>
        <w:t xml:space="preserve"> </w:t>
      </w:r>
      <w:r>
        <w:rPr>
          <w:rFonts w:hAnsi="Cambria Math" w:cs="Times New Roman"/>
        </w:rPr>
        <w:t xml:space="preserve">                      (S2)</w:t>
      </w:r>
    </w:p>
    <w:p>
      <w:pPr>
        <w:pStyle w:val="19"/>
        <w:ind w:firstLine="0" w:firstLineChars="0"/>
        <w:rPr>
          <w:rFonts w:hAnsi="Cambria Math" w:cs="Times New Roman"/>
        </w:rPr>
      </w:pPr>
      <w:r>
        <w:rPr>
          <w:rFonts w:hAnsi="Cambria Math" w:cs="Times New Roman"/>
        </w:rPr>
        <w:t xml:space="preserve">where </w:t>
      </w:r>
      <w:r>
        <w:rPr>
          <w:rFonts w:hAnsi="Cambria Math" w:cs="Times New Roman"/>
          <w:i/>
        </w:rPr>
        <w:t>CS</w:t>
      </w:r>
      <w:r>
        <w:rPr>
          <w:rFonts w:hAnsi="Cambria Math" w:cs="Times New Roman"/>
        </w:rPr>
        <w:t xml:space="preserve"> is the condensational sink, is the particle radius, and is the particle number size distribution. The </w:t>
      </w:r>
      <w:r>
        <w:rPr>
          <w:rFonts w:hAnsi="Cambria Math" w:cs="Times New Roman"/>
          <w:i/>
        </w:rPr>
        <w:t>r</w:t>
      </w:r>
      <w:r>
        <w:rPr>
          <w:rFonts w:hAnsi="Cambria Math" w:cs="Times New Roman"/>
        </w:rPr>
        <w:t xml:space="preserve"> and </w:t>
      </w:r>
      <w:r>
        <w:rPr>
          <w:rFonts w:hAnsi="Cambria Math" w:cs="Times New Roman"/>
          <w:i/>
        </w:rPr>
        <w:t>N</w:t>
      </w:r>
      <w:r>
        <w:rPr>
          <w:rFonts w:hAnsi="Cambria Math" w:cs="Times New Roman"/>
          <w:i/>
          <w:vertAlign w:val="subscript"/>
        </w:rPr>
        <w:t>i</w:t>
      </w:r>
      <w:r>
        <w:rPr>
          <w:rFonts w:hAnsi="Cambria Math" w:cs="Times New Roman"/>
        </w:rPr>
        <w:t xml:space="preserve"> values are measured by SMPS at the outlet of the Veh-OFR reacor. The correction </w:t>
      </w:r>
      <w:r>
        <w:rPr>
          <w:rFonts w:hAnsi="Cambria Math" w:cs="Times New Roman"/>
          <w:i/>
        </w:rPr>
        <w:t>β(r)</w:t>
      </w:r>
      <w:r>
        <w:rPr>
          <w:rFonts w:hAnsi="Cambria Math" w:cs="Times New Roman"/>
        </w:rPr>
        <w:t xml:space="preserve"> is the Fuchs–Sutugin correction for gas diffusion to a particle surface in the condensing species,</w:t>
      </w:r>
      <w:r>
        <w:rPr>
          <w:rStyle w:val="11"/>
          <w:rFonts w:hAnsi="Cambria Math" w:cs="Times New Roman"/>
        </w:rPr>
        <w:endnoteReference w:id="5"/>
      </w:r>
      <w:r>
        <w:rPr>
          <w:rFonts w:hAnsi="Cambria Math" w:cs="Times New Roman"/>
        </w:rPr>
        <w:t xml:space="preserve"> and presents a function of the Knudsen number (Kn):</w:t>
      </w:r>
    </w:p>
    <w:p>
      <w:pPr>
        <w:pStyle w:val="19"/>
        <w:ind w:firstLine="480"/>
        <w:jc w:val="right"/>
        <w:rPr>
          <w:rFonts w:hAnsi="Cambria Math" w:cs="Times New Roman"/>
        </w:rPr>
      </w:pPr>
      <m:oMath>
        <m:r>
          <m:rPr>
            <m:sty m:val="p"/>
          </m:rPr>
          <w:rPr>
            <w:rFonts w:ascii="Cambria Math" w:hAnsi="Cambria Math" w:cs="Times New Roman"/>
          </w:rPr>
          <m:t>β=</m:t>
        </m:r>
        <m:f>
          <m:fPr>
            <m:ctrlPr>
              <w:rPr>
                <w:rFonts w:ascii="Cambria Math" w:hAnsi="Cambria Math" w:cs="Times New Roman"/>
              </w:rPr>
            </m:ctrlPr>
          </m:fPr>
          <m:num>
            <m:r>
              <m:rPr>
                <m:sty m:val="p"/>
              </m:rPr>
              <w:rPr>
                <w:rFonts w:ascii="Cambria Math" w:hAnsi="Cambria Math" w:cs="Times New Roman"/>
              </w:rPr>
              <m:t>Kn +1</m:t>
            </m:r>
            <m:ctrlPr>
              <w:rPr>
                <w:rFonts w:ascii="Cambria Math" w:hAnsi="Cambria Math" w:cs="Times New Roman"/>
              </w:rPr>
            </m:ctrlPr>
          </m:num>
          <m:den>
            <m:r>
              <m:rPr>
                <m:sty m:val="p"/>
              </m:rPr>
              <w:rPr>
                <w:rFonts w:ascii="Cambria Math" w:hAnsi="Cambria Math" w:cs="Times New Roman"/>
              </w:rPr>
              <m:t>0.377K</m:t>
            </m:r>
            <m:r>
              <m:rPr>
                <m:sty m:val="p"/>
              </m:rPr>
              <w:rPr>
                <w:rFonts w:hint="eastAsia" w:ascii="Cambria Math" w:hAnsi="Cambria Math" w:cs="Times New Roman"/>
              </w:rPr>
              <m:t>n</m:t>
            </m:r>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4</m:t>
                </m:r>
                <m:ctrlPr>
                  <w:rPr>
                    <w:rFonts w:ascii="Cambria Math" w:hAnsi="Cambria Math" w:cs="Times New Roman"/>
                  </w:rPr>
                </m:ctrlPr>
              </m:num>
              <m:den>
                <m:r>
                  <m:rPr>
                    <m:sty m:val="p"/>
                  </m:rPr>
                  <w:rPr>
                    <w:rFonts w:ascii="Cambria Math" w:hAnsi="Cambria Math" w:cs="Times New Roman"/>
                  </w:rPr>
                  <m:t>3α</m:t>
                </m:r>
                <m:ctrlPr>
                  <w:rPr>
                    <w:rFonts w:ascii="Cambria Math" w:hAnsi="Cambria Math" w:cs="Times New Roman"/>
                  </w:rPr>
                </m:ctrlPr>
              </m:den>
            </m:f>
            <m:sSup>
              <m:sSupPr>
                <m:ctrlPr>
                  <w:rPr>
                    <w:rFonts w:ascii="Cambria Math" w:hAnsi="Cambria Math" w:cs="Times New Roman"/>
                  </w:rPr>
                </m:ctrlPr>
              </m:sSupPr>
              <m:e>
                <m:r>
                  <m:rPr>
                    <m:sty m:val="p"/>
                  </m:rPr>
                  <w:rPr>
                    <w:rFonts w:ascii="Cambria Math" w:hAnsi="Cambria Math" w:cs="Times New Roman"/>
                  </w:rPr>
                  <m:t>Kn</m:t>
                </m:r>
                <m:ctrlPr>
                  <w:rPr>
                    <w:rFonts w:ascii="Cambria Math" w:hAnsi="Cambria Math" w:cs="Times New Roman"/>
                  </w:rPr>
                </m:ctrlPr>
              </m:e>
              <m:sup>
                <m:r>
                  <m:rPr>
                    <m:sty m:val="p"/>
                  </m:rPr>
                  <w:rPr>
                    <w:rFonts w:ascii="Cambria Math" w:hAnsi="Cambria Math" w:cs="Times New Roman"/>
                  </w:rPr>
                  <m:t>2</m:t>
                </m:r>
                <m:ctrlPr>
                  <w:rPr>
                    <w:rFonts w:ascii="Cambria Math" w:hAnsi="Cambria Math" w:cs="Times New Roman"/>
                  </w:rPr>
                </m:ctrlPr>
              </m:sup>
            </m:s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4</m:t>
                </m:r>
                <m:ctrlPr>
                  <w:rPr>
                    <w:rFonts w:ascii="Cambria Math" w:hAnsi="Cambria Math" w:cs="Times New Roman"/>
                  </w:rPr>
                </m:ctrlPr>
              </m:num>
              <m:den>
                <m:r>
                  <m:rPr>
                    <m:sty m:val="p"/>
                  </m:rPr>
                  <w:rPr>
                    <w:rFonts w:ascii="Cambria Math" w:hAnsi="Cambria Math" w:cs="Times New Roman"/>
                  </w:rPr>
                  <m:t>3α</m:t>
                </m:r>
                <m:ctrlPr>
                  <w:rPr>
                    <w:rFonts w:ascii="Cambria Math" w:hAnsi="Cambria Math" w:cs="Times New Roman"/>
                  </w:rPr>
                </m:ctrlPr>
              </m:den>
            </m:f>
            <m:r>
              <m:rPr>
                <m:sty m:val="p"/>
              </m:rPr>
              <w:rPr>
                <w:rFonts w:ascii="Cambria Math" w:hAnsi="Cambria Math" w:cs="Times New Roman"/>
              </w:rPr>
              <m:t>Kn</m:t>
            </m:r>
            <m:ctrlPr>
              <w:rPr>
                <w:rFonts w:ascii="Cambria Math" w:hAnsi="Cambria Math" w:cs="Times New Roman"/>
              </w:rPr>
            </m:ctrlPr>
          </m:den>
        </m:f>
      </m:oMath>
      <w:r>
        <w:rPr>
          <w:rFonts w:hint="eastAsia" w:hAnsi="Cambria Math" w:cs="Times New Roman"/>
        </w:rPr>
        <w:t xml:space="preserve"> </w:t>
      </w:r>
      <w:r>
        <w:rPr>
          <w:rFonts w:hAnsi="Cambria Math" w:cs="Times New Roman"/>
        </w:rPr>
        <w:t xml:space="preserve">                     (S3)</w:t>
      </w:r>
    </w:p>
    <w:p>
      <w:pPr>
        <w:pStyle w:val="19"/>
        <w:ind w:firstLine="0" w:firstLineChars="0"/>
        <w:rPr>
          <w:rFonts w:hAnsi="Cambria Math" w:cs="Times New Roman"/>
        </w:rPr>
      </w:pPr>
      <w:r>
        <w:rPr>
          <w:rFonts w:hAnsi="Cambria Math" w:cs="Times New Roman"/>
        </w:rPr>
        <w:t>where α denotes the sticking coefficient with a transition regime from 0.1 to 1. Here, we assume α = 0.6. The Knudsen number is calculated as follows:</w:t>
      </w:r>
    </w:p>
    <w:p>
      <w:pPr>
        <w:pStyle w:val="19"/>
        <w:ind w:firstLine="480"/>
        <w:jc w:val="right"/>
        <w:rPr>
          <w:rFonts w:hAnsi="Cambria Math" w:cs="Times New Roman"/>
        </w:rPr>
      </w:pPr>
      <m:oMath>
        <m:r>
          <m:rPr>
            <m:sty m:val="p"/>
          </m:rPr>
          <w:rPr>
            <w:rFonts w:ascii="Cambria Math" w:hAnsi="Cambria Math" w:cs="Times New Roman"/>
          </w:rPr>
          <m:t>K</m:t>
        </m:r>
        <m:r>
          <m:rPr>
            <m:sty m:val="p"/>
          </m:rPr>
          <w:rPr>
            <w:rFonts w:hint="eastAsia" w:ascii="Cambria Math" w:hAnsi="Cambria Math" w:cs="Times New Roman"/>
          </w:rPr>
          <m:t>n</m:t>
        </m:r>
        <m:r>
          <m:rPr>
            <m:sty m:val="p"/>
          </m:rPr>
          <w:rPr>
            <w:rFonts w:ascii="Cambria Math" w:hAnsi="Cambria Math" w:cs="Times New Roman"/>
          </w:rPr>
          <m:t>=3∙</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λ</m:t>
                </m:r>
                <m:ctrlPr>
                  <w:rPr>
                    <w:rFonts w:ascii="Cambria Math" w:hAnsi="Cambria Math" w:cs="Times New Roman"/>
                  </w:rPr>
                </m:ctrlPr>
              </m:e>
              <m:sub>
                <m:r>
                  <m:rPr>
                    <m:sty m:val="p"/>
                  </m:rPr>
                  <w:rPr>
                    <w:rFonts w:hint="eastAsia" w:ascii="Cambria Math" w:hAnsi="Cambria Math" w:cs="Times New Roman"/>
                  </w:rPr>
                  <m:t>i</m:t>
                </m:r>
                <m:ctrlPr>
                  <w:rPr>
                    <w:rFonts w:ascii="Cambria Math" w:hAnsi="Cambria Math" w:cs="Times New Roman"/>
                  </w:rPr>
                </m:ctrlPr>
              </m:sub>
            </m:sSub>
            <m:ctrlPr>
              <w:rPr>
                <w:rFonts w:ascii="Cambria Math" w:hAnsi="Cambria Math" w:cs="Times New Roman"/>
              </w:rPr>
            </m:ctrlPr>
          </m:num>
          <m:den>
            <m:sSub>
              <m:sSubPr>
                <m:ctrlPr>
                  <w:rPr>
                    <w:rFonts w:ascii="Cambria Math" w:hAnsi="Cambria Math" w:cs="Times New Roman"/>
                  </w:rPr>
                </m:ctrlPr>
              </m:sSubPr>
              <m:e>
                <m:r>
                  <m:rPr>
                    <m:sty m:val="p"/>
                  </m:rPr>
                  <w:rPr>
                    <w:rFonts w:ascii="Cambria Math" w:hAnsi="Cambria Math" w:cs="Times New Roman"/>
                  </w:rPr>
                  <m:t>r</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ctrlPr>
              <w:rPr>
                <w:rFonts w:ascii="Cambria Math" w:hAnsi="Cambria Math" w:cs="Times New Roman"/>
              </w:rPr>
            </m:ctrlPr>
          </m:den>
        </m:f>
      </m:oMath>
      <w:r>
        <w:rPr>
          <w:rFonts w:hint="eastAsia" w:hAnsi="Cambria Math" w:cs="Times New Roman"/>
        </w:rPr>
        <w:t xml:space="preserve"> </w:t>
      </w:r>
      <w:r>
        <w:rPr>
          <w:rFonts w:hAnsi="Cambria Math" w:cs="Times New Roman"/>
        </w:rPr>
        <w:t xml:space="preserve">                          (S4)</w:t>
      </w:r>
    </w:p>
    <w:p>
      <w:pPr>
        <w:pStyle w:val="19"/>
        <w:ind w:firstLine="0" w:firstLineChars="0"/>
        <w:rPr>
          <w:rFonts w:hAnsi="Cambria Math" w:cs="Times New Roman"/>
        </w:rPr>
      </w:pPr>
      <w:r>
        <w:rPr>
          <w:rFonts w:hAnsi="Cambria Math" w:cs="Times New Roman"/>
        </w:rPr>
        <w:t xml:space="preserve">where </w:t>
      </w:r>
      <w:r>
        <w:rPr>
          <w:rFonts w:hAnsi="Cambria Math" w:cs="Times New Roman"/>
          <w:i/>
        </w:rPr>
        <w:t xml:space="preserve">λ </w:t>
      </w:r>
      <w:r>
        <w:rPr>
          <w:rFonts w:hAnsi="Cambria Math" w:cs="Times New Roman"/>
        </w:rPr>
        <w:t>is the mean free path of the condensing gas and is calculated as:</w:t>
      </w:r>
    </w:p>
    <w:p>
      <w:pPr>
        <w:pStyle w:val="19"/>
        <w:ind w:firstLine="480"/>
        <w:jc w:val="right"/>
        <w:rPr>
          <w:rFonts w:hAnsi="Cambria Math" w:cs="Times New Roman"/>
        </w:rPr>
      </w:pPr>
      <m:oMath>
        <m:sSub>
          <m:sSubPr>
            <m:ctrlPr>
              <w:rPr>
                <w:rFonts w:ascii="Cambria Math" w:hAnsi="Cambria Math" w:cs="Times New Roman"/>
              </w:rPr>
            </m:ctrlPr>
          </m:sSubPr>
          <m:e>
            <m:r>
              <m:rPr>
                <m:sty m:val="p"/>
              </m:rPr>
              <w:rPr>
                <w:rFonts w:ascii="Cambria Math" w:hAnsi="Cambria Math" w:cs="Times New Roman"/>
              </w:rPr>
              <m:t>λ</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r>
          <m:rPr>
            <m:sty m:val="p"/>
          </m:rPr>
          <w:rPr>
            <w:rFonts w:ascii="Cambria Math" w:hAnsi="Cambria Math" w:cs="Times New Roman"/>
          </w:rPr>
          <m:t>=3∙</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D</m:t>
                </m:r>
                <m:ctrlPr>
                  <w:rPr>
                    <w:rFonts w:ascii="Cambria Math" w:hAnsi="Cambria Math" w:cs="Times New Roman"/>
                  </w:rPr>
                </m:ctrlPr>
              </m:e>
              <m:sub>
                <m:r>
                  <m:rPr>
                    <m:sty m:val="p"/>
                  </m:rPr>
                  <w:rPr>
                    <w:rFonts w:hint="eastAsia" w:ascii="Cambria Math" w:hAnsi="Cambria Math" w:cs="Times New Roman"/>
                  </w:rPr>
                  <m:t>i</m:t>
                </m:r>
                <m:ctrlPr>
                  <w:rPr>
                    <w:rFonts w:ascii="Cambria Math" w:hAnsi="Cambria Math" w:cs="Times New Roman"/>
                  </w:rPr>
                </m:ctrlPr>
              </m:sub>
            </m:sSub>
            <m:ctrlPr>
              <w:rPr>
                <w:rFonts w:ascii="Cambria Math" w:hAnsi="Cambria Math" w:cs="Times New Roman"/>
              </w:rPr>
            </m:ctrlPr>
          </m:num>
          <m:den>
            <m:sSub>
              <m:sSubPr>
                <m:ctrlPr>
                  <w:rPr>
                    <w:rFonts w:ascii="Cambria Math" w:hAnsi="Cambria Math" w:cs="Times New Roman"/>
                  </w:rPr>
                </m:ctrlPr>
              </m:sSubPr>
              <m:e>
                <m:r>
                  <m:rPr>
                    <m:sty m:val="p"/>
                  </m:rPr>
                  <w:rPr>
                    <w:rFonts w:ascii="Cambria Math" w:hAnsi="Cambria Math" w:cs="Times New Roman"/>
                  </w:rPr>
                  <m:t>C</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ctrlPr>
              <w:rPr>
                <w:rFonts w:ascii="Cambria Math" w:hAnsi="Cambria Math" w:cs="Times New Roman"/>
              </w:rPr>
            </m:ctrlPr>
          </m:den>
        </m:f>
      </m:oMath>
      <w:r>
        <w:rPr>
          <w:rFonts w:hint="eastAsia" w:hAnsi="Cambria Math" w:cs="Times New Roman"/>
        </w:rPr>
        <w:t xml:space="preserve"> </w:t>
      </w:r>
      <w:r>
        <w:rPr>
          <w:rFonts w:hAnsi="Cambria Math" w:cs="Times New Roman"/>
        </w:rPr>
        <w:t xml:space="preserve">                         (S5)</w:t>
      </w:r>
    </w:p>
    <w:p>
      <w:pPr>
        <w:pStyle w:val="19"/>
        <w:ind w:firstLine="0" w:firstLineChars="0"/>
        <w:rPr>
          <w:rFonts w:hAnsi="Cambria Math" w:cs="Times New Roman"/>
        </w:rPr>
      </w:pPr>
      <w:r>
        <w:rPr>
          <w:rFonts w:hAnsi="Cambria Math" w:cs="Times New Roman"/>
        </w:rPr>
        <w:t xml:space="preserve">where </w:t>
      </w:r>
      <w:r>
        <w:rPr>
          <w:rFonts w:hAnsi="Cambria Math" w:cs="Times New Roman"/>
          <w:i/>
        </w:rPr>
        <w:t>D</w:t>
      </w:r>
      <w:r>
        <w:rPr>
          <w:rFonts w:hAnsi="Cambria Math" w:cs="Times New Roman"/>
        </w:rPr>
        <w:t xml:space="preserve"> denotes the diffusion coefficient of gases, according to the report by Tang et al., this value is set as  7 × 10</w:t>
      </w:r>
      <w:r>
        <w:rPr>
          <w:rFonts w:hAnsi="Cambria Math" w:cs="Times New Roman"/>
          <w:vertAlign w:val="superscript"/>
        </w:rPr>
        <w:t>−6</w:t>
      </w:r>
      <w:r>
        <w:rPr>
          <w:rFonts w:hAnsi="Cambria Math" w:cs="Times New Roman"/>
        </w:rPr>
        <w:t xml:space="preserve"> m</w:t>
      </w:r>
      <w:r>
        <w:rPr>
          <w:rFonts w:hAnsi="Cambria Math" w:cs="Times New Roman"/>
          <w:vertAlign w:val="superscript"/>
        </w:rPr>
        <w:t>2</w:t>
      </w:r>
      <w:r>
        <w:rPr>
          <w:rFonts w:hAnsi="Cambria Math" w:cs="Times New Roman"/>
        </w:rPr>
        <w:t xml:space="preserve"> s</w:t>
      </w:r>
      <w:r>
        <w:rPr>
          <w:rFonts w:hAnsi="Cambria Math" w:cs="Times New Roman"/>
          <w:vertAlign w:val="superscript"/>
        </w:rPr>
        <w:t>−1</w:t>
      </w:r>
      <w:r>
        <w:rPr>
          <w:rFonts w:hAnsi="Cambria Math" w:cs="Times New Roman"/>
        </w:rPr>
        <w:t xml:space="preserve"> , equal to an oxidized organic molecule with a molecular weight of approximately 200 g mol</w:t>
      </w:r>
      <w:r>
        <w:rPr>
          <w:rFonts w:hAnsi="Cambria Math" w:cs="Times New Roman"/>
          <w:vertAlign w:val="superscript"/>
        </w:rPr>
        <w:t>−1</w:t>
      </w:r>
      <w:r>
        <w:rPr>
          <w:rFonts w:hAnsi="Cambria Math" w:cs="Times New Roman"/>
        </w:rPr>
        <w:t xml:space="preserve">. </w:t>
      </w:r>
      <w:r>
        <w:rPr>
          <w:rFonts w:hAnsi="Cambria Math" w:cs="Times New Roman"/>
          <w:i/>
        </w:rPr>
        <w:t>C</w:t>
      </w:r>
      <w:r>
        <w:rPr>
          <w:rFonts w:hAnsi="Cambria Math" w:cs="Times New Roman"/>
          <w:i/>
          <w:vertAlign w:val="subscript"/>
        </w:rPr>
        <w:t>i</w:t>
      </w:r>
      <w:r>
        <w:rPr>
          <w:rFonts w:hAnsi="Cambria Math" w:cs="Times New Roman"/>
        </w:rPr>
        <w:t xml:space="preserve"> denotes the root mean square speed of the gas, which is equal to:</w:t>
      </w:r>
      <w:r>
        <w:rPr>
          <w:rStyle w:val="11"/>
          <w:rFonts w:hAnsi="Cambria Math" w:cs="Times New Roman"/>
        </w:rPr>
        <w:endnoteReference w:id="6"/>
      </w:r>
    </w:p>
    <w:p>
      <w:pPr>
        <w:pStyle w:val="19"/>
        <w:ind w:firstLine="480"/>
        <w:rPr>
          <w:rFonts w:hAnsi="Cambria Math" w:cs="Times New Roman"/>
        </w:rPr>
      </w:pPr>
      <m:oMathPara>
        <m:oMath>
          <m:sSub>
            <m:sSubPr>
              <m:ctrlPr>
                <w:rPr>
                  <w:rFonts w:ascii="Cambria Math" w:hAnsi="Cambria Math" w:cs="Times New Roman"/>
                </w:rPr>
              </m:ctrlPr>
            </m:sSubPr>
            <m:e>
              <m:r>
                <m:rPr>
                  <m:sty m:val="p"/>
                </m:rPr>
                <w:rPr>
                  <w:rFonts w:ascii="Cambria Math" w:hAnsi="Cambria Math" w:cs="Times New Roman"/>
                </w:rPr>
                <m:t>C</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r>
            <m:rPr>
              <m:sty m:val="p"/>
            </m:rPr>
            <w:rPr>
              <w:rFonts w:ascii="Cambria Math" w:hAnsi="Cambria Math" w:cs="Times New Roman"/>
            </w:rPr>
            <m:t>=</m:t>
          </m:r>
          <m:rad>
            <m:radPr>
              <m:degHide m:val="1"/>
              <m:ctrlPr>
                <w:rPr>
                  <w:rFonts w:ascii="Cambria Math" w:hAnsi="Cambria Math" w:cs="Times New Roman"/>
                </w:rPr>
              </m:ctrlPr>
            </m:radPr>
            <m:deg>
              <m:ctrlPr>
                <w:rPr>
                  <w:rFonts w:ascii="Cambria Math" w:hAnsi="Cambria Math" w:cs="Times New Roman"/>
                </w:rPr>
              </m:ctrlPr>
            </m:deg>
            <m:e>
              <m:f>
                <m:fPr>
                  <m:ctrlPr>
                    <w:rPr>
                      <w:rFonts w:ascii="Cambria Math" w:hAnsi="Cambria Math" w:cs="Times New Roman"/>
                    </w:rPr>
                  </m:ctrlPr>
                </m:fPr>
                <m:num>
                  <m:r>
                    <m:rPr>
                      <m:sty m:val="p"/>
                    </m:rPr>
                    <w:rPr>
                      <w:rFonts w:ascii="Cambria Math" w:hAnsi="Cambria Math" w:cs="Times New Roman"/>
                    </w:rPr>
                    <m:t>8</m:t>
                  </m:r>
                  <m:sSub>
                    <m:sSubPr>
                      <m:ctrlPr>
                        <w:rPr>
                          <w:rFonts w:ascii="Cambria Math" w:hAnsi="Cambria Math" w:cs="Times New Roman"/>
                        </w:rPr>
                      </m:ctrlPr>
                    </m:sSubPr>
                    <m:e>
                      <m:r>
                        <m:rPr>
                          <m:sty m:val="p"/>
                        </m:rPr>
                        <w:rPr>
                          <w:rFonts w:ascii="Cambria Math" w:hAnsi="Cambria Math" w:cs="Times New Roman"/>
                        </w:rPr>
                        <m:t>N</m:t>
                      </m:r>
                      <m:ctrlPr>
                        <w:rPr>
                          <w:rFonts w:ascii="Cambria Math" w:hAnsi="Cambria Math" w:cs="Times New Roman"/>
                        </w:rPr>
                      </m:ctrlPr>
                    </m:e>
                    <m:sub>
                      <m:r>
                        <m:rPr>
                          <m:sty m:val="p"/>
                        </m:rPr>
                        <w:rPr>
                          <w:rFonts w:ascii="Cambria Math" w:hAnsi="Cambria Math" w:cs="Times New Roman"/>
                        </w:rPr>
                        <m:t>A</m:t>
                      </m:r>
                      <m:ctrlPr>
                        <w:rPr>
                          <w:rFonts w:ascii="Cambria Math" w:hAnsi="Cambria Math" w:cs="Times New Roman"/>
                        </w:rPr>
                      </m:ctrlPr>
                    </m:sub>
                  </m:sSub>
                  <m:r>
                    <m:rPr>
                      <m:sty m:val="p"/>
                    </m:rPr>
                    <w:rPr>
                      <w:rFonts w:ascii="Cambria Math" w:hAnsi="Cambria Math" w:cs="Times New Roman"/>
                    </w:rPr>
                    <m:t>kT</m:t>
                  </m:r>
                  <m:ctrlPr>
                    <w:rPr>
                      <w:rFonts w:ascii="Cambria Math" w:hAnsi="Cambria Math" w:cs="Times New Roman"/>
                    </w:rPr>
                  </m:ctrlPr>
                </m:num>
                <m:den>
                  <m:r>
                    <m:rPr>
                      <m:sty m:val="p"/>
                    </m:rPr>
                    <w:rPr>
                      <w:rFonts w:ascii="Cambria Math" w:hAnsi="Cambria Math" w:cs="Times New Roman"/>
                    </w:rPr>
                    <m:t>π</m:t>
                  </m:r>
                  <m:sSub>
                    <m:sSubPr>
                      <m:ctrlPr>
                        <w:rPr>
                          <w:rFonts w:ascii="Cambria Math" w:hAnsi="Cambria Math" w:cs="Times New Roman"/>
                        </w:rPr>
                      </m:ctrlPr>
                    </m:sSubPr>
                    <m:e>
                      <m:r>
                        <m:rPr>
                          <m:sty m:val="p"/>
                        </m:rPr>
                        <w:rPr>
                          <w:rFonts w:ascii="Cambria Math" w:hAnsi="Cambria Math" w:cs="Times New Roman"/>
                        </w:rPr>
                        <m:t>MW</m:t>
                      </m:r>
                      <m:ctrlPr>
                        <w:rPr>
                          <w:rFonts w:ascii="Cambria Math" w:hAnsi="Cambria Math" w:cs="Times New Roman"/>
                        </w:rPr>
                      </m:ctrlPr>
                    </m:e>
                    <m:sub>
                      <m:r>
                        <m:rPr>
                          <m:sty m:val="p"/>
                        </m:rPr>
                        <w:rPr>
                          <w:rFonts w:ascii="Cambria Math" w:hAnsi="Cambria Math" w:cs="Times New Roman"/>
                        </w:rPr>
                        <m:t>i</m:t>
                      </m:r>
                      <m:ctrlPr>
                        <w:rPr>
                          <w:rFonts w:ascii="Cambria Math" w:hAnsi="Cambria Math" w:cs="Times New Roman"/>
                        </w:rPr>
                      </m:ctrlPr>
                    </m:sub>
                  </m:sSub>
                  <m:ctrlPr>
                    <w:rPr>
                      <w:rFonts w:ascii="Cambria Math" w:hAnsi="Cambria Math" w:cs="Times New Roman"/>
                    </w:rPr>
                  </m:ctrlPr>
                </m:den>
              </m:f>
              <m:ctrlPr>
                <w:rPr>
                  <w:rFonts w:ascii="Cambria Math" w:hAnsi="Cambria Math" w:cs="Times New Roman"/>
                </w:rPr>
              </m:ctrlPr>
            </m:e>
          </m:rad>
        </m:oMath>
      </m:oMathPara>
    </w:p>
    <w:p>
      <w:pPr>
        <w:pStyle w:val="19"/>
        <w:ind w:firstLine="0" w:firstLineChars="0"/>
      </w:pPr>
      <w:r>
        <w:t xml:space="preserve">where </w:t>
      </w:r>
      <w:r>
        <w:rPr>
          <w:i/>
        </w:rPr>
        <w:t>N</w:t>
      </w:r>
      <w:r>
        <w:rPr>
          <w:i/>
          <w:vertAlign w:val="subscript"/>
        </w:rPr>
        <w:t>A</w:t>
      </w:r>
      <w:r>
        <w:t xml:space="preserve"> is Avagadro’s number, </w:t>
      </w:r>
      <w:r>
        <w:rPr>
          <w:i/>
        </w:rPr>
        <w:t>k</w:t>
      </w:r>
      <w:r>
        <w:t xml:space="preserve"> is the Boltzmann constant, and </w:t>
      </w:r>
      <w:r>
        <w:rPr>
          <w:i/>
        </w:rPr>
        <w:t>T</w:t>
      </w:r>
      <w:r>
        <w:t xml:space="preserve"> is the temperature.</w:t>
      </w:r>
    </w:p>
    <w:p>
      <w:pPr>
        <w:pStyle w:val="19"/>
        <w:ind w:firstLine="480"/>
      </w:pPr>
    </w:p>
    <w:p>
      <w:pPr>
        <w:pStyle w:val="19"/>
        <w:ind w:firstLine="480"/>
      </w:pPr>
    </w:p>
    <w:p>
      <w:pPr>
        <w:pStyle w:val="19"/>
        <w:ind w:firstLine="480"/>
      </w:pPr>
    </w:p>
    <w:p>
      <w:pPr>
        <w:ind w:firstLine="0" w:firstLineChars="0"/>
        <w:jc w:val="center"/>
        <w:rPr>
          <w:rFonts w:eastAsia="宋体" w:cs="Times New Roman"/>
          <w:kern w:val="0"/>
          <w:sz w:val="44"/>
          <w:szCs w:val="44"/>
          <w:lang w:bidi="ar"/>
        </w:rPr>
      </w:pPr>
    </w:p>
    <w:p>
      <w:pPr>
        <w:ind w:firstLine="480"/>
      </w:pPr>
    </w:p>
    <w:p>
      <w:pPr>
        <w:ind w:firstLine="0" w:firstLineChars="0"/>
        <w:jc w:val="center"/>
        <w:rPr>
          <w:rFonts w:eastAsia="宋体" w:cs="Times New Roman"/>
          <w:kern w:val="0"/>
          <w:sz w:val="21"/>
          <w:szCs w:val="21"/>
          <w:lang w:bidi="ar"/>
        </w:rPr>
      </w:pPr>
    </w:p>
    <w:p>
      <w:pPr>
        <w:pStyle w:val="2"/>
        <w:jc w:val="center"/>
      </w:pPr>
      <w:r>
        <w:rPr>
          <w:b/>
        </w:rPr>
        <w:t>Table S</w:t>
      </w:r>
      <w:r>
        <w:rPr>
          <w:b/>
        </w:rPr>
        <w:fldChar w:fldCharType="begin"/>
      </w:r>
      <w:r>
        <w:rPr>
          <w:b/>
        </w:rPr>
        <w:instrText xml:space="preserve"> SEQ Table_S \* ARABIC </w:instrText>
      </w:r>
      <w:r>
        <w:rPr>
          <w:b/>
        </w:rPr>
        <w:fldChar w:fldCharType="separate"/>
      </w:r>
      <w:r>
        <w:rPr>
          <w:b/>
        </w:rPr>
        <w:t>1</w:t>
      </w:r>
      <w:r>
        <w:rPr>
          <w:b/>
        </w:rPr>
        <w:fldChar w:fldCharType="end"/>
      </w:r>
      <w:r>
        <w:rPr>
          <w:rFonts w:hint="eastAsia"/>
        </w:rPr>
        <w:t xml:space="preserve"> Specifications and test procedures of the </w:t>
      </w:r>
      <w:bookmarkStart w:id="4" w:name="_Hlk117236567"/>
      <w:r>
        <w:rPr>
          <w:rFonts w:hint="eastAsia"/>
        </w:rPr>
        <w:t>tested vehicles</w:t>
      </w:r>
      <w:bookmarkEnd w:id="4"/>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6"/>
        <w:gridCol w:w="1319"/>
        <w:gridCol w:w="961"/>
        <w:gridCol w:w="1216"/>
        <w:gridCol w:w="1072"/>
        <w:gridCol w:w="573"/>
        <w:gridCol w:w="783"/>
        <w:gridCol w:w="1165"/>
        <w:gridCol w:w="82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64"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code</w:t>
            </w:r>
          </w:p>
        </w:tc>
        <w:tc>
          <w:tcPr>
            <w:tcW w:w="1337"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Displacement</w:t>
            </w:r>
          </w:p>
        </w:tc>
        <w:tc>
          <w:tcPr>
            <w:tcW w:w="889"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Emission standard</w:t>
            </w:r>
          </w:p>
        </w:tc>
        <w:tc>
          <w:tcPr>
            <w:tcW w:w="985"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Brand</w:t>
            </w:r>
          </w:p>
        </w:tc>
        <w:tc>
          <w:tcPr>
            <w:tcW w:w="985"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 xml:space="preserve"> Type</w:t>
            </w:r>
          </w:p>
        </w:tc>
        <w:tc>
          <w:tcPr>
            <w:tcW w:w="580"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Fuel</w:t>
            </w:r>
          </w:p>
        </w:tc>
        <w:tc>
          <w:tcPr>
            <w:tcW w:w="743"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Engine</w:t>
            </w:r>
          </w:p>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type</w:t>
            </w:r>
          </w:p>
        </w:tc>
        <w:tc>
          <w:tcPr>
            <w:tcW w:w="1286"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After-</w:t>
            </w:r>
          </w:p>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treatment</w:t>
            </w:r>
          </w:p>
        </w:tc>
        <w:tc>
          <w:tcPr>
            <w:tcW w:w="1047" w:type="dxa"/>
            <w:tcBorders>
              <w:top w:val="single" w:color="auto" w:sz="8" w:space="0"/>
              <w:bottom w:val="single" w:color="auto" w:sz="8" w:space="0"/>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Cycle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64"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1</w:t>
            </w:r>
          </w:p>
        </w:tc>
        <w:tc>
          <w:tcPr>
            <w:tcW w:w="1337"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1.2L</w:t>
            </w:r>
          </w:p>
        </w:tc>
        <w:tc>
          <w:tcPr>
            <w:tcW w:w="889"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China Ⅳ</w:t>
            </w:r>
          </w:p>
        </w:tc>
        <w:tc>
          <w:tcPr>
            <w:tcW w:w="985"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Volkswagen</w:t>
            </w:r>
          </w:p>
        </w:tc>
        <w:tc>
          <w:tcPr>
            <w:tcW w:w="985"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L</w:t>
            </w:r>
            <w:r>
              <w:rPr>
                <w:rFonts w:hint="eastAsia" w:eastAsia="宋体" w:cs="Times New Roman"/>
                <w:kern w:val="0"/>
                <w:sz w:val="20"/>
                <w:szCs w:val="20"/>
                <w:lang w:bidi="ar"/>
              </w:rPr>
              <w:t>ight-duty</w:t>
            </w:r>
          </w:p>
        </w:tc>
        <w:tc>
          <w:tcPr>
            <w:tcW w:w="580"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E10</w:t>
            </w:r>
          </w:p>
        </w:tc>
        <w:tc>
          <w:tcPr>
            <w:tcW w:w="743"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PFI</w:t>
            </w:r>
          </w:p>
        </w:tc>
        <w:tc>
          <w:tcPr>
            <w:tcW w:w="1286"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TWC</w:t>
            </w:r>
          </w:p>
        </w:tc>
        <w:tc>
          <w:tcPr>
            <w:tcW w:w="1047" w:type="dxa"/>
            <w:tcBorders>
              <w:top w:val="single" w:color="auto" w:sz="8" w:space="0"/>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WLTC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64"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2</w:t>
            </w:r>
          </w:p>
        </w:tc>
        <w:tc>
          <w:tcPr>
            <w:tcW w:w="1337"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1.2L</w:t>
            </w:r>
          </w:p>
        </w:tc>
        <w:tc>
          <w:tcPr>
            <w:tcW w:w="889"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 xml:space="preserve">China </w:t>
            </w:r>
            <w:r>
              <w:rPr>
                <w:rFonts w:hint="eastAsia" w:eastAsia="宋体" w:cs="Times New Roman"/>
                <w:kern w:val="0"/>
                <w:sz w:val="20"/>
                <w:szCs w:val="20"/>
                <w:lang w:bidi="ar"/>
              </w:rPr>
              <w:t>IV</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Toyota</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L</w:t>
            </w:r>
            <w:r>
              <w:rPr>
                <w:rFonts w:hint="eastAsia" w:eastAsia="宋体" w:cs="Times New Roman"/>
                <w:kern w:val="0"/>
                <w:sz w:val="20"/>
                <w:szCs w:val="20"/>
                <w:lang w:bidi="ar"/>
              </w:rPr>
              <w:t>ight-duty</w:t>
            </w:r>
          </w:p>
        </w:tc>
        <w:tc>
          <w:tcPr>
            <w:tcW w:w="580"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E10</w:t>
            </w:r>
          </w:p>
        </w:tc>
        <w:tc>
          <w:tcPr>
            <w:tcW w:w="743"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PFI</w:t>
            </w:r>
          </w:p>
        </w:tc>
        <w:tc>
          <w:tcPr>
            <w:tcW w:w="1286"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TWC</w:t>
            </w:r>
          </w:p>
        </w:tc>
        <w:tc>
          <w:tcPr>
            <w:tcW w:w="1047"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WLTC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64"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3</w:t>
            </w:r>
          </w:p>
        </w:tc>
        <w:tc>
          <w:tcPr>
            <w:tcW w:w="1337"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1.4L</w:t>
            </w:r>
          </w:p>
        </w:tc>
        <w:tc>
          <w:tcPr>
            <w:tcW w:w="889"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China Ⅴ</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Toyota</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L</w:t>
            </w:r>
            <w:r>
              <w:rPr>
                <w:rFonts w:hint="eastAsia" w:eastAsia="宋体" w:cs="Times New Roman"/>
                <w:kern w:val="0"/>
                <w:sz w:val="20"/>
                <w:szCs w:val="20"/>
                <w:lang w:bidi="ar"/>
              </w:rPr>
              <w:t>ight-duty</w:t>
            </w:r>
          </w:p>
        </w:tc>
        <w:tc>
          <w:tcPr>
            <w:tcW w:w="580"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E10</w:t>
            </w:r>
          </w:p>
        </w:tc>
        <w:tc>
          <w:tcPr>
            <w:tcW w:w="743"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PFI</w:t>
            </w:r>
          </w:p>
        </w:tc>
        <w:tc>
          <w:tcPr>
            <w:tcW w:w="1286"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TWC</w:t>
            </w:r>
          </w:p>
        </w:tc>
        <w:tc>
          <w:tcPr>
            <w:tcW w:w="1047"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WLTC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64"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4</w:t>
            </w:r>
          </w:p>
        </w:tc>
        <w:tc>
          <w:tcPr>
            <w:tcW w:w="1337"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1.4T</w:t>
            </w:r>
          </w:p>
        </w:tc>
        <w:tc>
          <w:tcPr>
            <w:tcW w:w="889"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China Ⅴ</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Volkswagen</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L</w:t>
            </w:r>
            <w:r>
              <w:rPr>
                <w:rFonts w:hint="eastAsia" w:eastAsia="宋体" w:cs="Times New Roman"/>
                <w:kern w:val="0"/>
                <w:sz w:val="20"/>
                <w:szCs w:val="20"/>
                <w:lang w:bidi="ar"/>
              </w:rPr>
              <w:t>ight-duty</w:t>
            </w:r>
          </w:p>
        </w:tc>
        <w:tc>
          <w:tcPr>
            <w:tcW w:w="580"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E10</w:t>
            </w:r>
          </w:p>
        </w:tc>
        <w:tc>
          <w:tcPr>
            <w:tcW w:w="743"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GD</w:t>
            </w:r>
            <w:r>
              <w:rPr>
                <w:rFonts w:eastAsia="宋体" w:cs="Times New Roman"/>
                <w:kern w:val="0"/>
                <w:sz w:val="20"/>
                <w:szCs w:val="20"/>
                <w:lang w:bidi="ar"/>
              </w:rPr>
              <w:t>I</w:t>
            </w:r>
          </w:p>
        </w:tc>
        <w:tc>
          <w:tcPr>
            <w:tcW w:w="1286"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TWC</w:t>
            </w:r>
          </w:p>
        </w:tc>
        <w:tc>
          <w:tcPr>
            <w:tcW w:w="1047"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WLTC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64"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5</w:t>
            </w:r>
          </w:p>
        </w:tc>
        <w:tc>
          <w:tcPr>
            <w:tcW w:w="1337"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1.4T</w:t>
            </w:r>
          </w:p>
        </w:tc>
        <w:tc>
          <w:tcPr>
            <w:tcW w:w="889"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China Ⅵ</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Volkswagen</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L</w:t>
            </w:r>
            <w:r>
              <w:rPr>
                <w:rFonts w:hint="eastAsia" w:eastAsia="宋体" w:cs="Times New Roman"/>
                <w:kern w:val="0"/>
                <w:sz w:val="20"/>
                <w:szCs w:val="20"/>
                <w:lang w:bidi="ar"/>
              </w:rPr>
              <w:t>ight-duty</w:t>
            </w:r>
          </w:p>
        </w:tc>
        <w:tc>
          <w:tcPr>
            <w:tcW w:w="580"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E10</w:t>
            </w:r>
          </w:p>
        </w:tc>
        <w:tc>
          <w:tcPr>
            <w:tcW w:w="743"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GD</w:t>
            </w:r>
            <w:r>
              <w:rPr>
                <w:rFonts w:eastAsia="宋体" w:cs="Times New Roman"/>
                <w:kern w:val="0"/>
                <w:sz w:val="20"/>
                <w:szCs w:val="20"/>
                <w:lang w:bidi="ar"/>
              </w:rPr>
              <w:t>I</w:t>
            </w:r>
          </w:p>
        </w:tc>
        <w:tc>
          <w:tcPr>
            <w:tcW w:w="1286"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TWC</w:t>
            </w:r>
            <w:r>
              <w:rPr>
                <w:rFonts w:hint="eastAsia" w:eastAsia="宋体" w:cs="Times New Roman"/>
                <w:kern w:val="0"/>
                <w:sz w:val="20"/>
                <w:szCs w:val="20"/>
                <w:lang w:bidi="ar"/>
              </w:rPr>
              <w:t>+GPF</w:t>
            </w:r>
          </w:p>
        </w:tc>
        <w:tc>
          <w:tcPr>
            <w:tcW w:w="1047"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WLTC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64"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6</w:t>
            </w:r>
          </w:p>
        </w:tc>
        <w:tc>
          <w:tcPr>
            <w:tcW w:w="1337"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2.0L</w:t>
            </w:r>
          </w:p>
        </w:tc>
        <w:tc>
          <w:tcPr>
            <w:tcW w:w="889"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China Ⅵ</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Toyota</w:t>
            </w:r>
          </w:p>
        </w:tc>
        <w:tc>
          <w:tcPr>
            <w:tcW w:w="985"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L</w:t>
            </w:r>
            <w:r>
              <w:rPr>
                <w:rFonts w:hint="eastAsia" w:eastAsia="宋体" w:cs="Times New Roman"/>
                <w:kern w:val="0"/>
                <w:sz w:val="20"/>
                <w:szCs w:val="20"/>
                <w:lang w:bidi="ar"/>
              </w:rPr>
              <w:t>ight-duty</w:t>
            </w:r>
          </w:p>
        </w:tc>
        <w:tc>
          <w:tcPr>
            <w:tcW w:w="580"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E10</w:t>
            </w:r>
          </w:p>
        </w:tc>
        <w:tc>
          <w:tcPr>
            <w:tcW w:w="743" w:type="dxa"/>
            <w:tcBorders>
              <w:tl2br w:val="nil"/>
              <w:tr2bl w:val="nil"/>
            </w:tcBorders>
          </w:tcPr>
          <w:p>
            <w:pPr>
              <w:spacing w:line="240" w:lineRule="auto"/>
              <w:ind w:firstLine="0" w:firstLineChars="0"/>
              <w:rPr>
                <w:rFonts w:eastAsia="宋体" w:cs="Times New Roman"/>
                <w:kern w:val="0"/>
                <w:sz w:val="20"/>
                <w:szCs w:val="20"/>
                <w:lang w:bidi="ar"/>
              </w:rPr>
            </w:pPr>
            <w:r>
              <w:rPr>
                <w:rFonts w:hint="eastAsia" w:eastAsia="宋体" w:cs="Times New Roman"/>
                <w:kern w:val="0"/>
                <w:sz w:val="20"/>
                <w:szCs w:val="20"/>
                <w:lang w:bidi="ar"/>
              </w:rPr>
              <w:t>GD</w:t>
            </w:r>
            <w:r>
              <w:rPr>
                <w:rFonts w:eastAsia="宋体" w:cs="Times New Roman"/>
                <w:kern w:val="0"/>
                <w:sz w:val="20"/>
                <w:szCs w:val="20"/>
                <w:lang w:bidi="ar"/>
              </w:rPr>
              <w:t>I</w:t>
            </w:r>
          </w:p>
        </w:tc>
        <w:tc>
          <w:tcPr>
            <w:tcW w:w="1286"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TWC</w:t>
            </w:r>
            <w:r>
              <w:rPr>
                <w:rFonts w:hint="eastAsia" w:eastAsia="宋体" w:cs="Times New Roman"/>
                <w:kern w:val="0"/>
                <w:sz w:val="20"/>
                <w:szCs w:val="20"/>
                <w:lang w:bidi="ar"/>
              </w:rPr>
              <w:t>+GPF</w:t>
            </w:r>
          </w:p>
        </w:tc>
        <w:tc>
          <w:tcPr>
            <w:tcW w:w="1047" w:type="dxa"/>
            <w:tcBorders>
              <w:tl2br w:val="nil"/>
              <w:tr2bl w:val="nil"/>
            </w:tcBorders>
          </w:tcPr>
          <w:p>
            <w:pPr>
              <w:spacing w:line="240" w:lineRule="auto"/>
              <w:ind w:firstLine="0" w:firstLineChars="0"/>
              <w:rPr>
                <w:rFonts w:eastAsia="宋体" w:cs="Times New Roman"/>
                <w:kern w:val="0"/>
                <w:sz w:val="20"/>
                <w:szCs w:val="20"/>
                <w:lang w:bidi="ar"/>
              </w:rPr>
            </w:pPr>
            <w:r>
              <w:rPr>
                <w:rFonts w:eastAsia="宋体" w:cs="Times New Roman"/>
                <w:kern w:val="0"/>
                <w:sz w:val="20"/>
                <w:szCs w:val="20"/>
                <w:lang w:bidi="ar"/>
              </w:rPr>
              <w:t>WLTC</w:t>
            </w:r>
          </w:p>
        </w:tc>
      </w:tr>
    </w:tbl>
    <w:p>
      <w:pPr>
        <w:pStyle w:val="2"/>
      </w:pPr>
    </w:p>
    <w:p>
      <w:pPr>
        <w:pStyle w:val="2"/>
      </w:pPr>
    </w:p>
    <w:p>
      <w:pPr>
        <w:pStyle w:val="2"/>
        <w:jc w:val="center"/>
      </w:pPr>
      <w:r>
        <w:rPr>
          <w:b/>
        </w:rPr>
        <w:t>Table S</w:t>
      </w:r>
      <w:r>
        <w:rPr>
          <w:b/>
        </w:rPr>
        <w:fldChar w:fldCharType="begin"/>
      </w:r>
      <w:r>
        <w:rPr>
          <w:b/>
        </w:rPr>
        <w:instrText xml:space="preserve"> SEQ Table_S \* ARABIC </w:instrText>
      </w:r>
      <w:r>
        <w:rPr>
          <w:b/>
        </w:rPr>
        <w:fldChar w:fldCharType="separate"/>
      </w:r>
      <w:r>
        <w:rPr>
          <w:b/>
        </w:rPr>
        <w:t>2</w:t>
      </w:r>
      <w:r>
        <w:rPr>
          <w:b/>
        </w:rPr>
        <w:fldChar w:fldCharType="end"/>
      </w:r>
      <w:r>
        <w:rPr>
          <w:rFonts w:hint="eastAsia"/>
        </w:rPr>
        <w:t xml:space="preserve"> Average </w:t>
      </w:r>
      <w:bookmarkStart w:id="5" w:name="_Hlk117236665"/>
      <w:r>
        <w:rPr>
          <w:rFonts w:hint="eastAsia"/>
        </w:rPr>
        <w:t>primary emissions of test vehicles</w:t>
      </w:r>
      <w:bookmarkEnd w:id="5"/>
      <w:r>
        <w:rPr>
          <w:rFonts w:hint="eastAsia"/>
        </w:rPr>
        <w:t xml:space="preserve"> based on hot-started WLTC cycle</w:t>
      </w:r>
    </w:p>
    <w:tbl>
      <w:tblPr>
        <w:tblStyle w:val="9"/>
        <w:tblW w:w="650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1"/>
        <w:gridCol w:w="842"/>
        <w:gridCol w:w="818"/>
        <w:gridCol w:w="800"/>
        <w:gridCol w:w="818"/>
        <w:gridCol w:w="773"/>
        <w:gridCol w:w="782"/>
        <w:gridCol w:w="77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code</w:t>
            </w:r>
          </w:p>
        </w:tc>
        <w:tc>
          <w:tcPr>
            <w:tcW w:w="842"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Emission standard</w:t>
            </w:r>
          </w:p>
        </w:tc>
        <w:tc>
          <w:tcPr>
            <w:tcW w:w="818"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NO</w:t>
            </w:r>
          </w:p>
        </w:tc>
        <w:tc>
          <w:tcPr>
            <w:tcW w:w="800"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CO</w:t>
            </w:r>
          </w:p>
          <w:p>
            <w:pPr>
              <w:spacing w:line="240" w:lineRule="auto"/>
              <w:ind w:firstLine="0" w:firstLineChars="0"/>
              <w:rPr>
                <w:rFonts w:eastAsia="宋体" w:cs="Times New Roman"/>
                <w:kern w:val="0"/>
                <w:sz w:val="16"/>
                <w:szCs w:val="16"/>
                <w:lang w:bidi="ar"/>
              </w:rPr>
            </w:pPr>
          </w:p>
        </w:tc>
        <w:tc>
          <w:tcPr>
            <w:tcW w:w="818"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THC</w:t>
            </w:r>
          </w:p>
        </w:tc>
        <w:tc>
          <w:tcPr>
            <w:tcW w:w="773"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NH3</w:t>
            </w:r>
          </w:p>
        </w:tc>
        <w:tc>
          <w:tcPr>
            <w:tcW w:w="782"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PN</w:t>
            </w:r>
          </w:p>
        </w:tc>
        <w:tc>
          <w:tcPr>
            <w:tcW w:w="772"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PM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p>
        </w:tc>
        <w:tc>
          <w:tcPr>
            <w:tcW w:w="842"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p>
        </w:tc>
        <w:tc>
          <w:tcPr>
            <w:tcW w:w="818"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m</w:t>
            </w:r>
            <w:r>
              <w:rPr>
                <w:rFonts w:eastAsia="宋体" w:cs="Times New Roman"/>
                <w:kern w:val="0"/>
                <w:sz w:val="16"/>
                <w:szCs w:val="16"/>
                <w:lang w:bidi="ar"/>
              </w:rPr>
              <w:t>g</w:t>
            </w:r>
            <w:r>
              <w:rPr>
                <w:rFonts w:hint="eastAsia" w:eastAsia="宋体" w:cs="Times New Roman"/>
                <w:kern w:val="0"/>
                <w:sz w:val="16"/>
                <w:szCs w:val="16"/>
                <w:lang w:bidi="ar"/>
              </w:rPr>
              <w:t xml:space="preserve"> </w:t>
            </w:r>
            <w:r>
              <w:rPr>
                <w:rFonts w:eastAsia="宋体" w:cs="Times New Roman"/>
                <w:kern w:val="0"/>
                <w:sz w:val="16"/>
                <w:szCs w:val="16"/>
                <w:lang w:bidi="ar"/>
              </w:rPr>
              <w:t>kg</w:t>
            </w:r>
            <w:r>
              <w:rPr>
                <w:rFonts w:hint="eastAsia" w:eastAsia="宋体" w:cs="Times New Roman"/>
                <w:kern w:val="0"/>
                <w:sz w:val="16"/>
                <w:szCs w:val="16"/>
                <w:lang w:bidi="ar"/>
              </w:rPr>
              <w:t>-</w:t>
            </w:r>
            <w:r>
              <w:rPr>
                <w:rFonts w:eastAsia="宋体" w:cs="Times New Roman"/>
                <w:kern w:val="0"/>
                <w:sz w:val="16"/>
                <w:szCs w:val="16"/>
                <w:lang w:bidi="ar"/>
              </w:rPr>
              <w:t>fuel</w:t>
            </w:r>
            <w:r>
              <w:rPr>
                <w:rFonts w:hint="eastAsia" w:eastAsia="宋体" w:cs="Times New Roman"/>
                <w:kern w:val="0"/>
                <w:sz w:val="16"/>
                <w:szCs w:val="16"/>
                <w:vertAlign w:val="superscript"/>
                <w:lang w:bidi="ar"/>
              </w:rPr>
              <w:t>-1</w:t>
            </w:r>
          </w:p>
        </w:tc>
        <w:tc>
          <w:tcPr>
            <w:tcW w:w="800"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g</w:t>
            </w:r>
            <w:r>
              <w:rPr>
                <w:rFonts w:hint="eastAsia" w:eastAsia="宋体" w:cs="Times New Roman"/>
                <w:kern w:val="0"/>
                <w:sz w:val="16"/>
                <w:szCs w:val="16"/>
                <w:lang w:bidi="ar"/>
              </w:rPr>
              <w:t xml:space="preserve"> </w:t>
            </w:r>
            <w:r>
              <w:rPr>
                <w:rFonts w:eastAsia="宋体" w:cs="Times New Roman"/>
                <w:kern w:val="0"/>
                <w:sz w:val="16"/>
                <w:szCs w:val="16"/>
                <w:lang w:bidi="ar"/>
              </w:rPr>
              <w:t>kg</w:t>
            </w:r>
            <w:r>
              <w:rPr>
                <w:rFonts w:hint="eastAsia" w:eastAsia="宋体" w:cs="Times New Roman"/>
                <w:kern w:val="0"/>
                <w:sz w:val="16"/>
                <w:szCs w:val="16"/>
                <w:lang w:bidi="ar"/>
              </w:rPr>
              <w:t>-</w:t>
            </w:r>
            <w:r>
              <w:rPr>
                <w:rFonts w:eastAsia="宋体" w:cs="Times New Roman"/>
                <w:kern w:val="0"/>
                <w:sz w:val="16"/>
                <w:szCs w:val="16"/>
                <w:lang w:bidi="ar"/>
              </w:rPr>
              <w:t>fuel</w:t>
            </w:r>
            <w:r>
              <w:rPr>
                <w:rFonts w:hint="eastAsia" w:eastAsia="宋体" w:cs="Times New Roman"/>
                <w:kern w:val="0"/>
                <w:sz w:val="16"/>
                <w:szCs w:val="16"/>
                <w:vertAlign w:val="superscript"/>
                <w:lang w:bidi="ar"/>
              </w:rPr>
              <w:t>-1</w:t>
            </w:r>
          </w:p>
        </w:tc>
        <w:tc>
          <w:tcPr>
            <w:tcW w:w="818"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m</w:t>
            </w:r>
            <w:r>
              <w:rPr>
                <w:rFonts w:eastAsia="宋体" w:cs="Times New Roman"/>
                <w:kern w:val="0"/>
                <w:sz w:val="16"/>
                <w:szCs w:val="16"/>
                <w:lang w:bidi="ar"/>
              </w:rPr>
              <w:t>g</w:t>
            </w:r>
            <w:r>
              <w:rPr>
                <w:rFonts w:hint="eastAsia" w:eastAsia="宋体" w:cs="Times New Roman"/>
                <w:kern w:val="0"/>
                <w:sz w:val="16"/>
                <w:szCs w:val="16"/>
                <w:lang w:bidi="ar"/>
              </w:rPr>
              <w:t xml:space="preserve"> </w:t>
            </w:r>
            <w:r>
              <w:rPr>
                <w:rFonts w:eastAsia="宋体" w:cs="Times New Roman"/>
                <w:kern w:val="0"/>
                <w:sz w:val="16"/>
                <w:szCs w:val="16"/>
                <w:lang w:bidi="ar"/>
              </w:rPr>
              <w:t>kg</w:t>
            </w:r>
            <w:r>
              <w:rPr>
                <w:rFonts w:hint="eastAsia" w:eastAsia="宋体" w:cs="Times New Roman"/>
                <w:kern w:val="0"/>
                <w:sz w:val="16"/>
                <w:szCs w:val="16"/>
                <w:lang w:bidi="ar"/>
              </w:rPr>
              <w:t>-</w:t>
            </w:r>
            <w:r>
              <w:rPr>
                <w:rFonts w:eastAsia="宋体" w:cs="Times New Roman"/>
                <w:kern w:val="0"/>
                <w:sz w:val="16"/>
                <w:szCs w:val="16"/>
                <w:lang w:bidi="ar"/>
              </w:rPr>
              <w:t>fuel</w:t>
            </w:r>
            <w:r>
              <w:rPr>
                <w:rFonts w:hint="eastAsia" w:eastAsia="宋体" w:cs="Times New Roman"/>
                <w:kern w:val="0"/>
                <w:sz w:val="16"/>
                <w:szCs w:val="16"/>
                <w:vertAlign w:val="superscript"/>
                <w:lang w:bidi="ar"/>
              </w:rPr>
              <w:t>-1</w:t>
            </w:r>
          </w:p>
        </w:tc>
        <w:tc>
          <w:tcPr>
            <w:tcW w:w="773"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m</w:t>
            </w:r>
            <w:r>
              <w:rPr>
                <w:rFonts w:eastAsia="宋体" w:cs="Times New Roman"/>
                <w:kern w:val="0"/>
                <w:sz w:val="16"/>
                <w:szCs w:val="16"/>
                <w:lang w:bidi="ar"/>
              </w:rPr>
              <w:t>g</w:t>
            </w:r>
            <w:r>
              <w:rPr>
                <w:rFonts w:hint="eastAsia" w:eastAsia="宋体" w:cs="Times New Roman"/>
                <w:kern w:val="0"/>
                <w:sz w:val="16"/>
                <w:szCs w:val="16"/>
                <w:lang w:bidi="ar"/>
              </w:rPr>
              <w:t xml:space="preserve"> </w:t>
            </w:r>
            <w:r>
              <w:rPr>
                <w:rFonts w:eastAsia="宋体" w:cs="Times New Roman"/>
                <w:kern w:val="0"/>
                <w:sz w:val="16"/>
                <w:szCs w:val="16"/>
                <w:lang w:bidi="ar"/>
              </w:rPr>
              <w:t>kg</w:t>
            </w:r>
            <w:r>
              <w:rPr>
                <w:rFonts w:hint="eastAsia" w:eastAsia="宋体" w:cs="Times New Roman"/>
                <w:kern w:val="0"/>
                <w:sz w:val="16"/>
                <w:szCs w:val="16"/>
                <w:lang w:bidi="ar"/>
              </w:rPr>
              <w:t>-</w:t>
            </w:r>
            <w:r>
              <w:rPr>
                <w:rFonts w:eastAsia="宋体" w:cs="Times New Roman"/>
                <w:kern w:val="0"/>
                <w:sz w:val="16"/>
                <w:szCs w:val="16"/>
                <w:lang w:bidi="ar"/>
              </w:rPr>
              <w:t>fuel</w:t>
            </w:r>
            <w:r>
              <w:rPr>
                <w:rFonts w:hint="eastAsia" w:eastAsia="宋体" w:cs="Times New Roman"/>
                <w:kern w:val="0"/>
                <w:sz w:val="16"/>
                <w:szCs w:val="16"/>
                <w:vertAlign w:val="superscript"/>
                <w:lang w:bidi="ar"/>
              </w:rPr>
              <w:t>-1</w:t>
            </w:r>
          </w:p>
        </w:tc>
        <w:tc>
          <w:tcPr>
            <w:tcW w:w="782"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 xml:space="preserve">1E+10 </w:t>
            </w:r>
            <w:r>
              <w:rPr>
                <w:rFonts w:eastAsia="宋体" w:cs="Times New Roman"/>
                <w:kern w:val="0"/>
                <w:sz w:val="16"/>
                <w:szCs w:val="16"/>
                <w:lang w:bidi="ar"/>
              </w:rPr>
              <w:t>kg</w:t>
            </w:r>
            <w:r>
              <w:rPr>
                <w:rFonts w:hint="eastAsia" w:eastAsia="宋体" w:cs="Times New Roman"/>
                <w:kern w:val="0"/>
                <w:sz w:val="16"/>
                <w:szCs w:val="16"/>
                <w:lang w:bidi="ar"/>
              </w:rPr>
              <w:t>-</w:t>
            </w:r>
            <w:r>
              <w:rPr>
                <w:rFonts w:eastAsia="宋体" w:cs="Times New Roman"/>
                <w:kern w:val="0"/>
                <w:sz w:val="16"/>
                <w:szCs w:val="16"/>
                <w:lang w:bidi="ar"/>
              </w:rPr>
              <w:t>fuel</w:t>
            </w:r>
            <w:r>
              <w:rPr>
                <w:rFonts w:hint="eastAsia" w:eastAsia="宋体" w:cs="Times New Roman"/>
                <w:kern w:val="0"/>
                <w:sz w:val="16"/>
                <w:szCs w:val="16"/>
                <w:vertAlign w:val="superscript"/>
                <w:lang w:bidi="ar"/>
              </w:rPr>
              <w:t>-1</w:t>
            </w:r>
          </w:p>
        </w:tc>
        <w:tc>
          <w:tcPr>
            <w:tcW w:w="772" w:type="dxa"/>
            <w:tcBorders>
              <w:top w:val="single" w:color="auto" w:sz="8" w:space="0"/>
              <w:bottom w:val="single" w:color="000000" w:sz="4" w:space="0"/>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m</w:t>
            </w:r>
            <w:r>
              <w:rPr>
                <w:rFonts w:eastAsia="宋体" w:cs="Times New Roman"/>
                <w:kern w:val="0"/>
                <w:sz w:val="16"/>
                <w:szCs w:val="16"/>
                <w:lang w:bidi="ar"/>
              </w:rPr>
              <w:t>g</w:t>
            </w:r>
            <w:r>
              <w:rPr>
                <w:rFonts w:hint="eastAsia" w:eastAsia="宋体" w:cs="Times New Roman"/>
                <w:kern w:val="0"/>
                <w:sz w:val="16"/>
                <w:szCs w:val="16"/>
                <w:lang w:bidi="ar"/>
              </w:rPr>
              <w:t xml:space="preserve"> </w:t>
            </w:r>
            <w:r>
              <w:rPr>
                <w:rFonts w:eastAsia="宋体" w:cs="Times New Roman"/>
                <w:kern w:val="0"/>
                <w:sz w:val="16"/>
                <w:szCs w:val="16"/>
                <w:lang w:bidi="ar"/>
              </w:rPr>
              <w:t>kg</w:t>
            </w:r>
            <w:r>
              <w:rPr>
                <w:rFonts w:hint="eastAsia" w:eastAsia="宋体" w:cs="Times New Roman"/>
                <w:kern w:val="0"/>
                <w:sz w:val="16"/>
                <w:szCs w:val="16"/>
                <w:lang w:bidi="ar"/>
              </w:rPr>
              <w:t>-</w:t>
            </w:r>
            <w:r>
              <w:rPr>
                <w:rFonts w:eastAsia="宋体" w:cs="Times New Roman"/>
                <w:kern w:val="0"/>
                <w:sz w:val="16"/>
                <w:szCs w:val="16"/>
                <w:lang w:bidi="ar"/>
              </w:rPr>
              <w:t>fuel</w:t>
            </w:r>
            <w:r>
              <w:rPr>
                <w:rFonts w:hint="eastAsia" w:eastAsia="宋体" w:cs="Times New Roman"/>
                <w:kern w:val="0"/>
                <w:sz w:val="16"/>
                <w:szCs w:val="16"/>
                <w:vertAlign w:val="superscript"/>
                <w:lang w:bidi="ar"/>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901"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 xml:space="preserve">Vehicle </w:t>
            </w:r>
            <w:r>
              <w:rPr>
                <w:rFonts w:eastAsia="宋体" w:cs="Times New Roman"/>
                <w:kern w:val="0"/>
                <w:sz w:val="16"/>
                <w:szCs w:val="16"/>
                <w:lang w:bidi="ar"/>
              </w:rPr>
              <w:t>1</w:t>
            </w:r>
          </w:p>
        </w:tc>
        <w:tc>
          <w:tcPr>
            <w:tcW w:w="842"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China Ⅳ</w:t>
            </w:r>
          </w:p>
        </w:tc>
        <w:tc>
          <w:tcPr>
            <w:tcW w:w="818"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1035</w:t>
            </w:r>
            <w:r>
              <w:rPr>
                <w:rFonts w:hint="eastAsia" w:eastAsia="宋体" w:cs="Times New Roman"/>
                <w:kern w:val="0"/>
                <w:sz w:val="16"/>
                <w:szCs w:val="16"/>
                <w:lang w:bidi="ar"/>
              </w:rPr>
              <w:t>.2</w:t>
            </w:r>
          </w:p>
        </w:tc>
        <w:tc>
          <w:tcPr>
            <w:tcW w:w="800"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180.1</w:t>
            </w:r>
          </w:p>
        </w:tc>
        <w:tc>
          <w:tcPr>
            <w:tcW w:w="818"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2023.6</w:t>
            </w:r>
          </w:p>
        </w:tc>
        <w:tc>
          <w:tcPr>
            <w:tcW w:w="773"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580.9</w:t>
            </w:r>
          </w:p>
        </w:tc>
        <w:tc>
          <w:tcPr>
            <w:tcW w:w="782"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5.9</w:t>
            </w:r>
          </w:p>
        </w:tc>
        <w:tc>
          <w:tcPr>
            <w:tcW w:w="772" w:type="dxa"/>
            <w:tcBorders>
              <w:top w:val="single" w:color="000000" w:sz="4" w:space="0"/>
              <w:bottom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27.4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901"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Vehicle 2</w:t>
            </w:r>
          </w:p>
        </w:tc>
        <w:tc>
          <w:tcPr>
            <w:tcW w:w="842"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 xml:space="preserve">China </w:t>
            </w:r>
            <w:r>
              <w:rPr>
                <w:rFonts w:hint="eastAsia" w:eastAsia="宋体" w:cs="Times New Roman"/>
                <w:kern w:val="0"/>
                <w:sz w:val="16"/>
                <w:szCs w:val="16"/>
                <w:lang w:bidi="ar"/>
              </w:rPr>
              <w:t>I</w:t>
            </w:r>
            <w:r>
              <w:rPr>
                <w:rFonts w:eastAsia="宋体" w:cs="Times New Roman"/>
                <w:kern w:val="0"/>
                <w:sz w:val="16"/>
                <w:szCs w:val="16"/>
                <w:lang w:bidi="ar"/>
              </w:rPr>
              <w:t>Ⅴ</w:t>
            </w:r>
          </w:p>
        </w:tc>
        <w:tc>
          <w:tcPr>
            <w:tcW w:w="818"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333.7</w:t>
            </w:r>
          </w:p>
        </w:tc>
        <w:tc>
          <w:tcPr>
            <w:tcW w:w="800"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38.2</w:t>
            </w:r>
          </w:p>
        </w:tc>
        <w:tc>
          <w:tcPr>
            <w:tcW w:w="818"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325.6</w:t>
            </w:r>
          </w:p>
        </w:tc>
        <w:tc>
          <w:tcPr>
            <w:tcW w:w="773"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193.1</w:t>
            </w:r>
          </w:p>
        </w:tc>
        <w:tc>
          <w:tcPr>
            <w:tcW w:w="782"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14.4</w:t>
            </w:r>
          </w:p>
        </w:tc>
        <w:tc>
          <w:tcPr>
            <w:tcW w:w="772" w:type="dxa"/>
            <w:tcBorders>
              <w:top w:val="nil"/>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Vehicle 3</w:t>
            </w:r>
          </w:p>
        </w:tc>
        <w:tc>
          <w:tcPr>
            <w:tcW w:w="842" w:type="dxa"/>
            <w:tcBorders>
              <w:tl2br w:val="nil"/>
              <w:tr2bl w:val="nil"/>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China Ⅴ</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84.9</w:t>
            </w:r>
          </w:p>
        </w:tc>
        <w:tc>
          <w:tcPr>
            <w:tcW w:w="800"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7.9</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247.1</w:t>
            </w:r>
          </w:p>
        </w:tc>
        <w:tc>
          <w:tcPr>
            <w:tcW w:w="773"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331.9</w:t>
            </w:r>
          </w:p>
        </w:tc>
        <w:tc>
          <w:tcPr>
            <w:tcW w:w="78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5.6</w:t>
            </w:r>
          </w:p>
        </w:tc>
        <w:tc>
          <w:tcPr>
            <w:tcW w:w="77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 xml:space="preserve">Vehicle </w:t>
            </w:r>
            <w:r>
              <w:rPr>
                <w:rFonts w:eastAsia="宋体" w:cs="Times New Roman"/>
                <w:kern w:val="0"/>
                <w:sz w:val="16"/>
                <w:szCs w:val="16"/>
                <w:lang w:bidi="ar"/>
              </w:rPr>
              <w:t>4</w:t>
            </w:r>
          </w:p>
        </w:tc>
        <w:tc>
          <w:tcPr>
            <w:tcW w:w="842" w:type="dxa"/>
            <w:tcBorders>
              <w:tl2br w:val="nil"/>
              <w:tr2bl w:val="nil"/>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China Ⅴ</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340.6</w:t>
            </w:r>
          </w:p>
        </w:tc>
        <w:tc>
          <w:tcPr>
            <w:tcW w:w="800"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4.8</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561.8</w:t>
            </w:r>
          </w:p>
        </w:tc>
        <w:tc>
          <w:tcPr>
            <w:tcW w:w="773"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105.4</w:t>
            </w:r>
          </w:p>
        </w:tc>
        <w:tc>
          <w:tcPr>
            <w:tcW w:w="78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8.6</w:t>
            </w:r>
          </w:p>
        </w:tc>
        <w:tc>
          <w:tcPr>
            <w:tcW w:w="77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 xml:space="preserve">Vehicle </w:t>
            </w:r>
            <w:r>
              <w:rPr>
                <w:rFonts w:eastAsia="宋体" w:cs="Times New Roman"/>
                <w:kern w:val="0"/>
                <w:sz w:val="16"/>
                <w:szCs w:val="16"/>
                <w:lang w:bidi="ar"/>
              </w:rPr>
              <w:t>5</w:t>
            </w:r>
          </w:p>
        </w:tc>
        <w:tc>
          <w:tcPr>
            <w:tcW w:w="842" w:type="dxa"/>
            <w:tcBorders>
              <w:tl2br w:val="nil"/>
              <w:tr2bl w:val="nil"/>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China Ⅵ</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136.9</w:t>
            </w:r>
          </w:p>
        </w:tc>
        <w:tc>
          <w:tcPr>
            <w:tcW w:w="800"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0.4</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186.0</w:t>
            </w:r>
          </w:p>
        </w:tc>
        <w:tc>
          <w:tcPr>
            <w:tcW w:w="773"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24.4</w:t>
            </w:r>
          </w:p>
        </w:tc>
        <w:tc>
          <w:tcPr>
            <w:tcW w:w="78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0.6</w:t>
            </w:r>
          </w:p>
        </w:tc>
        <w:tc>
          <w:tcPr>
            <w:tcW w:w="77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 xml:space="preserve">Vehicle </w:t>
            </w:r>
            <w:r>
              <w:rPr>
                <w:rFonts w:eastAsia="宋体" w:cs="Times New Roman"/>
                <w:kern w:val="0"/>
                <w:sz w:val="16"/>
                <w:szCs w:val="16"/>
                <w:lang w:bidi="ar"/>
              </w:rPr>
              <w:t>6</w:t>
            </w:r>
          </w:p>
        </w:tc>
        <w:tc>
          <w:tcPr>
            <w:tcW w:w="842" w:type="dxa"/>
            <w:tcBorders>
              <w:tl2br w:val="nil"/>
              <w:tr2bl w:val="nil"/>
            </w:tcBorders>
          </w:tcPr>
          <w:p>
            <w:pPr>
              <w:spacing w:line="240" w:lineRule="auto"/>
              <w:ind w:firstLine="0" w:firstLineChars="0"/>
              <w:rPr>
                <w:rFonts w:eastAsia="宋体" w:cs="Times New Roman"/>
                <w:kern w:val="0"/>
                <w:sz w:val="16"/>
                <w:szCs w:val="16"/>
                <w:lang w:bidi="ar"/>
              </w:rPr>
            </w:pPr>
            <w:r>
              <w:rPr>
                <w:rFonts w:eastAsia="宋体" w:cs="Times New Roman"/>
                <w:kern w:val="0"/>
                <w:sz w:val="16"/>
                <w:szCs w:val="16"/>
                <w:lang w:bidi="ar"/>
              </w:rPr>
              <w:t>China Ⅵ</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17.3</w:t>
            </w:r>
          </w:p>
        </w:tc>
        <w:tc>
          <w:tcPr>
            <w:tcW w:w="800"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3.9</w:t>
            </w:r>
          </w:p>
        </w:tc>
        <w:tc>
          <w:tcPr>
            <w:tcW w:w="818"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463.5</w:t>
            </w:r>
          </w:p>
        </w:tc>
        <w:tc>
          <w:tcPr>
            <w:tcW w:w="773"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48.1</w:t>
            </w:r>
          </w:p>
        </w:tc>
        <w:tc>
          <w:tcPr>
            <w:tcW w:w="78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1.7</w:t>
            </w:r>
          </w:p>
        </w:tc>
        <w:tc>
          <w:tcPr>
            <w:tcW w:w="772" w:type="dxa"/>
            <w:tcBorders>
              <w:tl2br w:val="nil"/>
              <w:tr2bl w:val="nil"/>
            </w:tcBorders>
          </w:tcPr>
          <w:p>
            <w:pPr>
              <w:spacing w:line="240" w:lineRule="auto"/>
              <w:ind w:firstLine="0" w:firstLineChars="0"/>
              <w:rPr>
                <w:rFonts w:eastAsia="宋体" w:cs="Times New Roman"/>
                <w:kern w:val="0"/>
                <w:sz w:val="16"/>
                <w:szCs w:val="16"/>
                <w:lang w:bidi="ar"/>
              </w:rPr>
            </w:pPr>
            <w:r>
              <w:rPr>
                <w:rFonts w:hint="eastAsia" w:eastAsia="宋体" w:cs="Times New Roman"/>
                <w:kern w:val="0"/>
                <w:sz w:val="16"/>
                <w:szCs w:val="16"/>
                <w:lang w:bidi="ar"/>
              </w:rPr>
              <w:t>0.2</w:t>
            </w:r>
          </w:p>
        </w:tc>
      </w:tr>
    </w:tbl>
    <w:p>
      <w:pPr>
        <w:ind w:firstLine="480"/>
        <w:jc w:val="center"/>
      </w:pPr>
      <w:r>
        <w:rPr>
          <w:rFonts w:hint="eastAsia"/>
        </w:rPr>
        <w:drawing>
          <wp:inline distT="0" distB="0" distL="114300" distR="114300">
            <wp:extent cx="4319905" cy="2948940"/>
            <wp:effectExtent l="0" t="0" r="10795" b="10160"/>
            <wp:docPr id="46" name="图片 46" descr="20220108滤膜组分_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20220108滤膜组分_0130"/>
                    <pic:cNvPicPr>
                      <a:picLocks noChangeAspect="1"/>
                    </pic:cNvPicPr>
                  </pic:nvPicPr>
                  <pic:blipFill>
                    <a:blip r:embed="rId12"/>
                    <a:stretch>
                      <a:fillRect/>
                    </a:stretch>
                  </pic:blipFill>
                  <pic:spPr>
                    <a:xfrm>
                      <a:off x="0" y="0"/>
                      <a:ext cx="4319905" cy="294894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w:t>
      </w:r>
      <w:r>
        <w:rPr>
          <w:b/>
        </w:rPr>
        <w:fldChar w:fldCharType="end"/>
      </w:r>
      <w:r>
        <w:rPr>
          <w:b/>
        </w:rPr>
        <w:t>.</w:t>
      </w:r>
      <w:r>
        <w:rPr>
          <w:rFonts w:hint="eastAsia"/>
        </w:rPr>
        <w:t xml:space="preserve"> Average mass contributions of organic</w:t>
      </w:r>
      <w:r>
        <w:t xml:space="preserve"> </w:t>
      </w:r>
      <w:r>
        <w:rPr>
          <w:rFonts w:hint="eastAsia"/>
        </w:rPr>
        <w:t>aer</w:t>
      </w:r>
      <w:r>
        <w:t>osol (</w:t>
      </w:r>
      <w:r>
        <w:rPr>
          <w:rFonts w:hint="eastAsia"/>
        </w:rPr>
        <w:t>OA</w:t>
      </w:r>
      <w:r>
        <w:t>)</w:t>
      </w:r>
      <w:r>
        <w:rPr>
          <w:rFonts w:hint="eastAsia"/>
        </w:rPr>
        <w:t xml:space="preserve">, </w:t>
      </w:r>
      <w:r>
        <w:t>elemental carbon (</w:t>
      </w:r>
      <w:r>
        <w:rPr>
          <w:rFonts w:hint="eastAsia"/>
        </w:rPr>
        <w:t>EC</w:t>
      </w:r>
      <w:r>
        <w:t>)</w:t>
      </w:r>
      <w:r>
        <w:rPr>
          <w:rFonts w:hint="eastAsia"/>
        </w:rPr>
        <w:t>, nitrate</w:t>
      </w:r>
      <w:r>
        <w:t xml:space="preserve"> (NO</w:t>
      </w:r>
      <w:r>
        <w:rPr>
          <w:vertAlign w:val="subscript"/>
        </w:rPr>
        <w:t>3</w:t>
      </w:r>
      <w:r>
        <w:rPr>
          <w:vertAlign w:val="superscript"/>
        </w:rPr>
        <w:t>-</w:t>
      </w:r>
      <w:r>
        <w:t>)</w:t>
      </w:r>
      <w:r>
        <w:rPr>
          <w:rFonts w:hint="eastAsia"/>
        </w:rPr>
        <w:t>, sulfate</w:t>
      </w:r>
      <w:r>
        <w:t xml:space="preserve"> (SO</w:t>
      </w:r>
      <w:r>
        <w:rPr>
          <w:vertAlign w:val="subscript"/>
        </w:rPr>
        <w:t>4</w:t>
      </w:r>
      <w:r>
        <w:rPr>
          <w:vertAlign w:val="superscript"/>
        </w:rPr>
        <w:t>2-</w:t>
      </w:r>
      <w:r>
        <w:t>)</w:t>
      </w:r>
      <w:r>
        <w:rPr>
          <w:rFonts w:hint="eastAsia"/>
        </w:rPr>
        <w:t>, and ammonium</w:t>
      </w:r>
      <w:r>
        <w:t xml:space="preserve"> (NH</w:t>
      </w:r>
      <w:r>
        <w:rPr>
          <w:vertAlign w:val="subscript"/>
        </w:rPr>
        <w:t>4</w:t>
      </w:r>
      <w:r>
        <w:rPr>
          <w:vertAlign w:val="superscript"/>
        </w:rPr>
        <w:t>+</w:t>
      </w:r>
      <w:r>
        <w:t>)</w:t>
      </w:r>
      <w:r>
        <w:rPr>
          <w:rFonts w:hint="eastAsia"/>
        </w:rPr>
        <w:t xml:space="preserve"> to the total mass of primary aerosols (PA, a-c) and secondary aerosols (SA, d-f) after vehicle exhaust aging. The SA do</w:t>
      </w:r>
      <w:r>
        <w:t>es</w:t>
      </w:r>
      <w:r>
        <w:rPr>
          <w:rFonts w:hint="eastAsia"/>
        </w:rPr>
        <w:t xml:space="preserve"> not contain the PA since the inlet sample </w:t>
      </w:r>
      <w:r>
        <w:t xml:space="preserve">flow </w:t>
      </w:r>
      <w:r>
        <w:rPr>
          <w:rFonts w:hint="eastAsia"/>
        </w:rPr>
        <w:t xml:space="preserve">has </w:t>
      </w:r>
      <w:r>
        <w:t>been equipped</w:t>
      </w:r>
      <w:r>
        <w:rPr>
          <w:rFonts w:hint="eastAsia"/>
        </w:rPr>
        <w:t xml:space="preserve"> </w:t>
      </w:r>
      <w:r>
        <w:t>with a filter.</w:t>
      </w:r>
    </w:p>
    <w:p>
      <w:pPr>
        <w:ind w:firstLine="480"/>
      </w:pPr>
    </w:p>
    <w:p>
      <w:pPr>
        <w:pStyle w:val="12"/>
        <w:rPr>
          <w:rFonts w:hint="default"/>
        </w:rPr>
      </w:pPr>
      <w:r>
        <w:drawing>
          <wp:inline distT="0" distB="0" distL="0" distR="0">
            <wp:extent cx="4319905" cy="2600960"/>
            <wp:effectExtent l="0" t="0" r="4445"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320000" cy="2601518"/>
                    </a:xfrm>
                    <a:prstGeom prst="rect">
                      <a:avLst/>
                    </a:prstGeom>
                    <a:noFill/>
                    <a:ln>
                      <a:noFill/>
                    </a:ln>
                  </pic:spPr>
                </pic:pic>
              </a:graphicData>
            </a:graphic>
          </wp:inline>
        </w:drawing>
      </w:r>
    </w:p>
    <w:p>
      <w:pPr>
        <w:pStyle w:val="2"/>
      </w:pPr>
      <w:bookmarkStart w:id="6" w:name="_Hlk117243121"/>
      <w:r>
        <w:rPr>
          <w:b/>
        </w:rPr>
        <w:t>Figure S</w:t>
      </w:r>
      <w:r>
        <w:rPr>
          <w:b/>
        </w:rPr>
        <w:fldChar w:fldCharType="begin"/>
      </w:r>
      <w:r>
        <w:rPr>
          <w:b/>
        </w:rPr>
        <w:instrText xml:space="preserve"> SEQ Figure_S \* ARABIC </w:instrText>
      </w:r>
      <w:r>
        <w:rPr>
          <w:b/>
        </w:rPr>
        <w:fldChar w:fldCharType="separate"/>
      </w:r>
      <w:r>
        <w:rPr>
          <w:b/>
        </w:rPr>
        <w:t>2</w:t>
      </w:r>
      <w:r>
        <w:rPr>
          <w:b/>
        </w:rPr>
        <w:fldChar w:fldCharType="end"/>
      </w:r>
      <w:r>
        <w:t>.</w:t>
      </w:r>
      <w:r>
        <w:rPr>
          <w:rFonts w:hint="eastAsia"/>
        </w:rPr>
        <w:t>Time-resolved OH</w:t>
      </w:r>
      <w:bookmarkEnd w:id="6"/>
      <w:r>
        <w:t xml:space="preserve"> exposure during WTLC tests</w:t>
      </w:r>
      <w:r>
        <w:rPr>
          <w:rFonts w:hint="eastAsia"/>
        </w:rPr>
        <w:t xml:space="preserve"> </w:t>
      </w:r>
      <w:r>
        <w:t>for</w:t>
      </w:r>
      <w:r>
        <w:rPr>
          <w:rFonts w:hint="eastAsia"/>
        </w:rPr>
        <w:t xml:space="preserve"> the </w:t>
      </w:r>
      <w:r>
        <w:t xml:space="preserve">(a) </w:t>
      </w:r>
      <w:r>
        <w:rPr>
          <w:rFonts w:hint="eastAsia"/>
        </w:rPr>
        <w:t xml:space="preserve">China V and </w:t>
      </w:r>
      <w:r>
        <w:t xml:space="preserve">(b) </w:t>
      </w:r>
      <w:r>
        <w:rPr>
          <w:rFonts w:hint="eastAsia"/>
        </w:rPr>
        <w:t>China VI vehicles</w:t>
      </w:r>
      <w:r>
        <w:t>, respectively</w:t>
      </w:r>
      <w:r>
        <w:rPr>
          <w:rFonts w:hint="eastAsia"/>
        </w:rPr>
        <w:t>.</w:t>
      </w:r>
    </w:p>
    <w:p>
      <w:pPr>
        <w:ind w:firstLine="480"/>
      </w:pPr>
    </w:p>
    <w:p>
      <w:pPr>
        <w:pStyle w:val="12"/>
        <w:rPr>
          <w:rFonts w:hint="default"/>
        </w:rPr>
      </w:pPr>
      <w:r>
        <w:drawing>
          <wp:inline distT="0" distB="0" distL="114300" distR="114300">
            <wp:extent cx="3599815" cy="3118485"/>
            <wp:effectExtent l="0" t="0" r="6985" b="5715"/>
            <wp:docPr id="5" name="图片 5" descr="20210508soa_seednoseed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10508soa_seednoseed_02"/>
                    <pic:cNvPicPr>
                      <a:picLocks noChangeAspect="1"/>
                    </pic:cNvPicPr>
                  </pic:nvPicPr>
                  <pic:blipFill>
                    <a:blip r:embed="rId14"/>
                    <a:stretch>
                      <a:fillRect/>
                    </a:stretch>
                  </pic:blipFill>
                  <pic:spPr>
                    <a:xfrm>
                      <a:off x="0" y="0"/>
                      <a:ext cx="3599815" cy="3118485"/>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3</w:t>
      </w:r>
      <w:r>
        <w:rPr>
          <w:b/>
        </w:rPr>
        <w:fldChar w:fldCharType="end"/>
      </w:r>
      <w:r>
        <w:rPr>
          <w:rFonts w:hint="eastAsia"/>
        </w:rPr>
        <w:t>. Photochemical aging of diluted exhaust of a China IV vehicle under idling condition</w:t>
      </w:r>
      <w:r>
        <w:t>.</w:t>
      </w:r>
      <w:r>
        <w:rPr>
          <w:rFonts w:hint="eastAsia"/>
        </w:rPr>
        <w:t xml:space="preserve"> </w:t>
      </w:r>
      <w:r>
        <w:t>T</w:t>
      </w:r>
      <w:r>
        <w:rPr>
          <w:rFonts w:hint="eastAsia"/>
        </w:rPr>
        <w:t>he SOA concentration varied as a function of</w:t>
      </w:r>
      <w:bookmarkStart w:id="7" w:name="_Hlk117243722"/>
      <w:r>
        <w:rPr>
          <w:rFonts w:hint="eastAsia"/>
        </w:rPr>
        <w:t xml:space="preserve"> OH exposure</w:t>
      </w:r>
      <w:bookmarkEnd w:id="7"/>
      <w:r>
        <w:rPr>
          <w:rFonts w:hint="eastAsia"/>
        </w:rPr>
        <w:t>. Two sets of experiments were carried out with and without seed aerosol conditions</w:t>
      </w:r>
      <w:r>
        <w:t xml:space="preserve"> respectively</w:t>
      </w:r>
      <w:r>
        <w:rPr>
          <w:rFonts w:hint="eastAsia"/>
        </w:rPr>
        <w:t xml:space="preserve">. The OH exposure </w:t>
      </w:r>
      <w:r>
        <w:t>i</w:t>
      </w:r>
      <w:r>
        <w:rPr>
          <w:rFonts w:hint="eastAsia"/>
        </w:rPr>
        <w:t>s converted to equivalent atmospheric aging time (a</w:t>
      </w:r>
      <w:r>
        <w:rPr>
          <w:rFonts w:cs="Times New Roman"/>
        </w:rPr>
        <w:t>ssuming </w:t>
      </w:r>
      <w:r>
        <w:rPr>
          <w:rFonts w:cs="Times New Roman"/>
          <w:i/>
        </w:rPr>
        <w:t>[OH]</w:t>
      </w:r>
      <w:r>
        <w:rPr>
          <w:rFonts w:cs="Times New Roman"/>
          <w:i/>
          <w:vertAlign w:val="subscript"/>
        </w:rPr>
        <w:t>ambien</w:t>
      </w:r>
      <w:r>
        <w:rPr>
          <w:rFonts w:cs="Times New Roman"/>
          <w:vertAlign w:val="subscript"/>
        </w:rPr>
        <w:t>t</w:t>
      </w:r>
      <w:r>
        <w:rPr>
          <w:rFonts w:cs="Times New Roman"/>
        </w:rPr>
        <w:t>=1.5×10</w:t>
      </w:r>
      <w:r>
        <w:rPr>
          <w:rFonts w:cs="Times New Roman"/>
          <w:vertAlign w:val="superscript"/>
        </w:rPr>
        <w:t>6</w:t>
      </w:r>
      <w:r>
        <w:rPr>
          <w:rFonts w:cs="Times New Roman"/>
        </w:rPr>
        <w:t> molecule cm</w:t>
      </w:r>
      <w:r>
        <w:rPr>
          <w:rFonts w:cs="Times New Roman"/>
          <w:vertAlign w:val="superscript"/>
        </w:rPr>
        <w:t>−3</w:t>
      </w:r>
      <w:r>
        <w:rPr>
          <w:rFonts w:hint="eastAsia"/>
        </w:rPr>
        <w:t>).</w:t>
      </w:r>
    </w:p>
    <w:p>
      <w:pPr>
        <w:ind w:firstLine="480"/>
      </w:pPr>
    </w:p>
    <w:p>
      <w:pPr>
        <w:pStyle w:val="3"/>
        <w:ind w:left="960" w:hanging="480"/>
      </w:pPr>
    </w:p>
    <w:p>
      <w:pPr>
        <w:pStyle w:val="12"/>
        <w:rPr>
          <w:rFonts w:hint="default"/>
        </w:rPr>
      </w:pPr>
      <w:r>
        <w:drawing>
          <wp:inline distT="0" distB="0" distL="114300" distR="114300">
            <wp:extent cx="4319905" cy="2605405"/>
            <wp:effectExtent l="0" t="0" r="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5"/>
                    <a:stretch>
                      <a:fillRect/>
                    </a:stretch>
                  </pic:blipFill>
                  <pic:spPr>
                    <a:xfrm>
                      <a:off x="0" y="0"/>
                      <a:ext cx="4319905" cy="2605405"/>
                    </a:xfrm>
                    <a:prstGeom prst="rect">
                      <a:avLst/>
                    </a:prstGeom>
                    <a:noFill/>
                    <a:ln>
                      <a:noFill/>
                    </a:ln>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4</w:t>
      </w:r>
      <w:r>
        <w:rPr>
          <w:b/>
        </w:rPr>
        <w:fldChar w:fldCharType="end"/>
      </w:r>
      <w:r>
        <w:t>.</w:t>
      </w:r>
      <w:r>
        <w:rPr>
          <w:rFonts w:hint="eastAsia"/>
        </w:rPr>
        <w:t xml:space="preserve"> </w:t>
      </w:r>
      <w:bookmarkStart w:id="8" w:name="_Hlk117244690"/>
      <w:r>
        <w:rPr>
          <w:rFonts w:hint="eastAsia"/>
        </w:rPr>
        <w:t>LVOCs fates in the Veh-OFR</w:t>
      </w:r>
      <w:bookmarkEnd w:id="8"/>
      <w:r>
        <w:rPr>
          <w:rFonts w:hint="eastAsia"/>
        </w:rPr>
        <w:t xml:space="preserve"> under the conditions of non</w:t>
      </w:r>
      <w:r>
        <w:t>e</w:t>
      </w:r>
      <w:r>
        <w:rPr>
          <w:rFonts w:hint="eastAsia"/>
        </w:rPr>
        <w:t>-seed</w:t>
      </w:r>
      <w:r>
        <w:t xml:space="preserve"> (left sub-figure)</w:t>
      </w:r>
      <w:r>
        <w:rPr>
          <w:rFonts w:hint="eastAsia"/>
        </w:rPr>
        <w:t xml:space="preserve"> and seed</w:t>
      </w:r>
      <w:r>
        <w:t xml:space="preserve"> (right sub-figure)</w:t>
      </w:r>
      <w:r>
        <w:rPr>
          <w:rFonts w:hint="eastAsia"/>
        </w:rPr>
        <w:t>.</w:t>
      </w:r>
    </w:p>
    <w:p>
      <w:pPr>
        <w:pStyle w:val="12"/>
        <w:rPr>
          <w:rFonts w:hint="default"/>
        </w:rPr>
      </w:pPr>
      <w:r>
        <w:drawing>
          <wp:inline distT="0" distB="0" distL="0" distR="0">
            <wp:extent cx="3514725" cy="2743200"/>
            <wp:effectExtent l="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514725" cy="2743200"/>
                    </a:xfrm>
                    <a:prstGeom prst="rect">
                      <a:avLst/>
                    </a:prstGeom>
                    <a:noFill/>
                    <a:ln>
                      <a:noFill/>
                    </a:ln>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5</w:t>
      </w:r>
      <w:r>
        <w:rPr>
          <w:b/>
        </w:rPr>
        <w:fldChar w:fldCharType="end"/>
      </w:r>
      <w:r>
        <w:rPr>
          <w:rFonts w:hint="eastAsia"/>
        </w:rPr>
        <w:t xml:space="preserve">. The fates of </w:t>
      </w:r>
      <w:bookmarkStart w:id="9" w:name="_Hlk117244723"/>
      <w:r>
        <w:t xml:space="preserve">low volatile </w:t>
      </w:r>
      <w:r>
        <w:rPr>
          <w:rFonts w:hint="eastAsia"/>
        </w:rPr>
        <w:t>VOCs</w:t>
      </w:r>
      <w:r>
        <w:t xml:space="preserve"> (LVOCs) act</w:t>
      </w:r>
      <w:r>
        <w:rPr>
          <w:rFonts w:hint="eastAsia"/>
        </w:rPr>
        <w:t xml:space="preserve"> as a function of particle concentration in the Veh-OFR reactor</w:t>
      </w:r>
      <w:bookmarkEnd w:id="9"/>
      <w:r>
        <w:rPr>
          <w:rFonts w:hint="eastAsia"/>
        </w:rPr>
        <w:t>. The calculat</w:t>
      </w:r>
      <w:r>
        <w:t>ion</w:t>
      </w:r>
      <w:r>
        <w:rPr>
          <w:rFonts w:hint="eastAsia"/>
        </w:rPr>
        <w:t xml:space="preserve"> method is referred to </w:t>
      </w:r>
      <w:r>
        <w:t xml:space="preserve">as </w:t>
      </w:r>
      <w:r>
        <w:rPr>
          <w:rFonts w:hint="eastAsia"/>
        </w:rPr>
        <w:t xml:space="preserve">the </w:t>
      </w:r>
      <w:r>
        <w:t>method of Palm et al.</w:t>
      </w:r>
    </w:p>
    <w:p>
      <w:pPr>
        <w:pStyle w:val="3"/>
        <w:ind w:left="960" w:hanging="480"/>
      </w:pPr>
    </w:p>
    <w:p>
      <w:pPr>
        <w:ind w:firstLine="0" w:firstLineChars="0"/>
        <w:jc w:val="center"/>
      </w:pPr>
      <w:r>
        <w:drawing>
          <wp:inline distT="0" distB="0" distL="0" distR="0">
            <wp:extent cx="3599815" cy="2406650"/>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600000" cy="2407269"/>
                    </a:xfrm>
                    <a:prstGeom prst="rect">
                      <a:avLst/>
                    </a:prstGeom>
                    <a:noFill/>
                    <a:ln>
                      <a:noFill/>
                    </a:ln>
                  </pic:spPr>
                </pic:pic>
              </a:graphicData>
            </a:graphic>
          </wp:inline>
        </w:drawing>
      </w:r>
    </w:p>
    <w:p>
      <w:pPr>
        <w:ind w:firstLine="0" w:firstLineChars="0"/>
      </w:pPr>
      <w:r>
        <w:rPr>
          <w:b/>
          <w:sz w:val="21"/>
        </w:rPr>
        <w:t>Figure S</w:t>
      </w:r>
      <w:r>
        <w:rPr>
          <w:b/>
          <w:sz w:val="21"/>
        </w:rPr>
        <w:fldChar w:fldCharType="begin"/>
      </w:r>
      <w:r>
        <w:rPr>
          <w:b/>
          <w:sz w:val="21"/>
        </w:rPr>
        <w:instrText xml:space="preserve"> SEQ Figure_S \* ARABIC </w:instrText>
      </w:r>
      <w:r>
        <w:rPr>
          <w:b/>
          <w:sz w:val="21"/>
        </w:rPr>
        <w:fldChar w:fldCharType="separate"/>
      </w:r>
      <w:r>
        <w:rPr>
          <w:b/>
          <w:sz w:val="21"/>
        </w:rPr>
        <w:t>6</w:t>
      </w:r>
      <w:r>
        <w:rPr>
          <w:b/>
          <w:sz w:val="21"/>
        </w:rPr>
        <w:fldChar w:fldCharType="end"/>
      </w:r>
      <w:r>
        <w:rPr>
          <w:b/>
          <w:sz w:val="21"/>
        </w:rPr>
        <w:t>.</w:t>
      </w:r>
      <w:r>
        <w:rPr>
          <w:rFonts w:hint="eastAsia"/>
          <w:sz w:val="21"/>
        </w:rPr>
        <w:t xml:space="preserve"> </w:t>
      </w:r>
      <w:bookmarkStart w:id="10" w:name="_Hlk117244819"/>
      <w:r>
        <w:rPr>
          <w:rFonts w:hint="eastAsia"/>
          <w:sz w:val="21"/>
        </w:rPr>
        <w:t xml:space="preserve">SOA </w:t>
      </w:r>
      <w:r>
        <w:rPr>
          <w:sz w:val="21"/>
        </w:rPr>
        <w:t>forma</w:t>
      </w:r>
      <w:r>
        <w:rPr>
          <w:rFonts w:hint="eastAsia"/>
          <w:sz w:val="21"/>
        </w:rPr>
        <w:t>tion as a function of pre-exist</w:t>
      </w:r>
      <w:r>
        <w:rPr>
          <w:sz w:val="21"/>
        </w:rPr>
        <w:t>ing</w:t>
      </w:r>
      <w:r>
        <w:rPr>
          <w:rFonts w:hint="eastAsia"/>
          <w:sz w:val="21"/>
        </w:rPr>
        <w:t xml:space="preserve"> seed concentration</w:t>
      </w:r>
      <w:bookmarkEnd w:id="10"/>
      <w:r>
        <w:rPr>
          <w:rFonts w:hint="eastAsia"/>
          <w:sz w:val="21"/>
        </w:rPr>
        <w:t xml:space="preserve"> under </w:t>
      </w:r>
      <w:r>
        <w:rPr>
          <w:sz w:val="21"/>
        </w:rPr>
        <w:t>the idling condition of the vehicle</w:t>
      </w:r>
      <w:r>
        <w:rPr>
          <w:rFonts w:hint="eastAsia"/>
          <w:sz w:val="21"/>
        </w:rPr>
        <w:t>. The equilibration times as a function of pre-exist</w:t>
      </w:r>
      <w:r>
        <w:rPr>
          <w:sz w:val="21"/>
        </w:rPr>
        <w:t>ing</w:t>
      </w:r>
      <w:r>
        <w:rPr>
          <w:rFonts w:hint="eastAsia"/>
          <w:sz w:val="21"/>
        </w:rPr>
        <w:t xml:space="preserve"> particle concentration. </w:t>
      </w:r>
      <w:r>
        <w:rPr>
          <w:rFonts w:hint="eastAsia"/>
        </w:rPr>
        <w:t xml:space="preserve"> </w:t>
      </w:r>
    </w:p>
    <w:p>
      <w:pPr>
        <w:ind w:firstLine="0" w:firstLineChars="0"/>
      </w:pPr>
    </w:p>
    <w:p>
      <w:pPr>
        <w:pStyle w:val="12"/>
        <w:rPr>
          <w:rFonts w:hint="eastAsia" w:eastAsiaTheme="minorEastAsia"/>
          <w:lang w:eastAsia="zh-CN"/>
        </w:rPr>
      </w:pPr>
      <w:r>
        <w:rPr>
          <w:rFonts w:hint="eastAsia" w:eastAsiaTheme="minorEastAsia"/>
          <w:lang w:eastAsia="zh-CN"/>
        </w:rPr>
        <w:drawing>
          <wp:inline distT="0" distB="0" distL="114300" distR="114300">
            <wp:extent cx="5268595" cy="7735570"/>
            <wp:effectExtent l="0" t="0" r="1905" b="11430"/>
            <wp:docPr id="3" name="图片 3" descr="20220304成分谱_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20304成分谱_1215"/>
                    <pic:cNvPicPr>
                      <a:picLocks noChangeAspect="1"/>
                    </pic:cNvPicPr>
                  </pic:nvPicPr>
                  <pic:blipFill>
                    <a:blip r:embed="rId18"/>
                    <a:stretch>
                      <a:fillRect/>
                    </a:stretch>
                  </pic:blipFill>
                  <pic:spPr>
                    <a:xfrm>
                      <a:off x="0" y="0"/>
                      <a:ext cx="5268595" cy="773557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7</w:t>
      </w:r>
      <w:r>
        <w:rPr>
          <w:b/>
        </w:rPr>
        <w:fldChar w:fldCharType="end"/>
      </w:r>
      <w:r>
        <w:rPr>
          <w:rFonts w:hint="eastAsia"/>
        </w:rPr>
        <w:t xml:space="preserve"> </w:t>
      </w:r>
      <w:bookmarkStart w:id="11" w:name="_Hlk117244907"/>
      <w:r>
        <w:rPr>
          <w:rFonts w:hint="eastAsia"/>
        </w:rPr>
        <w:t xml:space="preserve">VOCs </w:t>
      </w:r>
      <w:r>
        <w:t>chemical</w:t>
      </w:r>
      <w:r>
        <w:rPr>
          <w:rFonts w:hint="eastAsia"/>
        </w:rPr>
        <w:t xml:space="preserve"> profiles </w:t>
      </w:r>
      <w:r>
        <w:rPr>
          <w:rFonts w:hint="eastAsia"/>
          <w:lang w:val="en-US" w:eastAsia="zh-CN"/>
        </w:rPr>
        <w:t xml:space="preserve">of </w:t>
      </w:r>
      <w:r>
        <w:rPr>
          <w:rFonts w:hint="eastAsia"/>
        </w:rPr>
        <w:t>vehicle exhaust</w:t>
      </w:r>
      <w:bookmarkEnd w:id="11"/>
      <w:r>
        <w:rPr>
          <w:rFonts w:hint="eastAsia"/>
          <w:lang w:val="en-US" w:eastAsia="zh-CN"/>
        </w:rPr>
        <w:t xml:space="preserve"> with different emission standards</w:t>
      </w:r>
      <w:r>
        <w:rPr>
          <w:rFonts w:hint="eastAsia"/>
        </w:rPr>
        <w:t xml:space="preserve">. </w:t>
      </w:r>
    </w:p>
    <w:p>
      <w:pPr>
        <w:pStyle w:val="12"/>
        <w:rPr>
          <w:rFonts w:hint="default"/>
        </w:rPr>
      </w:pPr>
      <w:r>
        <w:drawing>
          <wp:inline distT="0" distB="0" distL="114300" distR="114300">
            <wp:extent cx="4319905" cy="2668905"/>
            <wp:effectExtent l="0" t="0" r="10795" b="10795"/>
            <wp:docPr id="15" name="图片 15" descr="20220216不同排放标准理论计算_2022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20216不同排放标准理论计算_20220327"/>
                    <pic:cNvPicPr>
                      <a:picLocks noChangeAspect="1"/>
                    </pic:cNvPicPr>
                  </pic:nvPicPr>
                  <pic:blipFill>
                    <a:blip r:embed="rId19"/>
                    <a:stretch>
                      <a:fillRect/>
                    </a:stretch>
                  </pic:blipFill>
                  <pic:spPr>
                    <a:xfrm>
                      <a:off x="0" y="0"/>
                      <a:ext cx="4319905" cy="2668905"/>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8</w:t>
      </w:r>
      <w:r>
        <w:rPr>
          <w:b/>
        </w:rPr>
        <w:fldChar w:fldCharType="end"/>
      </w:r>
      <w:r>
        <w:t>.</w:t>
      </w:r>
      <w:r>
        <w:rPr>
          <w:rFonts w:hint="eastAsia"/>
        </w:rPr>
        <w:t xml:space="preserve"> </w:t>
      </w:r>
      <w:bookmarkStart w:id="12" w:name="_Hlk117244959"/>
      <w:r>
        <w:rPr>
          <w:rFonts w:hint="eastAsia"/>
        </w:rPr>
        <w:t>The measured and predicted SOA</w:t>
      </w:r>
      <w:bookmarkEnd w:id="12"/>
      <w:r>
        <w:rPr>
          <w:rFonts w:hint="eastAsia"/>
        </w:rPr>
        <w:t>, and their ratios varied by emission standards. The predicted SOA is calculated based on the VOCs emission combined with recent reported SOA yield.</w:t>
      </w:r>
    </w:p>
    <w:p>
      <w:pPr>
        <w:pStyle w:val="12"/>
        <w:rPr>
          <w:rFonts w:hint="default"/>
        </w:rPr>
      </w:pPr>
      <w:r>
        <w:drawing>
          <wp:inline distT="0" distB="0" distL="114300" distR="114300">
            <wp:extent cx="3599815" cy="2459990"/>
            <wp:effectExtent l="0" t="0" r="6985" b="3810"/>
            <wp:docPr id="11" name="图片 11" descr="20211222voc_thc比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11222voc_thc比值"/>
                    <pic:cNvPicPr>
                      <a:picLocks noChangeAspect="1"/>
                    </pic:cNvPicPr>
                  </pic:nvPicPr>
                  <pic:blipFill>
                    <a:blip r:embed="rId20"/>
                    <a:stretch>
                      <a:fillRect/>
                    </a:stretch>
                  </pic:blipFill>
                  <pic:spPr>
                    <a:xfrm>
                      <a:off x="0" y="0"/>
                      <a:ext cx="3599815" cy="245999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9</w:t>
      </w:r>
      <w:r>
        <w:rPr>
          <w:b/>
        </w:rPr>
        <w:fldChar w:fldCharType="end"/>
      </w:r>
      <w:r>
        <w:t>.</w:t>
      </w:r>
      <w:r>
        <w:rPr>
          <w:rFonts w:hint="eastAsia"/>
        </w:rPr>
        <w:t xml:space="preserve"> The concentrations of THC (ppm C) and the ratios of VOCs to THC (ppm C : ppm C) of test vehicles. The y-axis presents the concentrations and ratios of diluted exhaust. </w:t>
      </w:r>
    </w:p>
    <w:p>
      <w:pPr>
        <w:pStyle w:val="3"/>
        <w:ind w:left="960" w:hanging="480"/>
      </w:pPr>
    </w:p>
    <w:p>
      <w:pPr>
        <w:pStyle w:val="3"/>
        <w:ind w:left="0" w:leftChars="0" w:firstLine="0" w:firstLineChars="0"/>
        <w:jc w:val="center"/>
      </w:pPr>
      <w:r>
        <w:drawing>
          <wp:inline distT="0" distB="0" distL="0" distR="0">
            <wp:extent cx="1727835" cy="1236345"/>
            <wp:effectExtent l="0" t="0" r="5715"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728000" cy="1236554"/>
                    </a:xfrm>
                    <a:prstGeom prst="rect">
                      <a:avLst/>
                    </a:prstGeom>
                    <a:noFill/>
                  </pic:spPr>
                </pic:pic>
              </a:graphicData>
            </a:graphic>
          </wp:inline>
        </w:drawing>
      </w:r>
      <w:r>
        <w:drawing>
          <wp:inline distT="0" distB="0" distL="0" distR="0">
            <wp:extent cx="1727835" cy="1226185"/>
            <wp:effectExtent l="0" t="0" r="571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728000" cy="1226421"/>
                    </a:xfrm>
                    <a:prstGeom prst="rect">
                      <a:avLst/>
                    </a:prstGeom>
                    <a:noFill/>
                  </pic:spPr>
                </pic:pic>
              </a:graphicData>
            </a:graphic>
          </wp:inline>
        </w:drawing>
      </w:r>
      <w:r>
        <w:drawing>
          <wp:inline distT="0" distB="0" distL="0" distR="0">
            <wp:extent cx="1727835" cy="1236345"/>
            <wp:effectExtent l="0" t="0" r="5715"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728000" cy="1236554"/>
                    </a:xfrm>
                    <a:prstGeom prst="rect">
                      <a:avLst/>
                    </a:prstGeom>
                    <a:noFill/>
                  </pic:spPr>
                </pic:pic>
              </a:graphicData>
            </a:graphic>
          </wp:inline>
        </w:drawing>
      </w:r>
    </w:p>
    <w:p>
      <w:pPr>
        <w:ind w:firstLine="0" w:firstLineChars="0"/>
        <w:rPr>
          <w:sz w:val="21"/>
        </w:rPr>
      </w:pPr>
      <w:r>
        <w:rPr>
          <w:b/>
          <w:sz w:val="21"/>
        </w:rPr>
        <w:t>Figure S</w:t>
      </w:r>
      <w:r>
        <w:rPr>
          <w:b/>
          <w:sz w:val="21"/>
        </w:rPr>
        <w:fldChar w:fldCharType="begin"/>
      </w:r>
      <w:r>
        <w:rPr>
          <w:b/>
          <w:sz w:val="21"/>
        </w:rPr>
        <w:instrText xml:space="preserve"> SEQ Figure_S \* ARABIC </w:instrText>
      </w:r>
      <w:r>
        <w:rPr>
          <w:b/>
          <w:sz w:val="21"/>
        </w:rPr>
        <w:fldChar w:fldCharType="separate"/>
      </w:r>
      <w:r>
        <w:rPr>
          <w:b/>
          <w:sz w:val="21"/>
        </w:rPr>
        <w:t>10</w:t>
      </w:r>
      <w:r>
        <w:rPr>
          <w:b/>
          <w:sz w:val="21"/>
        </w:rPr>
        <w:fldChar w:fldCharType="end"/>
      </w:r>
      <w:r>
        <w:rPr>
          <w:sz w:val="21"/>
        </w:rPr>
        <w:t>.</w:t>
      </w:r>
      <w:r>
        <w:rPr>
          <w:rFonts w:hint="eastAsia"/>
          <w:sz w:val="21"/>
        </w:rPr>
        <w:t xml:space="preserve"> </w:t>
      </w:r>
      <w:r>
        <w:rPr>
          <w:sz w:val="21"/>
        </w:rPr>
        <w:t>T</w:t>
      </w:r>
      <w:r>
        <w:rPr>
          <w:rFonts w:hint="eastAsia"/>
          <w:sz w:val="21"/>
        </w:rPr>
        <w:t>h</w:t>
      </w:r>
      <w:r>
        <w:rPr>
          <w:sz w:val="21"/>
        </w:rPr>
        <w:t xml:space="preserve">e </w:t>
      </w:r>
      <w:r>
        <w:rPr>
          <w:rFonts w:hint="eastAsia"/>
          <w:sz w:val="21"/>
        </w:rPr>
        <w:t>correlation between SOA and THC from vehicle exhaust with C</w:t>
      </w:r>
      <w:r>
        <w:rPr>
          <w:sz w:val="21"/>
        </w:rPr>
        <w:t>hina Ⅳ (a), China Ⅴ (b), and China Ⅵ (c) emission standards under different speed and acceleration driving co</w:t>
      </w:r>
      <w:r>
        <w:rPr>
          <w:rFonts w:hint="eastAsia"/>
          <w:sz w:val="21"/>
        </w:rPr>
        <w:t>nditions.</w:t>
      </w:r>
    </w:p>
    <w:p>
      <w:pPr>
        <w:ind w:firstLine="0" w:firstLineChars="0"/>
        <w:rPr>
          <w:rFonts w:hint="eastAsia"/>
        </w:rPr>
      </w:pPr>
    </w:p>
    <w:p>
      <w:pPr>
        <w:pStyle w:val="19"/>
        <w:ind w:firstLine="480"/>
        <w:jc w:val="center"/>
      </w:pPr>
      <w:r>
        <w:rPr>
          <w:rFonts w:hint="eastAsia"/>
        </w:rPr>
        <w:drawing>
          <wp:inline distT="0" distB="0" distL="114300" distR="114300">
            <wp:extent cx="4679950" cy="2787650"/>
            <wp:effectExtent l="0" t="0" r="6350" b="6350"/>
            <wp:docPr id="7" name="图片 7" descr="流动管paper_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流动管paper_0504"/>
                    <pic:cNvPicPr>
                      <a:picLocks noChangeAspect="1"/>
                    </pic:cNvPicPr>
                  </pic:nvPicPr>
                  <pic:blipFill>
                    <a:blip r:embed="rId24"/>
                    <a:stretch>
                      <a:fillRect/>
                    </a:stretch>
                  </pic:blipFill>
                  <pic:spPr>
                    <a:xfrm>
                      <a:off x="0" y="0"/>
                      <a:ext cx="4679950" cy="278765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11</w:t>
      </w:r>
      <w:r>
        <w:rPr>
          <w:b/>
        </w:rPr>
        <w:fldChar w:fldCharType="end"/>
      </w:r>
      <w:r>
        <w:t xml:space="preserve">. </w:t>
      </w:r>
      <w:bookmarkStart w:id="13" w:name="_Hlk117236695"/>
      <w:r>
        <w:t xml:space="preserve">The schematic of the </w:t>
      </w:r>
      <w:r>
        <w:rPr>
          <w:rFonts w:hint="eastAsia"/>
        </w:rPr>
        <w:t xml:space="preserve">vehicle </w:t>
      </w:r>
      <w:r>
        <w:t xml:space="preserve">chassis dynamometer </w:t>
      </w:r>
      <w:r>
        <w:rPr>
          <w:rFonts w:hint="eastAsia"/>
        </w:rPr>
        <w:t>test an</w:t>
      </w:r>
      <w:r>
        <w:t>d the</w:t>
      </w:r>
      <w:r>
        <w:rPr>
          <w:rFonts w:hint="eastAsia"/>
        </w:rPr>
        <w:t xml:space="preserve"> oxidation flow reactor system (Veh-OFR).</w:t>
      </w:r>
      <w:bookmarkEnd w:id="13"/>
    </w:p>
    <w:p>
      <w:pPr>
        <w:ind w:firstLine="480"/>
      </w:pPr>
    </w:p>
    <w:p>
      <w:pPr>
        <w:spacing w:line="240" w:lineRule="auto"/>
        <w:ind w:firstLine="0" w:firstLineChars="0"/>
        <w:jc w:val="center"/>
      </w:pPr>
    </w:p>
    <w:p>
      <w:pPr>
        <w:pStyle w:val="12"/>
        <w:rPr>
          <w:rFonts w:hint="default"/>
        </w:rPr>
      </w:pPr>
      <w:r>
        <w:drawing>
          <wp:inline distT="0" distB="0" distL="114300" distR="114300">
            <wp:extent cx="3599815" cy="2398395"/>
            <wp:effectExtent l="0" t="0" r="6985" b="1905"/>
            <wp:docPr id="18" name="图片 18" descr="20210609停留时间分布_2022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10609停留时间分布_20220302"/>
                    <pic:cNvPicPr>
                      <a:picLocks noChangeAspect="1"/>
                    </pic:cNvPicPr>
                  </pic:nvPicPr>
                  <pic:blipFill>
                    <a:blip r:embed="rId25"/>
                    <a:stretch>
                      <a:fillRect/>
                    </a:stretch>
                  </pic:blipFill>
                  <pic:spPr>
                    <a:xfrm>
                      <a:off x="0" y="0"/>
                      <a:ext cx="3599815" cy="2398395"/>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12</w:t>
      </w:r>
      <w:r>
        <w:rPr>
          <w:b/>
        </w:rPr>
        <w:fldChar w:fldCharType="end"/>
      </w:r>
      <w:r>
        <w:rPr>
          <w:b/>
        </w:rPr>
        <w:t>.</w:t>
      </w:r>
      <w:r>
        <w:rPr>
          <w:rFonts w:hint="eastAsia"/>
        </w:rPr>
        <w:t xml:space="preserve"> The </w:t>
      </w:r>
      <w:bookmarkStart w:id="14" w:name="_Hlk117236796"/>
      <w:r>
        <w:rPr>
          <w:rFonts w:hint="eastAsia"/>
        </w:rPr>
        <w:t xml:space="preserve">distribution of residence time </w:t>
      </w:r>
      <w:bookmarkEnd w:id="14"/>
      <w:r>
        <w:rPr>
          <w:rFonts w:hint="eastAsia"/>
        </w:rPr>
        <w:t>of Veh-OFR and the comparisons with other reported OFR reactors</w:t>
      </w:r>
    </w:p>
    <w:p>
      <w:pPr>
        <w:pStyle w:val="12"/>
        <w:rPr>
          <w:rFonts w:hint="default"/>
        </w:rPr>
      </w:pPr>
      <w:r>
        <w:drawing>
          <wp:inline distT="0" distB="0" distL="114300" distR="114300">
            <wp:extent cx="3599815" cy="2894330"/>
            <wp:effectExtent l="0" t="0" r="6985" b="1270"/>
            <wp:docPr id="20" name="图片 20" descr="10s间隔2022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0s间隔20220329"/>
                    <pic:cNvPicPr>
                      <a:picLocks noChangeAspect="1"/>
                    </pic:cNvPicPr>
                  </pic:nvPicPr>
                  <pic:blipFill>
                    <a:blip r:embed="rId26"/>
                    <a:stretch>
                      <a:fillRect/>
                    </a:stretch>
                  </pic:blipFill>
                  <pic:spPr>
                    <a:xfrm>
                      <a:off x="0" y="0"/>
                      <a:ext cx="3599815" cy="289433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13</w:t>
      </w:r>
      <w:r>
        <w:rPr>
          <w:b/>
        </w:rPr>
        <w:fldChar w:fldCharType="end"/>
      </w:r>
      <w:r>
        <w:rPr>
          <w:b/>
        </w:rPr>
        <w:t>.</w:t>
      </w:r>
      <w:r>
        <w:rPr>
          <w:rFonts w:hint="eastAsia"/>
        </w:rPr>
        <w:t xml:space="preserve"> The </w:t>
      </w:r>
      <w:r>
        <w:t xml:space="preserve">time </w:t>
      </w:r>
      <w:r>
        <w:rPr>
          <w:rFonts w:hint="eastAsia"/>
        </w:rPr>
        <w:t xml:space="preserve">response to the 10s interval </w:t>
      </w:r>
      <w:bookmarkStart w:id="15" w:name="_Hlk117236977"/>
      <w:r>
        <w:rPr>
          <w:rFonts w:hint="eastAsia"/>
        </w:rPr>
        <w:t xml:space="preserve">flow pulses of </w:t>
      </w:r>
      <w:r>
        <w:t>seed</w:t>
      </w:r>
      <w:r>
        <w:rPr>
          <w:rFonts w:hint="eastAsia"/>
        </w:rPr>
        <w:t xml:space="preserve"> </w:t>
      </w:r>
      <w:r>
        <w:t>aerosols</w:t>
      </w:r>
      <w:bookmarkEnd w:id="15"/>
      <w:r>
        <w:rPr>
          <w:rFonts w:hint="eastAsia"/>
        </w:rPr>
        <w:t xml:space="preserve"> into Veh-OFR at a rate of 15 L/min. The monodisperse particles, i.e., 20, 40, 80, and 120</w:t>
      </w:r>
      <w:r>
        <w:t xml:space="preserve"> </w:t>
      </w:r>
      <w:r>
        <w:rPr>
          <w:rFonts w:hint="eastAsia"/>
        </w:rPr>
        <w:t xml:space="preserve">nm </w:t>
      </w:r>
      <w:r>
        <w:t>aerosols</w:t>
      </w:r>
      <w:r>
        <w:rPr>
          <w:rFonts w:hint="eastAsia"/>
        </w:rPr>
        <w:t xml:space="preserve">, </w:t>
      </w:r>
      <w:r>
        <w:t>we</w:t>
      </w:r>
      <w:r>
        <w:rPr>
          <w:rFonts w:hint="eastAsia"/>
        </w:rPr>
        <w:t xml:space="preserve">re tested respectively.  </w:t>
      </w:r>
    </w:p>
    <w:p>
      <w:pPr>
        <w:spacing w:line="240" w:lineRule="auto"/>
        <w:ind w:firstLine="0" w:firstLineChars="0"/>
        <w:jc w:val="center"/>
      </w:pPr>
    </w:p>
    <w:p>
      <w:pPr>
        <w:pStyle w:val="12"/>
        <w:rPr>
          <w:rFonts w:hint="default"/>
        </w:rPr>
      </w:pPr>
      <w:r>
        <w:drawing>
          <wp:inline distT="0" distB="0" distL="114300" distR="114300">
            <wp:extent cx="3599815" cy="2195830"/>
            <wp:effectExtent l="0" t="0" r="6985" b="12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7"/>
                    <a:stretch>
                      <a:fillRect/>
                    </a:stretch>
                  </pic:blipFill>
                  <pic:spPr>
                    <a:xfrm>
                      <a:off x="0" y="0"/>
                      <a:ext cx="3599815" cy="2195830"/>
                    </a:xfrm>
                    <a:prstGeom prst="rect">
                      <a:avLst/>
                    </a:prstGeom>
                    <a:noFill/>
                    <a:ln>
                      <a:noFill/>
                    </a:ln>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14</w:t>
      </w:r>
      <w:r>
        <w:rPr>
          <w:b/>
        </w:rPr>
        <w:fldChar w:fldCharType="end"/>
      </w:r>
      <w:r>
        <w:rPr>
          <w:rFonts w:hint="eastAsia"/>
        </w:rPr>
        <w:t xml:space="preserve">. </w:t>
      </w:r>
      <w:bookmarkStart w:id="16" w:name="_Hlk117238372"/>
      <w:r>
        <w:t>Time response of Veh-OFR to SOA formation</w:t>
      </w:r>
      <w:bookmarkEnd w:id="16"/>
      <w:r>
        <w:t xml:space="preserve"> formed by aromatic hydrocarbon flow pulses. The two sets of SOA peaks shown in the figure are the precursor pulses with 10s and 15s intervals, respectively.</w:t>
      </w:r>
    </w:p>
    <w:p>
      <w:pPr>
        <w:pStyle w:val="12"/>
        <w:rPr>
          <w:rFonts w:hint="default"/>
        </w:rPr>
      </w:pPr>
      <w:r>
        <w:drawing>
          <wp:inline distT="0" distB="0" distL="114300" distR="114300">
            <wp:extent cx="3599815" cy="2900045"/>
            <wp:effectExtent l="0" t="0" r="6985" b="8255"/>
            <wp:docPr id="19" name="图片 19" descr="20210725bisun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10725bisunshi"/>
                    <pic:cNvPicPr>
                      <a:picLocks noChangeAspect="1"/>
                    </pic:cNvPicPr>
                  </pic:nvPicPr>
                  <pic:blipFill>
                    <a:blip r:embed="rId28"/>
                    <a:stretch>
                      <a:fillRect/>
                    </a:stretch>
                  </pic:blipFill>
                  <pic:spPr>
                    <a:xfrm>
                      <a:off x="0" y="0"/>
                      <a:ext cx="3599815" cy="2900045"/>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15</w:t>
      </w:r>
      <w:r>
        <w:rPr>
          <w:b/>
        </w:rPr>
        <w:fldChar w:fldCharType="end"/>
      </w:r>
      <w:r>
        <w:rPr>
          <w:b/>
        </w:rPr>
        <w:t>.</w:t>
      </w:r>
      <w:r>
        <w:rPr>
          <w:rFonts w:hint="eastAsia"/>
        </w:rPr>
        <w:t xml:space="preserve"> The quantification of </w:t>
      </w:r>
      <w:bookmarkStart w:id="17" w:name="_Hlk117238669"/>
      <w:r>
        <w:rPr>
          <w:rFonts w:hint="eastAsia"/>
        </w:rPr>
        <w:t>particle wall loss</w:t>
      </w:r>
      <w:bookmarkEnd w:id="17"/>
      <w:r>
        <w:rPr>
          <w:rFonts w:hint="eastAsia"/>
        </w:rPr>
        <w:t xml:space="preserve"> in the Veh-OFR reactor under the sample/sheath flows design and mixed flows</w:t>
      </w:r>
      <w:r>
        <w:t xml:space="preserve"> respectively</w:t>
      </w:r>
      <w:r>
        <w:rPr>
          <w:rFonts w:hint="eastAsia"/>
        </w:rPr>
        <w:t>.</w:t>
      </w:r>
    </w:p>
    <w:p>
      <w:pPr>
        <w:pStyle w:val="3"/>
        <w:ind w:left="960" w:hanging="480"/>
      </w:pPr>
    </w:p>
    <w:p>
      <w:pPr>
        <w:pStyle w:val="12"/>
        <w:rPr>
          <w:rFonts w:hint="default"/>
        </w:rPr>
      </w:pPr>
      <w:r>
        <w:drawing>
          <wp:inline distT="0" distB="0" distL="114300" distR="114300">
            <wp:extent cx="4319905" cy="3616325"/>
            <wp:effectExtent l="0" t="0" r="10795" b="3175"/>
            <wp:docPr id="1" name="图片 1" descr="20210105_NOx_PM拟合_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10105_NOx_PM拟合_0204"/>
                    <pic:cNvPicPr>
                      <a:picLocks noChangeAspect="1"/>
                    </pic:cNvPicPr>
                  </pic:nvPicPr>
                  <pic:blipFill>
                    <a:blip r:embed="rId29"/>
                    <a:stretch>
                      <a:fillRect/>
                    </a:stretch>
                  </pic:blipFill>
                  <pic:spPr>
                    <a:xfrm>
                      <a:off x="0" y="0"/>
                      <a:ext cx="4319905" cy="3616325"/>
                    </a:xfrm>
                    <a:prstGeom prst="rect">
                      <a:avLst/>
                    </a:prstGeom>
                  </pic:spPr>
                </pic:pic>
              </a:graphicData>
            </a:graphic>
          </wp:inline>
        </w:drawing>
      </w:r>
    </w:p>
    <w:p>
      <w:pPr>
        <w:pStyle w:val="2"/>
        <w:rPr>
          <w:rFonts w:cs="Times New Roman"/>
        </w:rPr>
      </w:pPr>
      <w:r>
        <w:rPr>
          <w:b/>
        </w:rPr>
        <w:t>Figure S</w:t>
      </w:r>
      <w:r>
        <w:rPr>
          <w:b/>
        </w:rPr>
        <w:fldChar w:fldCharType="begin"/>
      </w:r>
      <w:r>
        <w:rPr>
          <w:b/>
        </w:rPr>
        <w:instrText xml:space="preserve"> SEQ Figure_S \* ARABIC </w:instrText>
      </w:r>
      <w:r>
        <w:rPr>
          <w:b/>
        </w:rPr>
        <w:fldChar w:fldCharType="separate"/>
      </w:r>
      <w:r>
        <w:rPr>
          <w:b/>
        </w:rPr>
        <w:t>16</w:t>
      </w:r>
      <w:r>
        <w:rPr>
          <w:b/>
        </w:rPr>
        <w:fldChar w:fldCharType="end"/>
      </w:r>
      <w:r>
        <w:rPr>
          <w:b/>
        </w:rPr>
        <w:t>.</w:t>
      </w:r>
      <w:r>
        <w:rPr>
          <w:rFonts w:hint="eastAsia"/>
        </w:rPr>
        <w:t xml:space="preserve"> The </w:t>
      </w:r>
      <w:bookmarkStart w:id="18" w:name="_Hlk117239667"/>
      <w:r>
        <w:rPr>
          <w:rFonts w:hint="eastAsia"/>
        </w:rPr>
        <w:t>nitrate formation as a function of NOx under different NH</w:t>
      </w:r>
      <w:r>
        <w:rPr>
          <w:rFonts w:hint="eastAsia"/>
          <w:vertAlign w:val="subscript"/>
        </w:rPr>
        <w:t>3</w:t>
      </w:r>
      <w:r>
        <w:rPr>
          <w:rFonts w:hint="eastAsia"/>
        </w:rPr>
        <w:t xml:space="preserve"> levels</w:t>
      </w:r>
      <w:bookmarkEnd w:id="18"/>
      <w:r>
        <w:rPr>
          <w:rFonts w:hint="eastAsia"/>
        </w:rPr>
        <w:t xml:space="preserve"> (a, b, c). The yield of NOx to nitrate as a function of NH</w:t>
      </w:r>
      <w:r>
        <w:rPr>
          <w:rFonts w:hint="eastAsia"/>
          <w:vertAlign w:val="subscript"/>
        </w:rPr>
        <w:t>3</w:t>
      </w:r>
      <w:r>
        <w:rPr>
          <w:rFonts w:hint="eastAsia"/>
        </w:rPr>
        <w:t xml:space="preserve"> concentration (d).</w:t>
      </w:r>
      <w:r>
        <w:t xml:space="preserve"> </w:t>
      </w:r>
    </w:p>
    <w:p>
      <w:pPr>
        <w:pStyle w:val="12"/>
        <w:rPr>
          <w:rFonts w:hint="default"/>
        </w:rPr>
      </w:pPr>
      <w:r>
        <w:drawing>
          <wp:inline distT="0" distB="0" distL="114300" distR="114300">
            <wp:extent cx="3599815" cy="3475990"/>
            <wp:effectExtent l="0" t="0" r="6985" b="3810"/>
            <wp:docPr id="2" name="图片 2" descr="20210105_NH3_PM拟合_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10105_NH3_PM拟合_0204"/>
                    <pic:cNvPicPr>
                      <a:picLocks noChangeAspect="1"/>
                    </pic:cNvPicPr>
                  </pic:nvPicPr>
                  <pic:blipFill>
                    <a:blip r:embed="rId30"/>
                    <a:stretch>
                      <a:fillRect/>
                    </a:stretch>
                  </pic:blipFill>
                  <pic:spPr>
                    <a:xfrm>
                      <a:off x="0" y="0"/>
                      <a:ext cx="3599815" cy="347599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17</w:t>
      </w:r>
      <w:r>
        <w:rPr>
          <w:b/>
        </w:rPr>
        <w:fldChar w:fldCharType="end"/>
      </w:r>
      <w:r>
        <w:rPr>
          <w:b/>
        </w:rPr>
        <w:t>.</w:t>
      </w:r>
      <w:r>
        <w:rPr>
          <w:rFonts w:hint="eastAsia"/>
        </w:rPr>
        <w:t xml:space="preserve"> Ammonia secondary aerosol production as a function of NH</w:t>
      </w:r>
      <w:r>
        <w:rPr>
          <w:rFonts w:hint="eastAsia"/>
          <w:vertAlign w:val="subscript"/>
        </w:rPr>
        <w:t>3</w:t>
      </w:r>
      <w:r>
        <w:rPr>
          <w:rFonts w:hint="eastAsia"/>
        </w:rPr>
        <w:t xml:space="preserve"> under different OH exposure.</w:t>
      </w:r>
      <w:r>
        <w:t xml:space="preserve"> </w:t>
      </w:r>
    </w:p>
    <w:p>
      <w:pPr>
        <w:pStyle w:val="3"/>
        <w:ind w:left="960" w:hanging="480"/>
      </w:pPr>
    </w:p>
    <w:p>
      <w:pPr>
        <w:pStyle w:val="12"/>
        <w:rPr>
          <w:rFonts w:hint="default"/>
        </w:rPr>
      </w:pPr>
      <w:r>
        <w:drawing>
          <wp:inline distT="0" distB="0" distL="114300" distR="114300">
            <wp:extent cx="3637280" cy="2768600"/>
            <wp:effectExtent l="0" t="0" r="7620" b="0"/>
            <wp:docPr id="12" name="图片 12" descr="202202121NaCl验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202121NaCl验证"/>
                    <pic:cNvPicPr>
                      <a:picLocks noChangeAspect="1"/>
                    </pic:cNvPicPr>
                  </pic:nvPicPr>
                  <pic:blipFill>
                    <a:blip r:embed="rId31"/>
                    <a:stretch>
                      <a:fillRect/>
                    </a:stretch>
                  </pic:blipFill>
                  <pic:spPr>
                    <a:xfrm>
                      <a:off x="0" y="0"/>
                      <a:ext cx="3637280" cy="276860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18</w:t>
      </w:r>
      <w:r>
        <w:rPr>
          <w:b/>
        </w:rPr>
        <w:fldChar w:fldCharType="end"/>
      </w:r>
      <w:r>
        <w:rPr>
          <w:b/>
        </w:rPr>
        <w:t>.</w:t>
      </w:r>
      <w:r>
        <w:rPr>
          <w:rFonts w:hint="eastAsia"/>
        </w:rPr>
        <w:t xml:space="preserve"> </w:t>
      </w:r>
      <w:bookmarkStart w:id="19" w:name="_Hlk117242966"/>
      <w:r>
        <w:t>Calculated SOA vs. measured SOA.</w:t>
      </w:r>
      <w:bookmarkEnd w:id="19"/>
      <w:r>
        <w:t xml:space="preserve"> The ratios of calculated SOA and seed concentrations measured by EEPS vs. the ratios of OA and NaCl compositions analyzed by filters.</w:t>
      </w:r>
    </w:p>
    <w:p>
      <w:pPr>
        <w:pStyle w:val="3"/>
        <w:ind w:left="960" w:hanging="480"/>
      </w:pPr>
    </w:p>
    <w:p>
      <w:pPr>
        <w:pStyle w:val="12"/>
        <w:rPr>
          <w:rFonts w:hint="default"/>
        </w:rPr>
      </w:pPr>
    </w:p>
    <w:p>
      <w:pPr>
        <w:pStyle w:val="2"/>
      </w:pPr>
    </w:p>
    <w:p>
      <w:pPr>
        <w:pStyle w:val="2"/>
      </w:pPr>
      <w:r>
        <w:rPr>
          <w:rFonts w:hint="eastAsia"/>
        </w:rPr>
        <w:t xml:space="preserve"> </w:t>
      </w:r>
    </w:p>
    <w:p>
      <w:pPr>
        <w:pStyle w:val="12"/>
        <w:rPr>
          <w:rFonts w:hint="default"/>
        </w:rPr>
      </w:pPr>
      <w:r>
        <w:drawing>
          <wp:inline distT="0" distB="0" distL="114300" distR="114300">
            <wp:extent cx="3600450" cy="2717800"/>
            <wp:effectExtent l="0" t="0" r="6350" b="0"/>
            <wp:docPr id="21" name="图片 21" descr="20210803仪器对比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0210803仪器对比01"/>
                    <pic:cNvPicPr>
                      <a:picLocks noChangeAspect="1"/>
                    </pic:cNvPicPr>
                  </pic:nvPicPr>
                  <pic:blipFill>
                    <a:blip r:embed="rId32"/>
                    <a:stretch>
                      <a:fillRect/>
                    </a:stretch>
                  </pic:blipFill>
                  <pic:spPr>
                    <a:xfrm>
                      <a:off x="0" y="0"/>
                      <a:ext cx="3600450" cy="2717800"/>
                    </a:xfrm>
                    <a:prstGeom prst="rect">
                      <a:avLst/>
                    </a:prstGeom>
                  </pic:spPr>
                </pic:pic>
              </a:graphicData>
            </a:graphic>
          </wp:inline>
        </w:drawing>
      </w:r>
    </w:p>
    <w:p>
      <w:pPr>
        <w:pStyle w:val="2"/>
      </w:pPr>
      <w:r>
        <w:rPr>
          <w:b/>
        </w:rPr>
        <w:t>Figure S</w:t>
      </w:r>
      <w:r>
        <w:rPr>
          <w:b/>
        </w:rPr>
        <w:fldChar w:fldCharType="begin"/>
      </w:r>
      <w:r>
        <w:rPr>
          <w:b/>
        </w:rPr>
        <w:instrText xml:space="preserve"> SEQ Figure_S \* ARABIC </w:instrText>
      </w:r>
      <w:r>
        <w:rPr>
          <w:b/>
        </w:rPr>
        <w:fldChar w:fldCharType="separate"/>
      </w:r>
      <w:r>
        <w:rPr>
          <w:b/>
        </w:rPr>
        <w:t>19</w:t>
      </w:r>
      <w:r>
        <w:rPr>
          <w:b/>
        </w:rPr>
        <w:fldChar w:fldCharType="end"/>
      </w:r>
      <w:r>
        <w:rPr>
          <w:b/>
        </w:rPr>
        <w:t>.</w:t>
      </w:r>
      <w:r>
        <w:rPr>
          <w:rFonts w:hint="eastAsia"/>
        </w:rPr>
        <w:t xml:space="preserve"> Calibration of the values measured by EEPS using the data of SMPS. </w:t>
      </w:r>
    </w:p>
    <w:p>
      <w:pPr>
        <w:pStyle w:val="2"/>
      </w:pPr>
    </w:p>
    <w:p>
      <w:pPr>
        <w:pStyle w:val="2"/>
      </w:pPr>
    </w:p>
    <w:p>
      <w:pPr>
        <w:pStyle w:val="3"/>
        <w:ind w:left="960" w:hanging="480"/>
      </w:pPr>
    </w:p>
    <w:p>
      <w:pPr>
        <w:pStyle w:val="12"/>
        <w:rPr>
          <w:rFonts w:hint="default"/>
        </w:rPr>
      </w:pPr>
    </w:p>
    <w:p>
      <w:pPr>
        <w:pStyle w:val="3"/>
        <w:ind w:left="960" w:hanging="480"/>
      </w:pPr>
    </w:p>
    <w:p>
      <w:pPr>
        <w:pStyle w:val="3"/>
        <w:ind w:left="960" w:hanging="480"/>
      </w:pPr>
    </w:p>
    <w:p>
      <w:pPr>
        <w:ind w:firstLine="0" w:firstLineChars="0"/>
      </w:pPr>
      <w:r>
        <w:rPr>
          <w:rFonts w:hint="eastAsia"/>
        </w:rPr>
        <w:t xml:space="preserve"> </w:t>
      </w:r>
    </w:p>
    <w:p>
      <w:pPr>
        <w:ind w:firstLine="0" w:firstLineChars="0"/>
        <w:jc w:val="center"/>
      </w:pPr>
    </w:p>
    <w:p>
      <w:pPr>
        <w:pStyle w:val="3"/>
        <w:ind w:left="960" w:hanging="480"/>
      </w:pPr>
    </w:p>
    <w:p>
      <w:pPr>
        <w:ind w:firstLine="480"/>
      </w:pPr>
    </w:p>
    <w:p>
      <w:pPr>
        <w:pStyle w:val="3"/>
        <w:ind w:left="960" w:hanging="480"/>
      </w:pPr>
    </w:p>
    <w:p/>
    <w:p/>
    <w:p/>
    <w:p/>
    <w:p/>
    <w:p>
      <w:bookmarkStart w:id="20" w:name="_GoBack"/>
      <w:bookmarkEnd w:id="20"/>
    </w:p>
    <w:p>
      <w:pPr>
        <w:pStyle w:val="3"/>
        <w:ind w:left="960" w:hanging="480"/>
      </w:pPr>
    </w:p>
    <w:p>
      <w:pPr>
        <w:pStyle w:val="12"/>
        <w:jc w:val="left"/>
        <w:rPr>
          <w:rFonts w:hint="default"/>
        </w:rPr>
      </w:pPr>
      <w:r>
        <w:t>REFERENCES</w:t>
      </w:r>
    </w:p>
    <w:sectPr>
      <w:headerReference r:id="rId7" w:type="first"/>
      <w:footerReference r:id="rId10" w:type="first"/>
      <w:headerReference r:id="rId5" w:type="default"/>
      <w:footerReference r:id="rId8" w:type="default"/>
      <w:headerReference r:id="rId6" w:type="even"/>
      <w:footerReference r:id="rId9" w:type="even"/>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4">
    <w:p>
      <w:pPr>
        <w:spacing w:line="240" w:lineRule="auto"/>
        <w:ind w:firstLine="480"/>
      </w:pPr>
    </w:p>
  </w:endnote>
  <w:endnote w:type="continuationSeparator" w:id="15">
    <w:p>
      <w:pPr>
        <w:spacing w:line="240" w:lineRule="auto"/>
        <w:ind w:firstLine="480"/>
      </w:pPr>
    </w:p>
  </w:endnote>
  <w:endnote w:id="0">
    <w:p>
      <w:pPr>
        <w:pStyle w:val="5"/>
        <w:keepNext w:val="0"/>
        <w:keepLines w:val="0"/>
        <w:pageBreakBefore w:val="0"/>
        <w:kinsoku/>
        <w:wordWrap/>
        <w:overflowPunct/>
        <w:topLinePunct w:val="0"/>
        <w:autoSpaceDE/>
        <w:autoSpaceDN/>
        <w:bidi w:val="0"/>
        <w:adjustRightInd/>
        <w:spacing w:after="200" w:line="480" w:lineRule="auto"/>
        <w:ind w:firstLine="0" w:firstLineChars="0"/>
        <w:jc w:val="both"/>
        <w:textAlignment w:val="auto"/>
      </w:pPr>
      <w:r>
        <w:rPr>
          <w:rStyle w:val="11"/>
        </w:rPr>
        <w:endnoteRef/>
      </w:r>
      <w:r>
        <w:t xml:space="preserve"> </w:t>
      </w:r>
      <w:r>
        <w:rPr>
          <w:rFonts w:ascii="Times" w:hAnsi="Times" w:cs="Times New Roman"/>
          <w:iCs/>
          <w:kern w:val="0"/>
          <w:sz w:val="21"/>
          <w:szCs w:val="20"/>
          <w:lang w:eastAsia="en-US"/>
        </w:rPr>
        <w:t>Peng, Z.; Day, D. A.; Ortega, A. M.; Palm, B. B.; Hu, W. W.; Stark, H.; Li, R.; Tsigaridis, K.; Brune, W. H.; Jimenez, J. L. Non-OH chemistry in oxidation flow reactors for the study of atmospheric chemistry systematically examined by modeling. Atmos. Chem. Phys. 2016, 16, 4283−4305.</w:t>
      </w:r>
    </w:p>
  </w:endnote>
  <w:endnote w:id="1">
    <w:p>
      <w:pPr>
        <w:pStyle w:val="22"/>
        <w:keepNext w:val="0"/>
        <w:keepLines w:val="0"/>
        <w:pageBreakBefore w:val="0"/>
        <w:kinsoku/>
        <w:wordWrap/>
        <w:overflowPunct/>
        <w:topLinePunct w:val="0"/>
        <w:autoSpaceDE/>
        <w:autoSpaceDN/>
        <w:bidi w:val="0"/>
        <w:adjustRightInd/>
        <w:spacing w:after="200"/>
        <w:ind w:firstLine="0" w:firstLineChars="0"/>
        <w:jc w:val="both"/>
        <w:textAlignment w:val="auto"/>
        <w:rPr>
          <w:iCs/>
          <w:sz w:val="21"/>
        </w:rPr>
      </w:pPr>
      <w:r>
        <w:rPr>
          <w:rStyle w:val="11"/>
          <w:iCs/>
          <w:sz w:val="21"/>
        </w:rPr>
        <w:endnoteRef/>
      </w:r>
      <w:r>
        <w:rPr>
          <w:iCs/>
          <w:sz w:val="21"/>
        </w:rPr>
        <w:t xml:space="preserve"> </w:t>
      </w:r>
      <w:r>
        <w:rPr>
          <w:rFonts w:hint="eastAsia"/>
          <w:iCs/>
          <w:sz w:val="21"/>
        </w:rPr>
        <w:t>Jathar, S. H.; Friedman, B.; Galang, A. A.; Link, M. F.; Brophy, P.; Volckens, J.; Eluri, S.; Farmer, D. K. Linking load, fuel, and emission controls to photochemical production of secondary organic aerosol from a diesel engine. Environ. Sci. Technol. 2017, 51, 1377</w:t>
      </w:r>
      <w:r>
        <w:rPr>
          <w:rFonts w:hint="eastAsia" w:ascii="微软雅黑" w:hAnsi="微软雅黑" w:eastAsia="微软雅黑" w:cs="微软雅黑"/>
          <w:iCs/>
          <w:sz w:val="21"/>
        </w:rPr>
        <w:t>−</w:t>
      </w:r>
      <w:r>
        <w:rPr>
          <w:rFonts w:hint="eastAsia"/>
          <w:iCs/>
          <w:sz w:val="21"/>
        </w:rPr>
        <w:t>1386.</w:t>
      </w:r>
    </w:p>
  </w:endnote>
  <w:endnote w:id="2">
    <w:p>
      <w:pPr>
        <w:pStyle w:val="22"/>
        <w:keepNext w:val="0"/>
        <w:keepLines w:val="0"/>
        <w:pageBreakBefore w:val="0"/>
        <w:kinsoku/>
        <w:wordWrap/>
        <w:overflowPunct/>
        <w:topLinePunct w:val="0"/>
        <w:autoSpaceDE/>
        <w:autoSpaceDN/>
        <w:bidi w:val="0"/>
        <w:adjustRightInd/>
        <w:spacing w:after="200"/>
        <w:ind w:firstLine="0" w:firstLineChars="0"/>
        <w:jc w:val="both"/>
        <w:textAlignment w:val="auto"/>
        <w:rPr>
          <w:iCs/>
          <w:sz w:val="21"/>
        </w:rPr>
      </w:pPr>
      <w:r>
        <w:rPr>
          <w:rStyle w:val="11"/>
          <w:iCs/>
          <w:sz w:val="21"/>
        </w:rPr>
        <w:endnoteRef/>
      </w:r>
      <w:r>
        <w:rPr>
          <w:iCs/>
          <w:sz w:val="21"/>
        </w:rPr>
        <w:t xml:space="preserve"> </w:t>
      </w:r>
      <w:r>
        <w:rPr>
          <w:rFonts w:hint="eastAsia"/>
          <w:iCs/>
          <w:sz w:val="21"/>
        </w:rPr>
        <w:t>Zhao, Y. L.; Lambe, A. T.; Saleh, R.; Saliba, G.; Robinson, A. L. Secondary organic aerosol production from gasoline vehicle exhaust: Effects of engine technology, cold start, and emission certification standard. Environ. Sci. Technol. 2018, 52, 1253</w:t>
      </w:r>
      <w:r>
        <w:rPr>
          <w:rFonts w:hint="eastAsia" w:ascii="微软雅黑" w:hAnsi="微软雅黑" w:eastAsia="微软雅黑" w:cs="微软雅黑"/>
          <w:iCs/>
          <w:sz w:val="21"/>
        </w:rPr>
        <w:t>−</w:t>
      </w:r>
      <w:r>
        <w:rPr>
          <w:rFonts w:hint="eastAsia"/>
          <w:iCs/>
          <w:sz w:val="21"/>
        </w:rPr>
        <w:t>1261.</w:t>
      </w:r>
    </w:p>
  </w:endnote>
  <w:endnote w:id="3">
    <w:p>
      <w:pPr>
        <w:pStyle w:val="22"/>
        <w:keepNext w:val="0"/>
        <w:keepLines w:val="0"/>
        <w:pageBreakBefore w:val="0"/>
        <w:kinsoku/>
        <w:wordWrap/>
        <w:overflowPunct/>
        <w:topLinePunct w:val="0"/>
        <w:autoSpaceDE/>
        <w:autoSpaceDN/>
        <w:bidi w:val="0"/>
        <w:adjustRightInd/>
        <w:spacing w:after="200"/>
        <w:ind w:firstLine="0" w:firstLineChars="0"/>
        <w:jc w:val="both"/>
        <w:textAlignment w:val="auto"/>
        <w:rPr>
          <w:iCs/>
          <w:sz w:val="21"/>
        </w:rPr>
      </w:pPr>
      <w:r>
        <w:rPr>
          <w:rStyle w:val="11"/>
          <w:iCs/>
          <w:sz w:val="21"/>
        </w:rPr>
        <w:endnoteRef/>
      </w:r>
      <w:r>
        <w:rPr>
          <w:iCs/>
          <w:sz w:val="21"/>
        </w:rPr>
        <w:t xml:space="preserve"> </w:t>
      </w:r>
      <w:r>
        <w:rPr>
          <w:rFonts w:hint="eastAsia"/>
          <w:iCs/>
          <w:sz w:val="21"/>
        </w:rPr>
        <w:t>Simonen, P.; Saukko, E.; Karjalainen, P.; Timonen, H.; Bloss, M.; Aakko Saksa, P.; Rffnkkff, T.; Keskinen, J.; Dal Maso, M. A new oxidation flow reactor for measuring secondary aerosol formation of rapidly changing emission sources. Atmos. Meas. Tech. 2017, 10, 1519</w:t>
      </w:r>
      <w:r>
        <w:rPr>
          <w:rFonts w:ascii="Times New Roman" w:hAnsi="Times New Roman"/>
          <w:iCs/>
          <w:sz w:val="21"/>
        </w:rPr>
        <w:t>–</w:t>
      </w:r>
      <w:r>
        <w:rPr>
          <w:rFonts w:hint="eastAsia"/>
          <w:iCs/>
          <w:sz w:val="21"/>
        </w:rPr>
        <w:t>537.</w:t>
      </w:r>
    </w:p>
  </w:endnote>
  <w:endnote w:id="4">
    <w:p>
      <w:pPr>
        <w:pStyle w:val="22"/>
        <w:keepNext w:val="0"/>
        <w:keepLines w:val="0"/>
        <w:pageBreakBefore w:val="0"/>
        <w:kinsoku/>
        <w:wordWrap/>
        <w:overflowPunct/>
        <w:topLinePunct w:val="0"/>
        <w:autoSpaceDE/>
        <w:autoSpaceDN/>
        <w:bidi w:val="0"/>
        <w:adjustRightInd/>
        <w:spacing w:after="200"/>
        <w:ind w:firstLine="0" w:firstLineChars="0"/>
        <w:jc w:val="both"/>
        <w:textAlignment w:val="auto"/>
      </w:pPr>
      <w:r>
        <w:rPr>
          <w:rStyle w:val="11"/>
          <w:iCs/>
          <w:sz w:val="21"/>
          <w:vertAlign w:val="baseline"/>
        </w:rPr>
        <w:endnoteRef/>
      </w:r>
      <w:r>
        <w:rPr>
          <w:rStyle w:val="11"/>
          <w:iCs/>
          <w:sz w:val="21"/>
          <w:vertAlign w:val="baseline"/>
        </w:rPr>
        <w:t xml:space="preserve"> Palm, B. B.; Campuzano-Jost, P.; Ortega, A. M.; Day, D. A.; Kaser, L.; Jud, W.; Karl, T.; Hansel, A.; Hunter, J. F.; Cross, E. S.; Kroll, J. H.; Peng, Z.; Brune, W. H.; Jimenez, J. L. In situ secondary organic aerosol formation from ambient pine forest air using an oxidation flow reactor. Atmos. Chem. Phys. 2016, 16, 2943−2970.</w:t>
      </w:r>
    </w:p>
  </w:endnote>
  <w:endnote w:id="5">
    <w:p>
      <w:pPr>
        <w:pStyle w:val="5"/>
        <w:keepNext w:val="0"/>
        <w:keepLines w:val="0"/>
        <w:pageBreakBefore w:val="0"/>
        <w:kinsoku/>
        <w:wordWrap/>
        <w:overflowPunct/>
        <w:topLinePunct w:val="0"/>
        <w:autoSpaceDE/>
        <w:autoSpaceDN/>
        <w:bidi w:val="0"/>
        <w:adjustRightInd/>
        <w:spacing w:after="200" w:line="480" w:lineRule="auto"/>
        <w:ind w:firstLine="0" w:firstLineChars="0"/>
        <w:jc w:val="both"/>
        <w:textAlignment w:val="auto"/>
        <w:rPr>
          <w:rStyle w:val="11"/>
          <w:rFonts w:ascii="Times" w:hAnsi="Times" w:cs="Times New Roman"/>
          <w:iCs/>
          <w:kern w:val="0"/>
          <w:sz w:val="21"/>
          <w:szCs w:val="20"/>
          <w:vertAlign w:val="baseline"/>
          <w:lang w:eastAsia="en-US"/>
        </w:rPr>
      </w:pPr>
      <w:r>
        <w:rPr>
          <w:rStyle w:val="11"/>
          <w:rFonts w:ascii="Times" w:hAnsi="Times" w:cs="Times New Roman"/>
          <w:iCs/>
          <w:kern w:val="0"/>
          <w:sz w:val="21"/>
          <w:szCs w:val="20"/>
          <w:vertAlign w:val="baseline"/>
          <w:lang w:eastAsia="en-US"/>
        </w:rPr>
        <w:endnoteRef/>
      </w:r>
      <w:r>
        <w:rPr>
          <w:rStyle w:val="11"/>
          <w:rFonts w:ascii="Times" w:hAnsi="Times" w:cs="Times New Roman"/>
          <w:iCs/>
          <w:kern w:val="0"/>
          <w:sz w:val="21"/>
          <w:szCs w:val="20"/>
          <w:vertAlign w:val="baseline"/>
          <w:lang w:eastAsia="en-US"/>
        </w:rPr>
        <w:t xml:space="preserve"> Seinfeld, J. H. and Pandis, S. N.: Atmospheric chemistry and physics: from air pollution to climate change, 2nd ed., John Wiley &amp; Sons, Inc., Hoboken, New Jersey, USA, 2006.</w:t>
      </w:r>
    </w:p>
  </w:endnote>
  <w:endnote w:id="6">
    <w:p>
      <w:pPr>
        <w:pStyle w:val="5"/>
        <w:keepNext w:val="0"/>
        <w:keepLines w:val="0"/>
        <w:pageBreakBefore w:val="0"/>
        <w:kinsoku/>
        <w:wordWrap/>
        <w:overflowPunct/>
        <w:topLinePunct w:val="0"/>
        <w:autoSpaceDE/>
        <w:autoSpaceDN/>
        <w:bidi w:val="0"/>
        <w:adjustRightInd/>
        <w:spacing w:after="200" w:line="480" w:lineRule="auto"/>
        <w:ind w:firstLine="0" w:firstLineChars="0"/>
        <w:jc w:val="both"/>
        <w:textAlignment w:val="auto"/>
      </w:pPr>
      <w:r>
        <w:rPr>
          <w:rStyle w:val="11"/>
          <w:rFonts w:ascii="Times" w:hAnsi="Times" w:cs="Times New Roman"/>
          <w:iCs/>
          <w:kern w:val="0"/>
          <w:sz w:val="21"/>
          <w:szCs w:val="20"/>
          <w:vertAlign w:val="baseline"/>
          <w:lang w:eastAsia="en-US"/>
        </w:rPr>
        <w:endnoteRef/>
      </w:r>
      <w:r>
        <w:rPr>
          <w:rStyle w:val="11"/>
          <w:rFonts w:ascii="Times" w:hAnsi="Times" w:cs="Times New Roman"/>
          <w:iCs/>
          <w:kern w:val="0"/>
          <w:sz w:val="21"/>
          <w:szCs w:val="20"/>
          <w:vertAlign w:val="baseline"/>
          <w:lang w:eastAsia="en-US"/>
        </w:rPr>
        <w:t xml:space="preserve"> Zhang, X.; Cappa, C. D.; Jathar, S. H.; McVay, R. C.; Ensberg, J. J.; Kleeman, M. J.; Seinfeld, J. H. Influence of Vapor Wall Loss in Laboratory Chambers on Yields of Secondary Organic Aerosol. Proc. Natl. Acad. Sci. U. S. A. 2014, 111, 5802−5807.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59264" behindDoc="0" locked="0" layoutInCell="1" allowOverlap="1">
              <wp:simplePos x="0" y="0"/>
              <wp:positionH relativeFrom="margin">
                <wp:posOffset>2458720</wp:posOffset>
              </wp:positionH>
              <wp:positionV relativeFrom="paragraph">
                <wp:posOffset>1905</wp:posOffset>
              </wp:positionV>
              <wp:extent cx="588645" cy="1828800"/>
              <wp:effectExtent l="0" t="0" r="2540" b="6350"/>
              <wp:wrapNone/>
              <wp:docPr id="6" name="文本框 6"/>
              <wp:cNvGraphicFramePr/>
              <a:graphic xmlns:a="http://schemas.openxmlformats.org/drawingml/2006/main">
                <a:graphicData uri="http://schemas.microsoft.com/office/word/2010/wordprocessingShape">
                  <wps:wsp>
                    <wps:cNvSpPr txBox="1"/>
                    <wps:spPr>
                      <a:xfrm>
                        <a:off x="0" y="0"/>
                        <a:ext cx="588396"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360"/>
                            <w:jc w:val="both"/>
                          </w:pPr>
                          <w:r>
                            <w:rPr>
                              <w:rFonts w:hint="eastAsia"/>
                            </w:rPr>
                            <w:t>S</w:t>
                          </w: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3.6pt;margin-top:0.15pt;height:144pt;width:46.35pt;mso-position-horizontal-relative:margin;z-index:251659264;mso-width-relative:page;mso-height-relative:page;" filled="f" stroked="f" coordsize="21600,21600" o:gfxdata="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y5ih9gAAAAIAQAADwAAAAAAAAABACAAAAAiAAAAZHJzL2Rvd25yZXYueG1s&#10;UEsBAhQAFAAAAAgAh07iQJtMSa4xAgAAVgQAAA4AAAAAAAAAAQAgAAAAJwEAAGRycy9lMm9Eb2Mu&#10;eG1sUEsFBgAAAAAGAAYAWQEAAMoFAAAAAA==&#10;">
              <v:fill on="f" focussize="0,0"/>
              <v:stroke on="f" weight="0.5pt"/>
              <v:imagedata o:title=""/>
              <o:lock v:ext="edit" aspectratio="f"/>
              <v:textbox inset="0mm,0mm,0mm,0mm" style="mso-fit-shape-to-text:t;">
                <w:txbxContent>
                  <w:p>
                    <w:pPr>
                      <w:pStyle w:val="6"/>
                      <w:ind w:firstLine="360"/>
                      <w:jc w:val="both"/>
                    </w:pPr>
                    <w:r>
                      <w:rPr>
                        <w:rFonts w:hint="eastAsia"/>
                      </w:rPr>
                      <w:t>S</w:t>
                    </w: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p>
  </w:footnote>
  <w:footnote w:type="continuationSeparator" w:id="1">
    <w:p>
      <w:pPr>
        <w:spacing w:line="360" w:lineRule="auto"/>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footnotePr>
    <w:footnote w:id="0"/>
    <w:footnote w:id="1"/>
  </w:footnotePr>
  <w:endnotePr>
    <w:numFmt w:val="decimal"/>
    <w:endnote w:id="14"/>
    <w:endnote w:id="15"/>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DQCYktTI3NDU1MDCyUdpeDU4uLM/DyQAkPjWgARWYf+LQAAAA=="/>
    <w:docVar w:name="commondata" w:val="eyJoZGlkIjoiY2U4Mzc2NDA3NjZkMjMxYjNmMWMzYWYyOTViZjRjYWUifQ=="/>
  </w:docVars>
  <w:rsids>
    <w:rsidRoot w:val="005E5E2A"/>
    <w:rsid w:val="00017C99"/>
    <w:rsid w:val="00041FF3"/>
    <w:rsid w:val="000975B5"/>
    <w:rsid w:val="000A07F5"/>
    <w:rsid w:val="000E1F86"/>
    <w:rsid w:val="00106948"/>
    <w:rsid w:val="00110EEF"/>
    <w:rsid w:val="00112B7C"/>
    <w:rsid w:val="00120C41"/>
    <w:rsid w:val="00142A9E"/>
    <w:rsid w:val="0016733C"/>
    <w:rsid w:val="001D08E1"/>
    <w:rsid w:val="001D500F"/>
    <w:rsid w:val="001F1B50"/>
    <w:rsid w:val="002448E3"/>
    <w:rsid w:val="00246B89"/>
    <w:rsid w:val="00246F74"/>
    <w:rsid w:val="002673AD"/>
    <w:rsid w:val="002865CC"/>
    <w:rsid w:val="0029699A"/>
    <w:rsid w:val="002B54B9"/>
    <w:rsid w:val="003030F8"/>
    <w:rsid w:val="00315CBA"/>
    <w:rsid w:val="0035549C"/>
    <w:rsid w:val="003658BB"/>
    <w:rsid w:val="003711B1"/>
    <w:rsid w:val="003816A5"/>
    <w:rsid w:val="00390CDB"/>
    <w:rsid w:val="003B45CC"/>
    <w:rsid w:val="003C177A"/>
    <w:rsid w:val="00414C2D"/>
    <w:rsid w:val="004467CE"/>
    <w:rsid w:val="00462997"/>
    <w:rsid w:val="00492DA1"/>
    <w:rsid w:val="004A0EE2"/>
    <w:rsid w:val="004A52FE"/>
    <w:rsid w:val="004E1229"/>
    <w:rsid w:val="00506022"/>
    <w:rsid w:val="00541A83"/>
    <w:rsid w:val="00552D00"/>
    <w:rsid w:val="00555257"/>
    <w:rsid w:val="00564B5C"/>
    <w:rsid w:val="005679CB"/>
    <w:rsid w:val="005716DE"/>
    <w:rsid w:val="0058453F"/>
    <w:rsid w:val="0059265D"/>
    <w:rsid w:val="00594334"/>
    <w:rsid w:val="005944B8"/>
    <w:rsid w:val="005A268D"/>
    <w:rsid w:val="005E5E2A"/>
    <w:rsid w:val="005F4748"/>
    <w:rsid w:val="00641382"/>
    <w:rsid w:val="00641B62"/>
    <w:rsid w:val="006661EA"/>
    <w:rsid w:val="00674E43"/>
    <w:rsid w:val="00674F47"/>
    <w:rsid w:val="006811A0"/>
    <w:rsid w:val="006A403C"/>
    <w:rsid w:val="006B1CF6"/>
    <w:rsid w:val="006B581A"/>
    <w:rsid w:val="006D76B8"/>
    <w:rsid w:val="00703030"/>
    <w:rsid w:val="0071217F"/>
    <w:rsid w:val="007207E9"/>
    <w:rsid w:val="00725838"/>
    <w:rsid w:val="007433FC"/>
    <w:rsid w:val="007760BE"/>
    <w:rsid w:val="00790AEB"/>
    <w:rsid w:val="0079581D"/>
    <w:rsid w:val="007D52BD"/>
    <w:rsid w:val="007E148F"/>
    <w:rsid w:val="008150E3"/>
    <w:rsid w:val="00862B2C"/>
    <w:rsid w:val="0089393A"/>
    <w:rsid w:val="00896076"/>
    <w:rsid w:val="008C0A1E"/>
    <w:rsid w:val="008E5832"/>
    <w:rsid w:val="008E72B8"/>
    <w:rsid w:val="00923BB2"/>
    <w:rsid w:val="00936F03"/>
    <w:rsid w:val="00971782"/>
    <w:rsid w:val="00990B96"/>
    <w:rsid w:val="009A705F"/>
    <w:rsid w:val="009B3132"/>
    <w:rsid w:val="009E1067"/>
    <w:rsid w:val="00A17466"/>
    <w:rsid w:val="00A32D89"/>
    <w:rsid w:val="00A34E81"/>
    <w:rsid w:val="00A3768E"/>
    <w:rsid w:val="00A674E7"/>
    <w:rsid w:val="00A720B0"/>
    <w:rsid w:val="00A81B72"/>
    <w:rsid w:val="00AC1C7D"/>
    <w:rsid w:val="00AD6C66"/>
    <w:rsid w:val="00AE31C9"/>
    <w:rsid w:val="00B11974"/>
    <w:rsid w:val="00B1410B"/>
    <w:rsid w:val="00B31437"/>
    <w:rsid w:val="00B6570D"/>
    <w:rsid w:val="00B66905"/>
    <w:rsid w:val="00B70650"/>
    <w:rsid w:val="00B718DC"/>
    <w:rsid w:val="00B728C4"/>
    <w:rsid w:val="00B72C17"/>
    <w:rsid w:val="00B77420"/>
    <w:rsid w:val="00BA42B4"/>
    <w:rsid w:val="00BA7912"/>
    <w:rsid w:val="00BC5D9D"/>
    <w:rsid w:val="00BD5214"/>
    <w:rsid w:val="00BE6A2A"/>
    <w:rsid w:val="00C17823"/>
    <w:rsid w:val="00CC208A"/>
    <w:rsid w:val="00CF2D78"/>
    <w:rsid w:val="00CF4B2A"/>
    <w:rsid w:val="00D27806"/>
    <w:rsid w:val="00D41032"/>
    <w:rsid w:val="00D807F5"/>
    <w:rsid w:val="00D816C6"/>
    <w:rsid w:val="00D81B80"/>
    <w:rsid w:val="00D9014C"/>
    <w:rsid w:val="00DA744A"/>
    <w:rsid w:val="00DB20FB"/>
    <w:rsid w:val="00E314F2"/>
    <w:rsid w:val="00E44CA0"/>
    <w:rsid w:val="00E70616"/>
    <w:rsid w:val="00E70797"/>
    <w:rsid w:val="00E756FA"/>
    <w:rsid w:val="00E94074"/>
    <w:rsid w:val="00E96A7A"/>
    <w:rsid w:val="00EA7580"/>
    <w:rsid w:val="00EC2145"/>
    <w:rsid w:val="00EC4EAD"/>
    <w:rsid w:val="00EE1C14"/>
    <w:rsid w:val="00EE5A6E"/>
    <w:rsid w:val="00EF1F51"/>
    <w:rsid w:val="00F12EB3"/>
    <w:rsid w:val="00F372FF"/>
    <w:rsid w:val="00F42DBB"/>
    <w:rsid w:val="00F76A9C"/>
    <w:rsid w:val="00F827F1"/>
    <w:rsid w:val="00F834A0"/>
    <w:rsid w:val="00F93D1D"/>
    <w:rsid w:val="00F95ACD"/>
    <w:rsid w:val="00FB608F"/>
    <w:rsid w:val="00FB6344"/>
    <w:rsid w:val="00FC1E38"/>
    <w:rsid w:val="012C16BE"/>
    <w:rsid w:val="03F808B5"/>
    <w:rsid w:val="04793C18"/>
    <w:rsid w:val="047E50CB"/>
    <w:rsid w:val="06833BFF"/>
    <w:rsid w:val="078743C8"/>
    <w:rsid w:val="0922086A"/>
    <w:rsid w:val="0A7F02F5"/>
    <w:rsid w:val="0A852EF9"/>
    <w:rsid w:val="0C9D3483"/>
    <w:rsid w:val="0D5648B3"/>
    <w:rsid w:val="0FE555D4"/>
    <w:rsid w:val="12500989"/>
    <w:rsid w:val="13551A59"/>
    <w:rsid w:val="13EB2FB1"/>
    <w:rsid w:val="144A5C42"/>
    <w:rsid w:val="14D82435"/>
    <w:rsid w:val="15BF2B42"/>
    <w:rsid w:val="18FB6581"/>
    <w:rsid w:val="199A37C9"/>
    <w:rsid w:val="1AB87E88"/>
    <w:rsid w:val="1ABD1C31"/>
    <w:rsid w:val="1B414DF5"/>
    <w:rsid w:val="1C5F68F5"/>
    <w:rsid w:val="1CE94B53"/>
    <w:rsid w:val="1D097B94"/>
    <w:rsid w:val="2249330F"/>
    <w:rsid w:val="23735D67"/>
    <w:rsid w:val="250878A3"/>
    <w:rsid w:val="29BD59F3"/>
    <w:rsid w:val="2BB51586"/>
    <w:rsid w:val="2DF7236D"/>
    <w:rsid w:val="2EB922C5"/>
    <w:rsid w:val="30B71727"/>
    <w:rsid w:val="32A1397D"/>
    <w:rsid w:val="34E17108"/>
    <w:rsid w:val="360443BF"/>
    <w:rsid w:val="37023AE6"/>
    <w:rsid w:val="3949339B"/>
    <w:rsid w:val="398C5360"/>
    <w:rsid w:val="3A6D27A2"/>
    <w:rsid w:val="3AAA374C"/>
    <w:rsid w:val="3C0B0467"/>
    <w:rsid w:val="40CB0B39"/>
    <w:rsid w:val="41BC717A"/>
    <w:rsid w:val="440F62E5"/>
    <w:rsid w:val="451562C6"/>
    <w:rsid w:val="46403674"/>
    <w:rsid w:val="49C54653"/>
    <w:rsid w:val="4A3E3412"/>
    <w:rsid w:val="4A6029EA"/>
    <w:rsid w:val="4B597B81"/>
    <w:rsid w:val="4B664C69"/>
    <w:rsid w:val="4BCC1474"/>
    <w:rsid w:val="4E097CA3"/>
    <w:rsid w:val="4F9A397E"/>
    <w:rsid w:val="50D27EA9"/>
    <w:rsid w:val="51B654A6"/>
    <w:rsid w:val="52497282"/>
    <w:rsid w:val="570532B6"/>
    <w:rsid w:val="597458A2"/>
    <w:rsid w:val="5A1B27ED"/>
    <w:rsid w:val="5ACB7A4F"/>
    <w:rsid w:val="5BFE3D58"/>
    <w:rsid w:val="5DE61C23"/>
    <w:rsid w:val="5E6230CD"/>
    <w:rsid w:val="5F6E67D5"/>
    <w:rsid w:val="5F761711"/>
    <w:rsid w:val="61237CB8"/>
    <w:rsid w:val="644308D0"/>
    <w:rsid w:val="64986D20"/>
    <w:rsid w:val="64FC10D6"/>
    <w:rsid w:val="693D2304"/>
    <w:rsid w:val="6A1A06DA"/>
    <w:rsid w:val="6C122F39"/>
    <w:rsid w:val="6D44396E"/>
    <w:rsid w:val="6E282F86"/>
    <w:rsid w:val="6FAC7C04"/>
    <w:rsid w:val="717D720C"/>
    <w:rsid w:val="72A12A96"/>
    <w:rsid w:val="74147B26"/>
    <w:rsid w:val="74736F42"/>
    <w:rsid w:val="747E4778"/>
    <w:rsid w:val="757A4E22"/>
    <w:rsid w:val="769D3014"/>
    <w:rsid w:val="777962A6"/>
    <w:rsid w:val="777E43C4"/>
    <w:rsid w:val="786F1ADC"/>
    <w:rsid w:val="7A1C6849"/>
    <w:rsid w:val="7B322030"/>
    <w:rsid w:val="7CCC179D"/>
    <w:rsid w:val="7CFC390B"/>
    <w:rsid w:val="7E457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Theme="minorEastAsia" w:cstheme="minorBidi"/>
      <w:kern w:val="2"/>
      <w:sz w:val="24"/>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caption"/>
    <w:basedOn w:val="3"/>
    <w:next w:val="3"/>
    <w:unhideWhenUsed/>
    <w:qFormat/>
    <w:uiPriority w:val="0"/>
    <w:pPr>
      <w:ind w:left="0" w:leftChars="0" w:firstLine="0" w:firstLineChars="0"/>
    </w:pPr>
    <w:rPr>
      <w:rFonts w:eastAsia="黑体"/>
      <w:sz w:val="21"/>
    </w:rPr>
  </w:style>
  <w:style w:type="paragraph" w:styleId="3">
    <w:name w:val="table of figures"/>
    <w:basedOn w:val="1"/>
    <w:next w:val="1"/>
    <w:qFormat/>
    <w:uiPriority w:val="0"/>
    <w:pPr>
      <w:ind w:left="200" w:leftChars="200" w:hanging="200" w:hangingChars="200"/>
    </w:pPr>
  </w:style>
  <w:style w:type="paragraph" w:styleId="4">
    <w:name w:val="annotation text"/>
    <w:basedOn w:val="1"/>
    <w:qFormat/>
    <w:uiPriority w:val="0"/>
    <w:pPr>
      <w:jc w:val="left"/>
    </w:pPr>
  </w:style>
  <w:style w:type="paragraph" w:styleId="5">
    <w:name w:val="endnote text"/>
    <w:basedOn w:val="1"/>
    <w:link w:val="23"/>
    <w:qFormat/>
    <w:uiPriority w:val="0"/>
    <w:pPr>
      <w:snapToGrid w:val="0"/>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ndnote reference"/>
    <w:basedOn w:val="10"/>
    <w:unhideWhenUsed/>
    <w:qFormat/>
    <w:uiPriority w:val="0"/>
    <w:rPr>
      <w:vertAlign w:val="superscript"/>
    </w:rPr>
  </w:style>
  <w:style w:type="paragraph" w:customStyle="1" w:styleId="12">
    <w:name w:val="图"/>
    <w:basedOn w:val="1"/>
    <w:qFormat/>
    <w:uiPriority w:val="0"/>
    <w:pPr>
      <w:ind w:firstLine="0" w:firstLineChars="0"/>
      <w:jc w:val="center"/>
    </w:pPr>
    <w:rPr>
      <w:rFonts w:hint="eastAsia"/>
    </w:rPr>
  </w:style>
  <w:style w:type="paragraph" w:customStyle="1" w:styleId="13">
    <w:name w:val="BA_Title"/>
    <w:basedOn w:val="1"/>
    <w:next w:val="14"/>
    <w:qFormat/>
    <w:uiPriority w:val="0"/>
    <w:pPr>
      <w:spacing w:before="720" w:after="360" w:line="480" w:lineRule="auto"/>
      <w:ind w:firstLine="0" w:firstLineChars="0"/>
    </w:pPr>
    <w:rPr>
      <w:sz w:val="44"/>
    </w:rPr>
  </w:style>
  <w:style w:type="paragraph" w:customStyle="1" w:styleId="14">
    <w:name w:val="BB_Author_Name"/>
    <w:basedOn w:val="1"/>
    <w:next w:val="15"/>
    <w:qFormat/>
    <w:uiPriority w:val="0"/>
    <w:pPr>
      <w:spacing w:after="240" w:line="480" w:lineRule="auto"/>
      <w:jc w:val="center"/>
    </w:pPr>
    <w:rPr>
      <w:i/>
    </w:rPr>
  </w:style>
  <w:style w:type="paragraph" w:customStyle="1" w:styleId="15">
    <w:name w:val="BC_Author_Address"/>
    <w:basedOn w:val="1"/>
    <w:next w:val="16"/>
    <w:qFormat/>
    <w:uiPriority w:val="0"/>
    <w:pPr>
      <w:spacing w:after="240" w:line="480" w:lineRule="auto"/>
      <w:jc w:val="center"/>
    </w:pPr>
  </w:style>
  <w:style w:type="paragraph" w:customStyle="1" w:styleId="16">
    <w:name w:val="BI_Email_Address"/>
    <w:basedOn w:val="1"/>
    <w:next w:val="17"/>
    <w:qFormat/>
    <w:uiPriority w:val="0"/>
    <w:pPr>
      <w:spacing w:line="480" w:lineRule="auto"/>
    </w:pPr>
  </w:style>
  <w:style w:type="paragraph" w:customStyle="1" w:styleId="17">
    <w:name w:val="AI_Received_Date"/>
    <w:basedOn w:val="1"/>
    <w:next w:val="18"/>
    <w:qFormat/>
    <w:uiPriority w:val="0"/>
    <w:pPr>
      <w:spacing w:after="240" w:line="480" w:lineRule="auto"/>
    </w:pPr>
    <w:rPr>
      <w:b/>
    </w:rPr>
  </w:style>
  <w:style w:type="paragraph" w:customStyle="1" w:styleId="18">
    <w:name w:val="BD_Abstract"/>
    <w:basedOn w:val="1"/>
    <w:next w:val="19"/>
    <w:qFormat/>
    <w:uiPriority w:val="0"/>
    <w:pPr>
      <w:spacing w:before="360" w:after="360" w:line="480" w:lineRule="auto"/>
    </w:pPr>
  </w:style>
  <w:style w:type="paragraph" w:customStyle="1" w:styleId="19">
    <w:name w:val="TA_Main_Text"/>
    <w:basedOn w:val="1"/>
    <w:link w:val="20"/>
    <w:qFormat/>
    <w:uiPriority w:val="0"/>
    <w:pPr>
      <w:spacing w:line="480" w:lineRule="auto"/>
      <w:ind w:firstLine="202"/>
    </w:pPr>
  </w:style>
  <w:style w:type="character" w:customStyle="1" w:styleId="20">
    <w:name w:val="TA_Main_Text Char"/>
    <w:link w:val="19"/>
    <w:qFormat/>
    <w:uiPriority w:val="0"/>
  </w:style>
  <w:style w:type="paragraph" w:customStyle="1" w:styleId="21">
    <w:name w:val="VA_Figure_Caption"/>
    <w:basedOn w:val="1"/>
    <w:next w:val="1"/>
    <w:qFormat/>
    <w:uiPriority w:val="0"/>
    <w:pPr>
      <w:spacing w:line="480" w:lineRule="auto"/>
    </w:pPr>
  </w:style>
  <w:style w:type="paragraph" w:customStyle="1" w:styleId="22">
    <w:name w:val="TF_References_Section"/>
    <w:basedOn w:val="1"/>
    <w:qFormat/>
    <w:uiPriority w:val="0"/>
    <w:pPr>
      <w:widowControl/>
      <w:spacing w:after="200" w:line="480" w:lineRule="auto"/>
      <w:ind w:firstLine="187" w:firstLineChars="0"/>
    </w:pPr>
    <w:rPr>
      <w:rFonts w:ascii="Times" w:hAnsi="Times" w:cs="Times New Roman"/>
      <w:kern w:val="0"/>
      <w:szCs w:val="20"/>
      <w:lang w:eastAsia="en-US"/>
    </w:rPr>
  </w:style>
  <w:style w:type="character" w:customStyle="1" w:styleId="23">
    <w:name w:val="尾注文本 字符"/>
    <w:basedOn w:val="10"/>
    <w:link w:val="5"/>
    <w:qFormat/>
    <w:uiPriority w:val="0"/>
    <w:rPr>
      <w:rFonts w:eastAsiaTheme="minorEastAsia" w:cstheme="minorBidi"/>
      <w:kern w:val="2"/>
      <w:sz w:val="24"/>
      <w:szCs w:val="24"/>
    </w:rPr>
  </w:style>
  <w:style w:type="character" w:styleId="24">
    <w:name w:val="Placeholder Text"/>
    <w:basedOn w:val="1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customXml" Target="../customXml/item1.xml"/><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61C648-173C-4E33-867F-A3CFD2B31903}">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2138</Words>
  <Characters>10981</Characters>
  <Lines>99</Lines>
  <Paragraphs>27</Paragraphs>
  <TotalTime>252</TotalTime>
  <ScaleCrop>false</ScaleCrop>
  <LinksUpToDate>false</LinksUpToDate>
  <CharactersWithSpaces>13027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2022-02-07T07:55:00Z</dcterms:created>
  <dc:creator>36992</dc:creator>
  <cp:lastModifiedBy>张进生</cp:lastModifiedBy>
  <dcterms:modified xsi:type="dcterms:W3CDTF">2022-12-15T11:42:29Z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F93779A9FFF4474A95C4286BA57BBDFF</vt:lpwstr>
  </property>
</Properties>
</file>