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FC736" w14:textId="77777777" w:rsidR="00D811C3" w:rsidRPr="008A7A30" w:rsidRDefault="00D811C3" w:rsidP="00D811C3">
      <w:pPr>
        <w:spacing w:line="480" w:lineRule="auto"/>
        <w:jc w:val="both"/>
        <w:rPr>
          <w:rFonts w:ascii="Times New Roman" w:hAnsi="Times New Roman" w:cs="Times New Roman"/>
          <w:sz w:val="24"/>
          <w:szCs w:val="24"/>
          <w:bdr w:val="none" w:sz="0" w:space="0" w:color="auto" w:frame="1"/>
          <w:lang w:val="fr-FR" w:eastAsia="en-GB"/>
        </w:rPr>
      </w:pPr>
      <w:r w:rsidRPr="00ED60FF">
        <w:rPr>
          <w:rFonts w:ascii="Times New Roman" w:hAnsi="Times New Roman" w:cs="Times New Roman"/>
          <w:b/>
          <w:bCs/>
          <w:sz w:val="24"/>
          <w:szCs w:val="24"/>
        </w:rPr>
        <w:t>Appendix 1</w:t>
      </w:r>
      <w:r>
        <w:rPr>
          <w:rFonts w:ascii="Times New Roman" w:hAnsi="Times New Roman" w:cs="Times New Roman"/>
          <w:b/>
          <w:bCs/>
          <w:sz w:val="24"/>
          <w:szCs w:val="24"/>
        </w:rPr>
        <w:t xml:space="preserve">: </w:t>
      </w:r>
      <w:r w:rsidRPr="00ED60FF">
        <w:rPr>
          <w:rFonts w:ascii="Times New Roman" w:hAnsi="Times New Roman" w:cs="Times New Roman"/>
          <w:sz w:val="24"/>
          <w:szCs w:val="24"/>
        </w:rPr>
        <w:t xml:space="preserve">Trial </w:t>
      </w:r>
      <w:r w:rsidRPr="002B276A">
        <w:rPr>
          <w:rFonts w:ascii="Times New Roman" w:hAnsi="Times New Roman" w:cs="Times New Roman"/>
          <w:sz w:val="24"/>
          <w:szCs w:val="24"/>
        </w:rPr>
        <w:t>Registration Summary</w:t>
      </w:r>
    </w:p>
    <w:tbl>
      <w:tblPr>
        <w:tblStyle w:val="TableGrid"/>
        <w:tblW w:w="0" w:type="auto"/>
        <w:tblLook w:val="04A0" w:firstRow="1" w:lastRow="0" w:firstColumn="1" w:lastColumn="0" w:noHBand="0" w:noVBand="1"/>
      </w:tblPr>
      <w:tblGrid>
        <w:gridCol w:w="4621"/>
        <w:gridCol w:w="4621"/>
      </w:tblGrid>
      <w:tr w:rsidR="00D811C3" w:rsidRPr="008A7A30" w14:paraId="74AE32DF" w14:textId="77777777" w:rsidTr="005D068E">
        <w:tc>
          <w:tcPr>
            <w:tcW w:w="4621" w:type="dxa"/>
            <w:vAlign w:val="center"/>
          </w:tcPr>
          <w:p w14:paraId="424A5F39" w14:textId="77777777" w:rsidR="00D811C3" w:rsidRPr="008A7A30" w:rsidRDefault="00D811C3" w:rsidP="005D068E">
            <w:pPr>
              <w:spacing w:before="120" w:after="270"/>
              <w:rPr>
                <w:rFonts w:ascii="Arial" w:hAnsi="Arial" w:cs="Arial"/>
                <w:b/>
                <w:sz w:val="20"/>
                <w:szCs w:val="20"/>
              </w:rPr>
            </w:pPr>
            <w:r w:rsidRPr="008A7A30">
              <w:rPr>
                <w:rFonts w:ascii="Arial" w:hAnsi="Arial" w:cs="Arial"/>
                <w:b/>
                <w:sz w:val="20"/>
                <w:szCs w:val="20"/>
              </w:rPr>
              <w:t>Data category</w:t>
            </w:r>
          </w:p>
        </w:tc>
        <w:tc>
          <w:tcPr>
            <w:tcW w:w="4621" w:type="dxa"/>
            <w:vAlign w:val="center"/>
          </w:tcPr>
          <w:p w14:paraId="3A33EA3F" w14:textId="77777777" w:rsidR="00D811C3" w:rsidRPr="008A7A30" w:rsidRDefault="00D811C3" w:rsidP="005D068E">
            <w:pPr>
              <w:spacing w:before="120" w:after="270"/>
              <w:rPr>
                <w:rFonts w:ascii="Arial" w:hAnsi="Arial" w:cs="Arial"/>
                <w:b/>
                <w:sz w:val="20"/>
                <w:szCs w:val="20"/>
              </w:rPr>
            </w:pPr>
            <w:r w:rsidRPr="008A7A30">
              <w:rPr>
                <w:rFonts w:ascii="Arial" w:hAnsi="Arial" w:cs="Arial"/>
                <w:b/>
                <w:sz w:val="20"/>
                <w:szCs w:val="20"/>
              </w:rPr>
              <w:t>Information</w:t>
            </w:r>
          </w:p>
        </w:tc>
      </w:tr>
      <w:tr w:rsidR="00D811C3" w:rsidRPr="008A7A30" w14:paraId="6743F422" w14:textId="77777777" w:rsidTr="005D068E">
        <w:tc>
          <w:tcPr>
            <w:tcW w:w="4621" w:type="dxa"/>
          </w:tcPr>
          <w:p w14:paraId="59E299DC"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Primary registry and trial identifying number</w:t>
            </w:r>
          </w:p>
        </w:tc>
        <w:tc>
          <w:tcPr>
            <w:tcW w:w="4621" w:type="dxa"/>
          </w:tcPr>
          <w:p w14:paraId="653568B5"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Australian New Zealand Clinical Trials Registry (ANZCTR)</w:t>
            </w:r>
          </w:p>
          <w:p w14:paraId="4CFED526"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1"/>
                <w:szCs w:val="21"/>
              </w:rPr>
              <w:t>ACTRN12621001195842</w:t>
            </w:r>
          </w:p>
        </w:tc>
      </w:tr>
      <w:tr w:rsidR="00D811C3" w:rsidRPr="008A7A30" w14:paraId="7D301719" w14:textId="77777777" w:rsidTr="005D068E">
        <w:tc>
          <w:tcPr>
            <w:tcW w:w="4621" w:type="dxa"/>
          </w:tcPr>
          <w:p w14:paraId="34F9BAAF"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Date of registration in primary registry</w:t>
            </w:r>
          </w:p>
        </w:tc>
        <w:tc>
          <w:tcPr>
            <w:tcW w:w="4621" w:type="dxa"/>
          </w:tcPr>
          <w:p w14:paraId="6B7B887D" w14:textId="77777777" w:rsidR="00D811C3" w:rsidRPr="008A7A30" w:rsidRDefault="00D811C3" w:rsidP="005D068E">
            <w:pPr>
              <w:spacing w:after="270" w:line="270" w:lineRule="atLeast"/>
              <w:rPr>
                <w:rFonts w:ascii="Arial" w:hAnsi="Arial" w:cs="Arial"/>
                <w:sz w:val="20"/>
                <w:szCs w:val="20"/>
              </w:rPr>
            </w:pPr>
            <w:bookmarkStart w:id="0" w:name="_Hlk122025537"/>
            <w:r w:rsidRPr="008A7A30">
              <w:rPr>
                <w:rFonts w:ascii="Arial" w:hAnsi="Arial" w:cs="Arial"/>
                <w:sz w:val="20"/>
                <w:szCs w:val="20"/>
              </w:rPr>
              <w:t>8 September 2021</w:t>
            </w:r>
            <w:bookmarkEnd w:id="0"/>
          </w:p>
        </w:tc>
      </w:tr>
      <w:tr w:rsidR="00D811C3" w:rsidRPr="008A7A30" w14:paraId="739223AC" w14:textId="77777777" w:rsidTr="005D068E">
        <w:tc>
          <w:tcPr>
            <w:tcW w:w="4621" w:type="dxa"/>
          </w:tcPr>
          <w:p w14:paraId="38F3054E"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Secondary identifying numbers</w:t>
            </w:r>
          </w:p>
        </w:tc>
        <w:tc>
          <w:tcPr>
            <w:tcW w:w="4621" w:type="dxa"/>
          </w:tcPr>
          <w:p w14:paraId="5E1F587A"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Nil</w:t>
            </w:r>
          </w:p>
        </w:tc>
      </w:tr>
      <w:tr w:rsidR="00D811C3" w:rsidRPr="008A7A30" w14:paraId="5B217006" w14:textId="77777777" w:rsidTr="005D068E">
        <w:tc>
          <w:tcPr>
            <w:tcW w:w="4621" w:type="dxa"/>
          </w:tcPr>
          <w:p w14:paraId="486F7824"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Source(s) of monetary or material support</w:t>
            </w:r>
          </w:p>
        </w:tc>
        <w:tc>
          <w:tcPr>
            <w:tcW w:w="4621" w:type="dxa"/>
          </w:tcPr>
          <w:p w14:paraId="7760E440"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Insulet Australia Pty Ltd</w:t>
            </w:r>
          </w:p>
        </w:tc>
      </w:tr>
      <w:tr w:rsidR="00D811C3" w:rsidRPr="008A7A30" w14:paraId="0392113D" w14:textId="77777777" w:rsidTr="005D068E">
        <w:tc>
          <w:tcPr>
            <w:tcW w:w="4621" w:type="dxa"/>
          </w:tcPr>
          <w:p w14:paraId="2CD36AED"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Primary sponsor</w:t>
            </w:r>
          </w:p>
        </w:tc>
        <w:tc>
          <w:tcPr>
            <w:tcW w:w="4621" w:type="dxa"/>
          </w:tcPr>
          <w:p w14:paraId="45B9CA48"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St Vincent’s Hospital Melbourne</w:t>
            </w:r>
          </w:p>
        </w:tc>
      </w:tr>
      <w:tr w:rsidR="00D811C3" w:rsidRPr="008A7A30" w14:paraId="509A8FFF" w14:textId="77777777" w:rsidTr="005D068E">
        <w:tc>
          <w:tcPr>
            <w:tcW w:w="4621" w:type="dxa"/>
          </w:tcPr>
          <w:p w14:paraId="15AC05EA"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Secondary sponsor(s)</w:t>
            </w:r>
          </w:p>
        </w:tc>
        <w:tc>
          <w:tcPr>
            <w:tcW w:w="4621" w:type="dxa"/>
          </w:tcPr>
          <w:p w14:paraId="036B90B1"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Nil</w:t>
            </w:r>
          </w:p>
        </w:tc>
      </w:tr>
      <w:tr w:rsidR="00D811C3" w:rsidRPr="008A7A30" w14:paraId="1F055779" w14:textId="77777777" w:rsidTr="005D068E">
        <w:tc>
          <w:tcPr>
            <w:tcW w:w="4621" w:type="dxa"/>
          </w:tcPr>
          <w:p w14:paraId="5492FE3B"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Contact for public queries</w:t>
            </w:r>
          </w:p>
        </w:tc>
        <w:tc>
          <w:tcPr>
            <w:tcW w:w="4621" w:type="dxa"/>
          </w:tcPr>
          <w:p w14:paraId="262FFA0C" w14:textId="77777777" w:rsidR="00D811C3" w:rsidRPr="008A7A30" w:rsidRDefault="00D811C3" w:rsidP="005D068E">
            <w:pPr>
              <w:spacing w:line="360" w:lineRule="auto"/>
              <w:rPr>
                <w:rFonts w:ascii="Arial" w:hAnsi="Arial" w:cs="Arial"/>
                <w:i/>
                <w:iCs/>
                <w:sz w:val="20"/>
                <w:szCs w:val="20"/>
              </w:rPr>
            </w:pPr>
            <w:r w:rsidRPr="008A7A30">
              <w:rPr>
                <w:rFonts w:ascii="Arial" w:hAnsi="Arial" w:cs="Arial"/>
                <w:i/>
                <w:iCs/>
                <w:sz w:val="20"/>
                <w:szCs w:val="20"/>
              </w:rPr>
              <w:t xml:space="preserve">YWK, MD </w:t>
            </w:r>
          </w:p>
          <w:p w14:paraId="19986552" w14:textId="77777777" w:rsidR="00D811C3" w:rsidRPr="008A7A30" w:rsidRDefault="00D811C3" w:rsidP="005D068E">
            <w:pPr>
              <w:spacing w:line="360" w:lineRule="auto"/>
              <w:rPr>
                <w:rFonts w:ascii="Arial" w:hAnsi="Arial" w:cs="Arial"/>
                <w:i/>
                <w:iCs/>
                <w:sz w:val="20"/>
                <w:szCs w:val="20"/>
              </w:rPr>
            </w:pPr>
            <w:r w:rsidRPr="008A7A30">
              <w:rPr>
                <w:rFonts w:ascii="Arial" w:hAnsi="Arial" w:cs="Arial"/>
                <w:sz w:val="20"/>
                <w:szCs w:val="20"/>
              </w:rPr>
              <w:t>St Vincent’s Hospital Melbourne, Australia</w:t>
            </w:r>
            <w:r w:rsidRPr="008A7A30">
              <w:rPr>
                <w:rFonts w:ascii="Arial" w:hAnsi="Arial" w:cs="Arial"/>
                <w:i/>
                <w:iCs/>
                <w:sz w:val="20"/>
                <w:szCs w:val="20"/>
              </w:rPr>
              <w:t xml:space="preserve"> +6143393020</w:t>
            </w:r>
          </w:p>
          <w:p w14:paraId="0673AECB" w14:textId="77777777" w:rsidR="00D811C3" w:rsidRPr="008A7A30" w:rsidRDefault="00D811C3" w:rsidP="005D068E">
            <w:pPr>
              <w:spacing w:after="270" w:line="360" w:lineRule="auto"/>
              <w:rPr>
                <w:rFonts w:ascii="Arial" w:hAnsi="Arial" w:cs="Arial"/>
                <w:i/>
                <w:iCs/>
                <w:sz w:val="20"/>
                <w:szCs w:val="20"/>
              </w:rPr>
            </w:pPr>
            <w:r w:rsidRPr="008A7A30">
              <w:rPr>
                <w:rFonts w:ascii="Arial" w:hAnsi="Arial" w:cs="Arial"/>
                <w:i/>
                <w:iCs/>
                <w:sz w:val="20"/>
                <w:szCs w:val="20"/>
              </w:rPr>
              <w:t>kongyw@unimelb.edu.au</w:t>
            </w:r>
          </w:p>
        </w:tc>
      </w:tr>
      <w:tr w:rsidR="00D811C3" w:rsidRPr="008A7A30" w14:paraId="68C8D3CB" w14:textId="77777777" w:rsidTr="005D068E">
        <w:tc>
          <w:tcPr>
            <w:tcW w:w="4621" w:type="dxa"/>
          </w:tcPr>
          <w:p w14:paraId="2AF97980"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Contact for scientific queries</w:t>
            </w:r>
          </w:p>
        </w:tc>
        <w:tc>
          <w:tcPr>
            <w:tcW w:w="4621" w:type="dxa"/>
          </w:tcPr>
          <w:p w14:paraId="3FB6F459"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i/>
                <w:iCs/>
                <w:sz w:val="20"/>
                <w:szCs w:val="20"/>
              </w:rPr>
              <w:t xml:space="preserve">DNO, </w:t>
            </w:r>
            <w:r>
              <w:rPr>
                <w:rFonts w:ascii="Arial" w:hAnsi="Arial" w:cs="Arial"/>
                <w:i/>
                <w:iCs/>
                <w:sz w:val="20"/>
                <w:szCs w:val="20"/>
              </w:rPr>
              <w:t>MD</w:t>
            </w:r>
            <w:r w:rsidRPr="008A7A30">
              <w:rPr>
                <w:rFonts w:ascii="Arial" w:hAnsi="Arial" w:cs="Arial"/>
                <w:sz w:val="20"/>
                <w:szCs w:val="20"/>
              </w:rPr>
              <w:br/>
              <w:t>St Vincent’s Hospital Melbourne, Australia</w:t>
            </w:r>
          </w:p>
        </w:tc>
      </w:tr>
      <w:tr w:rsidR="00D811C3" w:rsidRPr="008A7A30" w14:paraId="27A22F73" w14:textId="77777777" w:rsidTr="005D068E">
        <w:tc>
          <w:tcPr>
            <w:tcW w:w="4621" w:type="dxa"/>
          </w:tcPr>
          <w:p w14:paraId="7B720E4D"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Public title</w:t>
            </w:r>
          </w:p>
        </w:tc>
        <w:tc>
          <w:tcPr>
            <w:tcW w:w="4621" w:type="dxa"/>
          </w:tcPr>
          <w:p w14:paraId="619B8DF7" w14:textId="77777777" w:rsidR="00D811C3" w:rsidRPr="008A7A30" w:rsidRDefault="00D811C3" w:rsidP="005D068E">
            <w:pPr>
              <w:spacing w:after="270" w:line="270" w:lineRule="atLeast"/>
              <w:rPr>
                <w:rFonts w:ascii="Arial" w:hAnsi="Arial" w:cs="Arial"/>
                <w:sz w:val="20"/>
                <w:szCs w:val="20"/>
              </w:rPr>
            </w:pPr>
            <w:r w:rsidRPr="008A7A30">
              <w:rPr>
                <w:rFonts w:ascii="Calibri" w:hAnsi="Calibri" w:cs="Times New Roman"/>
              </w:rPr>
              <w:br/>
            </w:r>
            <w:r w:rsidRPr="008A7A30">
              <w:rPr>
                <w:rFonts w:ascii="Arial" w:hAnsi="Arial" w:cs="Arial"/>
                <w:sz w:val="21"/>
                <w:szCs w:val="21"/>
              </w:rPr>
              <w:t>Comparison of Treatment Satisfaction between the Omnipod Insulin Pump and Usual Care in Adults with Type 1 Diabetes in Australia</w:t>
            </w:r>
          </w:p>
        </w:tc>
      </w:tr>
      <w:tr w:rsidR="00D811C3" w:rsidRPr="008A7A30" w14:paraId="7747BFC4" w14:textId="77777777" w:rsidTr="005D068E">
        <w:tc>
          <w:tcPr>
            <w:tcW w:w="4621" w:type="dxa"/>
          </w:tcPr>
          <w:p w14:paraId="140305C7"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Scientific title</w:t>
            </w:r>
          </w:p>
        </w:tc>
        <w:tc>
          <w:tcPr>
            <w:tcW w:w="4621" w:type="dxa"/>
          </w:tcPr>
          <w:p w14:paraId="53016335"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1"/>
                <w:szCs w:val="21"/>
              </w:rPr>
              <w:t>A Pilot Study Comparing Treatment Satisfaction with the Omnipod Insulin Pump Compared with Usual Care in Adults with Type 1 Diabetes Living in Australia</w:t>
            </w:r>
          </w:p>
        </w:tc>
      </w:tr>
      <w:tr w:rsidR="00D811C3" w:rsidRPr="008A7A30" w14:paraId="6DC3EFA7" w14:textId="77777777" w:rsidTr="005D068E">
        <w:tc>
          <w:tcPr>
            <w:tcW w:w="4621" w:type="dxa"/>
          </w:tcPr>
          <w:p w14:paraId="1694C867"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Countries of recruitment</w:t>
            </w:r>
          </w:p>
        </w:tc>
        <w:tc>
          <w:tcPr>
            <w:tcW w:w="4621" w:type="dxa"/>
          </w:tcPr>
          <w:p w14:paraId="64D8D72E"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Australia</w:t>
            </w:r>
          </w:p>
        </w:tc>
      </w:tr>
      <w:tr w:rsidR="00D811C3" w:rsidRPr="008A7A30" w14:paraId="3520EF0B" w14:textId="77777777" w:rsidTr="005D068E">
        <w:tc>
          <w:tcPr>
            <w:tcW w:w="4621" w:type="dxa"/>
          </w:tcPr>
          <w:p w14:paraId="10CDC1BF"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Health condition(s) or problem(s) studied</w:t>
            </w:r>
          </w:p>
        </w:tc>
        <w:tc>
          <w:tcPr>
            <w:tcW w:w="4621" w:type="dxa"/>
          </w:tcPr>
          <w:p w14:paraId="408E7B67"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Type 1 diabetes</w:t>
            </w:r>
          </w:p>
        </w:tc>
      </w:tr>
      <w:tr w:rsidR="00D811C3" w:rsidRPr="008A7A30" w14:paraId="6E1A1044" w14:textId="77777777" w:rsidTr="005D068E">
        <w:tc>
          <w:tcPr>
            <w:tcW w:w="4621" w:type="dxa"/>
          </w:tcPr>
          <w:p w14:paraId="4B7F3D8E"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Intervention(s)</w:t>
            </w:r>
          </w:p>
        </w:tc>
        <w:tc>
          <w:tcPr>
            <w:tcW w:w="4621" w:type="dxa"/>
          </w:tcPr>
          <w:p w14:paraId="6B695224" w14:textId="77777777" w:rsidR="00D811C3" w:rsidRPr="008A7A30" w:rsidRDefault="00D811C3" w:rsidP="005D068E">
            <w:pPr>
              <w:spacing w:after="270" w:line="270" w:lineRule="atLeast"/>
              <w:rPr>
                <w:rFonts w:ascii="Arial" w:hAnsi="Arial" w:cs="Arial"/>
                <w:i/>
                <w:iCs/>
                <w:sz w:val="20"/>
                <w:szCs w:val="20"/>
              </w:rPr>
            </w:pPr>
            <w:r w:rsidRPr="008A7A30">
              <w:rPr>
                <w:rFonts w:ascii="Arial" w:hAnsi="Arial" w:cs="Arial"/>
                <w:sz w:val="20"/>
                <w:szCs w:val="20"/>
              </w:rPr>
              <w:t>Active comparator:</w:t>
            </w:r>
            <w:r w:rsidRPr="008A7A30">
              <w:rPr>
                <w:rFonts w:ascii="Arial" w:hAnsi="Arial" w:cs="Arial"/>
                <w:i/>
                <w:iCs/>
                <w:sz w:val="20"/>
                <w:szCs w:val="20"/>
              </w:rPr>
              <w:t> </w:t>
            </w:r>
            <w:r w:rsidRPr="008A7A30">
              <w:rPr>
                <w:rFonts w:ascii="Arial" w:hAnsi="Arial" w:cs="Arial"/>
                <w:sz w:val="21"/>
                <w:szCs w:val="21"/>
              </w:rPr>
              <w:t>Omnipod</w:t>
            </w:r>
            <w:r>
              <w:rPr>
                <w:rFonts w:ascii="Arial" w:hAnsi="Arial" w:cs="Arial"/>
                <w:sz w:val="21"/>
                <w:szCs w:val="21"/>
              </w:rPr>
              <w:t xml:space="preserve"> </w:t>
            </w:r>
            <w:r w:rsidRPr="008A7A30">
              <w:rPr>
                <w:rFonts w:ascii="Arial" w:hAnsi="Arial" w:cs="Arial"/>
                <w:sz w:val="21"/>
                <w:szCs w:val="21"/>
              </w:rPr>
              <w:t>DASH insulin pump for 24 weeks</w:t>
            </w:r>
          </w:p>
          <w:p w14:paraId="42811BF3"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lastRenderedPageBreak/>
              <w:t xml:space="preserve"> Placebo comparator: </w:t>
            </w:r>
            <w:r w:rsidRPr="008A7A30">
              <w:rPr>
                <w:rFonts w:ascii="Arial" w:hAnsi="Arial" w:cs="Arial"/>
                <w:sz w:val="21"/>
                <w:szCs w:val="21"/>
              </w:rPr>
              <w:t>Participants' usual diabetes management (either multiple daily insulin injections or insulin pump therapy) for 12 weeks, followed by 12-weeks of using Omnipod</w:t>
            </w:r>
            <w:r>
              <w:rPr>
                <w:rFonts w:ascii="Arial" w:hAnsi="Arial" w:cs="Arial"/>
                <w:sz w:val="21"/>
                <w:szCs w:val="21"/>
              </w:rPr>
              <w:t xml:space="preserve"> </w:t>
            </w:r>
            <w:r w:rsidRPr="008A7A30">
              <w:rPr>
                <w:rFonts w:ascii="Arial" w:hAnsi="Arial" w:cs="Arial"/>
                <w:sz w:val="21"/>
                <w:szCs w:val="21"/>
              </w:rPr>
              <w:t>DASH insulin pump (total duration of 24 weeks)</w:t>
            </w:r>
          </w:p>
        </w:tc>
      </w:tr>
      <w:tr w:rsidR="00D811C3" w:rsidRPr="008A7A30" w14:paraId="3D062B39" w14:textId="77777777" w:rsidTr="005D068E">
        <w:tc>
          <w:tcPr>
            <w:tcW w:w="4621" w:type="dxa"/>
          </w:tcPr>
          <w:p w14:paraId="78EEFC7B"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lastRenderedPageBreak/>
              <w:t>Key inclusion and exclusion criteria</w:t>
            </w:r>
          </w:p>
        </w:tc>
        <w:tc>
          <w:tcPr>
            <w:tcW w:w="4621" w:type="dxa"/>
          </w:tcPr>
          <w:p w14:paraId="0358FD96"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Ages eligible for study: 18 to 70 years</w:t>
            </w:r>
            <w:r w:rsidRPr="008A7A30">
              <w:rPr>
                <w:rFonts w:ascii="Arial" w:hAnsi="Arial" w:cs="Arial"/>
                <w:sz w:val="20"/>
                <w:szCs w:val="20"/>
              </w:rPr>
              <w:br/>
              <w:t>Sexes eligible for study: both</w:t>
            </w:r>
            <w:r w:rsidRPr="008A7A30">
              <w:rPr>
                <w:rFonts w:ascii="Arial" w:hAnsi="Arial" w:cs="Arial"/>
                <w:sz w:val="20"/>
                <w:szCs w:val="20"/>
              </w:rPr>
              <w:br/>
              <w:t>Accepts healthy volunteers: no</w:t>
            </w:r>
          </w:p>
          <w:p w14:paraId="0805238F"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 xml:space="preserve">Inclusion criteria: </w:t>
            </w:r>
            <w:r w:rsidRPr="008A7A30">
              <w:rPr>
                <w:rFonts w:ascii="Arial" w:hAnsi="Arial" w:cs="Arial"/>
                <w:sz w:val="21"/>
                <w:szCs w:val="21"/>
              </w:rPr>
              <w:t>clinical diagnosis of type 1 diabetes (as defined by the American Diabetes Association) of at least six months duration managed with multiple daily injections (MDI) or insulin pump therapy (IPT), age 18-70 years old, fluent in English (reading and writing), willing to perform at least four self-monitoring of blood glucose (SMBG) readings each day, willing to learn how to carbohydrate count and to apply this knowledge, HbA</w:t>
            </w:r>
            <w:r w:rsidRPr="0097475B">
              <w:rPr>
                <w:rFonts w:ascii="Arial" w:hAnsi="Arial" w:cs="Arial"/>
                <w:sz w:val="21"/>
                <w:szCs w:val="21"/>
                <w:vertAlign w:val="subscript"/>
              </w:rPr>
              <w:t>1c</w:t>
            </w:r>
            <w:r w:rsidRPr="008A7A30">
              <w:rPr>
                <w:rFonts w:ascii="Arial" w:hAnsi="Arial" w:cs="Arial"/>
                <w:sz w:val="21"/>
                <w:szCs w:val="21"/>
              </w:rPr>
              <w:t xml:space="preserve"> &lt;10.0%, willing to use an Omnipod DASH insulin pump, has a computer with internet access, has access to a smart device with data plan.</w:t>
            </w:r>
            <w:r w:rsidRPr="008A7A30">
              <w:rPr>
                <w:rFonts w:ascii="Arial" w:hAnsi="Arial" w:cs="Arial"/>
                <w:sz w:val="20"/>
                <w:szCs w:val="20"/>
              </w:rPr>
              <w:t xml:space="preserve"> </w:t>
            </w:r>
          </w:p>
          <w:p w14:paraId="4831E40A"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 xml:space="preserve">Exclusion criteria: </w:t>
            </w:r>
            <w:r w:rsidRPr="008A7A30">
              <w:rPr>
                <w:rFonts w:ascii="Arial" w:hAnsi="Arial" w:cs="Arial"/>
                <w:sz w:val="21"/>
                <w:szCs w:val="21"/>
              </w:rPr>
              <w:t xml:space="preserve">using real time-CGM defined as use &gt;25% of the time during the past 3 months (Abbott Libre allowed), an episode of severe hypoglycemia or </w:t>
            </w:r>
            <w:r>
              <w:rPr>
                <w:rFonts w:ascii="Arial" w:hAnsi="Arial" w:cs="Arial"/>
                <w:sz w:val="21"/>
                <w:szCs w:val="21"/>
              </w:rPr>
              <w:t>diabetic ketoacidosis</w:t>
            </w:r>
            <w:r w:rsidRPr="008A7A30">
              <w:rPr>
                <w:rFonts w:ascii="Arial" w:hAnsi="Arial" w:cs="Arial"/>
                <w:sz w:val="21"/>
                <w:szCs w:val="21"/>
              </w:rPr>
              <w:t xml:space="preserve"> within the preceding three months, a physical or intellectual disability precluding the use of insulin pump therapy, severe renal impairment (eGFR less than 15 ml per minute per 1.73m</w:t>
            </w:r>
            <w:r w:rsidRPr="008A7A30">
              <w:rPr>
                <w:rFonts w:ascii="Arial" w:hAnsi="Arial" w:cs="Arial"/>
                <w:sz w:val="21"/>
                <w:szCs w:val="21"/>
                <w:vertAlign w:val="superscript"/>
              </w:rPr>
              <w:t>2</w:t>
            </w:r>
            <w:r w:rsidRPr="008A7A30">
              <w:rPr>
                <w:rFonts w:ascii="Arial" w:hAnsi="Arial" w:cs="Arial"/>
                <w:sz w:val="21"/>
                <w:szCs w:val="21"/>
              </w:rPr>
              <w:t>), haemoglobinopathy or hemolytic anemia due to its interference with HbA</w:t>
            </w:r>
            <w:r w:rsidRPr="0097475B">
              <w:rPr>
                <w:rFonts w:ascii="Arial" w:hAnsi="Arial" w:cs="Arial"/>
                <w:sz w:val="21"/>
                <w:szCs w:val="21"/>
                <w:vertAlign w:val="subscript"/>
              </w:rPr>
              <w:t>1c</w:t>
            </w:r>
            <w:r w:rsidRPr="008A7A30">
              <w:rPr>
                <w:rFonts w:ascii="Arial" w:hAnsi="Arial" w:cs="Arial"/>
                <w:sz w:val="21"/>
                <w:szCs w:val="21"/>
              </w:rPr>
              <w:t xml:space="preserve"> assays, major life-threatening illness impacting immediate life expectancy, use of any non-insulin glucose-lowering agent within the past 3 months, oral or injected corticosteroid use within the past 3 months, pregnancy or pregnancy planned within study period, uncontrolled thyroid disease, celiac disease or hypertension, a requirement for more than 200 I.U. of insulin every two days.</w:t>
            </w:r>
          </w:p>
        </w:tc>
      </w:tr>
      <w:tr w:rsidR="00D811C3" w:rsidRPr="008A7A30" w14:paraId="1E9C40E2" w14:textId="77777777" w:rsidTr="005D068E">
        <w:tc>
          <w:tcPr>
            <w:tcW w:w="4621" w:type="dxa"/>
          </w:tcPr>
          <w:p w14:paraId="30B51083" w14:textId="77777777" w:rsidR="00D811C3" w:rsidRPr="00312B6F" w:rsidRDefault="00D811C3" w:rsidP="005D068E">
            <w:pPr>
              <w:spacing w:after="270" w:line="270" w:lineRule="atLeast"/>
              <w:rPr>
                <w:rFonts w:ascii="Arial" w:hAnsi="Arial" w:cs="Arial"/>
                <w:sz w:val="20"/>
                <w:szCs w:val="20"/>
              </w:rPr>
            </w:pPr>
            <w:r w:rsidRPr="00312B6F">
              <w:rPr>
                <w:rFonts w:ascii="Arial" w:hAnsi="Arial" w:cs="Arial"/>
                <w:sz w:val="20"/>
                <w:szCs w:val="20"/>
              </w:rPr>
              <w:t>Study type</w:t>
            </w:r>
          </w:p>
        </w:tc>
        <w:tc>
          <w:tcPr>
            <w:tcW w:w="4621" w:type="dxa"/>
          </w:tcPr>
          <w:p w14:paraId="2D472D29" w14:textId="77777777" w:rsidR="00D811C3" w:rsidRPr="00312B6F" w:rsidRDefault="00D811C3" w:rsidP="005D068E">
            <w:pPr>
              <w:spacing w:after="270" w:line="270" w:lineRule="atLeast"/>
              <w:rPr>
                <w:rFonts w:ascii="Arial" w:hAnsi="Arial" w:cs="Arial"/>
                <w:sz w:val="20"/>
                <w:szCs w:val="20"/>
              </w:rPr>
            </w:pPr>
            <w:r w:rsidRPr="00312B6F">
              <w:rPr>
                <w:rFonts w:ascii="Arial" w:hAnsi="Arial" w:cs="Arial"/>
                <w:sz w:val="20"/>
                <w:szCs w:val="20"/>
              </w:rPr>
              <w:t>Interventional</w:t>
            </w:r>
            <w:r w:rsidRPr="00312B6F">
              <w:rPr>
                <w:rFonts w:ascii="Arial" w:hAnsi="Arial" w:cs="Arial"/>
                <w:sz w:val="20"/>
                <w:szCs w:val="20"/>
              </w:rPr>
              <w:br/>
              <w:t>Allocation: randomised</w:t>
            </w:r>
            <w:r w:rsidRPr="00312B6F">
              <w:rPr>
                <w:rFonts w:ascii="Arial" w:hAnsi="Arial" w:cs="Arial"/>
                <w:sz w:val="20"/>
                <w:szCs w:val="20"/>
              </w:rPr>
              <w:br/>
            </w:r>
            <w:r w:rsidRPr="00312B6F">
              <w:rPr>
                <w:rFonts w:ascii="Arial" w:hAnsi="Arial" w:cs="Arial"/>
                <w:sz w:val="20"/>
                <w:szCs w:val="20"/>
              </w:rPr>
              <w:lastRenderedPageBreak/>
              <w:t xml:space="preserve">Intervention model: other, participants will be </w:t>
            </w:r>
            <w:r w:rsidRPr="00A0138A">
              <w:rPr>
                <w:rFonts w:ascii="Arial" w:hAnsi="Arial" w:cs="Arial"/>
                <w:sz w:val="20"/>
                <w:szCs w:val="20"/>
              </w:rPr>
              <w:t>randomised</w:t>
            </w:r>
            <w:r w:rsidRPr="00312B6F">
              <w:rPr>
                <w:rFonts w:ascii="Arial" w:hAnsi="Arial" w:cs="Arial"/>
                <w:sz w:val="20"/>
                <w:szCs w:val="20"/>
              </w:rPr>
              <w:t xml:space="preserve"> to continue their usual care or commence on the Omnipod DASH insulin pump at the start of the intervention (Week 0) for 12 weeks, then both arms will be on the Omnipod DASH insulin pump for another 12 weeks as an extension</w:t>
            </w:r>
            <w:r w:rsidRPr="00312B6F">
              <w:rPr>
                <w:rFonts w:ascii="Arial" w:hAnsi="Arial" w:cs="Arial"/>
                <w:sz w:val="20"/>
                <w:szCs w:val="20"/>
              </w:rPr>
              <w:br/>
              <w:t>Masking: open (masking not used)</w:t>
            </w:r>
            <w:r w:rsidRPr="00312B6F">
              <w:rPr>
                <w:rFonts w:ascii="Arial" w:hAnsi="Arial" w:cs="Arial"/>
                <w:sz w:val="20"/>
                <w:szCs w:val="20"/>
              </w:rPr>
              <w:br/>
              <w:t>Primary purpose: treatment</w:t>
            </w:r>
            <w:r w:rsidRPr="00312B6F">
              <w:rPr>
                <w:rFonts w:ascii="Arial" w:hAnsi="Arial" w:cs="Arial"/>
                <w:sz w:val="20"/>
                <w:szCs w:val="20"/>
              </w:rPr>
              <w:br/>
            </w:r>
          </w:p>
        </w:tc>
      </w:tr>
      <w:tr w:rsidR="00D811C3" w:rsidRPr="008A7A30" w14:paraId="45CE446E" w14:textId="77777777" w:rsidTr="005D068E">
        <w:tc>
          <w:tcPr>
            <w:tcW w:w="4621" w:type="dxa"/>
          </w:tcPr>
          <w:p w14:paraId="6B71E069"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lastRenderedPageBreak/>
              <w:t>Date of first enrolment</w:t>
            </w:r>
          </w:p>
        </w:tc>
        <w:tc>
          <w:tcPr>
            <w:tcW w:w="4621" w:type="dxa"/>
          </w:tcPr>
          <w:p w14:paraId="0ABB12D6"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15 July 2021</w:t>
            </w:r>
          </w:p>
        </w:tc>
      </w:tr>
      <w:tr w:rsidR="00D811C3" w:rsidRPr="008A7A30" w14:paraId="71536A7E" w14:textId="77777777" w:rsidTr="005D068E">
        <w:tc>
          <w:tcPr>
            <w:tcW w:w="4621" w:type="dxa"/>
          </w:tcPr>
          <w:p w14:paraId="1523FBA4"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Target sample size</w:t>
            </w:r>
          </w:p>
        </w:tc>
        <w:tc>
          <w:tcPr>
            <w:tcW w:w="4621" w:type="dxa"/>
          </w:tcPr>
          <w:p w14:paraId="20798797"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64</w:t>
            </w:r>
          </w:p>
        </w:tc>
      </w:tr>
      <w:tr w:rsidR="00D811C3" w:rsidRPr="008A7A30" w14:paraId="29C50E58" w14:textId="77777777" w:rsidTr="005D068E">
        <w:tc>
          <w:tcPr>
            <w:tcW w:w="4621" w:type="dxa"/>
          </w:tcPr>
          <w:p w14:paraId="28295E48"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Recruitment status</w:t>
            </w:r>
          </w:p>
        </w:tc>
        <w:tc>
          <w:tcPr>
            <w:tcW w:w="4621" w:type="dxa"/>
          </w:tcPr>
          <w:p w14:paraId="5612C965"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Recruiting</w:t>
            </w:r>
          </w:p>
        </w:tc>
      </w:tr>
      <w:tr w:rsidR="00D811C3" w:rsidRPr="008A7A30" w14:paraId="674A15ED" w14:textId="77777777" w:rsidTr="005D068E">
        <w:tc>
          <w:tcPr>
            <w:tcW w:w="4621" w:type="dxa"/>
          </w:tcPr>
          <w:p w14:paraId="07C419F8"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Primary outcome(s)</w:t>
            </w:r>
          </w:p>
        </w:tc>
        <w:tc>
          <w:tcPr>
            <w:tcW w:w="4621" w:type="dxa"/>
          </w:tcPr>
          <w:p w14:paraId="0924E3F6"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1"/>
                <w:szCs w:val="21"/>
              </w:rPr>
              <w:t>Treatment satisfaction measured by the difference in the Diabetes Technology Questionnaire (DTQ) score (Week 12 post intervention commencement)</w:t>
            </w:r>
          </w:p>
        </w:tc>
      </w:tr>
      <w:tr w:rsidR="00D811C3" w:rsidRPr="008A7A30" w14:paraId="5967E795" w14:textId="77777777" w:rsidTr="005D068E">
        <w:tc>
          <w:tcPr>
            <w:tcW w:w="4621" w:type="dxa"/>
          </w:tcPr>
          <w:p w14:paraId="203822D4" w14:textId="77777777" w:rsidR="00D811C3" w:rsidRPr="008A7A30" w:rsidRDefault="00D811C3" w:rsidP="005D068E">
            <w:pPr>
              <w:spacing w:after="270" w:line="270" w:lineRule="atLeast"/>
              <w:rPr>
                <w:rFonts w:ascii="Arial" w:hAnsi="Arial" w:cs="Arial"/>
                <w:sz w:val="20"/>
                <w:szCs w:val="20"/>
              </w:rPr>
            </w:pPr>
            <w:r w:rsidRPr="008A7A30">
              <w:rPr>
                <w:rFonts w:ascii="Arial" w:hAnsi="Arial" w:cs="Arial"/>
                <w:sz w:val="20"/>
                <w:szCs w:val="20"/>
              </w:rPr>
              <w:t>Key secondary outcomes</w:t>
            </w:r>
          </w:p>
        </w:tc>
        <w:tc>
          <w:tcPr>
            <w:tcW w:w="4621" w:type="dxa"/>
          </w:tcPr>
          <w:p w14:paraId="249CF0EA" w14:textId="77777777" w:rsidR="00D811C3" w:rsidRPr="008A7A30" w:rsidRDefault="00D811C3" w:rsidP="005D068E">
            <w:pPr>
              <w:spacing w:after="270" w:line="270" w:lineRule="atLeast"/>
              <w:rPr>
                <w:rFonts w:ascii="Arial" w:hAnsi="Arial" w:cs="Arial"/>
                <w:sz w:val="21"/>
                <w:szCs w:val="21"/>
              </w:rPr>
            </w:pPr>
            <w:r w:rsidRPr="008A7A30">
              <w:rPr>
                <w:rFonts w:ascii="Arial" w:hAnsi="Arial" w:cs="Arial"/>
                <w:sz w:val="20"/>
                <w:szCs w:val="20"/>
              </w:rPr>
              <w:t xml:space="preserve">Psychological outcomes measured by the </w:t>
            </w:r>
            <w:r w:rsidRPr="008A7A30">
              <w:rPr>
                <w:rFonts w:ascii="Arial" w:hAnsi="Arial" w:cs="Arial"/>
                <w:sz w:val="21"/>
                <w:szCs w:val="21"/>
              </w:rPr>
              <w:t xml:space="preserve">Problem Areas in Diabetes (PAID) questionnaire, Pittsburgh Sleep Quality Index (PSQI), Hypoglycemia Fear </w:t>
            </w:r>
            <w:r>
              <w:rPr>
                <w:rFonts w:ascii="Arial" w:hAnsi="Arial" w:cs="Arial"/>
                <w:sz w:val="21"/>
                <w:szCs w:val="21"/>
              </w:rPr>
              <w:t xml:space="preserve">Short-Form </w:t>
            </w:r>
            <w:r w:rsidRPr="008A7A30">
              <w:rPr>
                <w:rFonts w:ascii="Arial" w:hAnsi="Arial" w:cs="Arial"/>
                <w:sz w:val="21"/>
                <w:szCs w:val="21"/>
              </w:rPr>
              <w:t>Survey (HFS-11</w:t>
            </w:r>
            <w:r>
              <w:rPr>
                <w:rFonts w:ascii="Arial" w:hAnsi="Arial" w:cs="Arial"/>
                <w:sz w:val="21"/>
                <w:szCs w:val="21"/>
              </w:rPr>
              <w:t>-SF</w:t>
            </w:r>
            <w:r w:rsidRPr="008A7A30">
              <w:rPr>
                <w:rFonts w:ascii="Arial" w:hAnsi="Arial" w:cs="Arial"/>
                <w:sz w:val="21"/>
                <w:szCs w:val="21"/>
              </w:rPr>
              <w:t xml:space="preserve">) and </w:t>
            </w:r>
            <w:r w:rsidRPr="000B17CE">
              <w:rPr>
                <w:rFonts w:ascii="Arial" w:hAnsi="Arial" w:cs="Arial"/>
                <w:sz w:val="21"/>
                <w:szCs w:val="21"/>
              </w:rPr>
              <w:t>Diabetes Medication System Rating Questionnaire Short-Form (DMSRQ-SF)</w:t>
            </w:r>
            <w:r>
              <w:rPr>
                <w:rFonts w:ascii="Arial" w:hAnsi="Arial" w:cs="Arial"/>
                <w:sz w:val="21"/>
                <w:szCs w:val="21"/>
              </w:rPr>
              <w:t>.</w:t>
            </w:r>
          </w:p>
          <w:p w14:paraId="33D308F1" w14:textId="77777777" w:rsidR="00D811C3" w:rsidRPr="008A7A30" w:rsidRDefault="00D811C3" w:rsidP="005D068E">
            <w:pPr>
              <w:spacing w:after="270" w:line="270" w:lineRule="atLeast"/>
              <w:rPr>
                <w:rFonts w:ascii="Arial" w:hAnsi="Arial" w:cs="Arial"/>
                <w:sz w:val="21"/>
                <w:szCs w:val="21"/>
              </w:rPr>
            </w:pPr>
            <w:r w:rsidRPr="008A7A30">
              <w:rPr>
                <w:rFonts w:ascii="Arial" w:hAnsi="Arial" w:cs="Arial"/>
                <w:sz w:val="21"/>
                <w:szCs w:val="21"/>
              </w:rPr>
              <w:t>Effectiveness, efficiency and user satisfaction with Omnipod</w:t>
            </w:r>
            <w:r>
              <w:rPr>
                <w:rFonts w:ascii="Arial" w:hAnsi="Arial" w:cs="Arial"/>
                <w:sz w:val="21"/>
                <w:szCs w:val="21"/>
              </w:rPr>
              <w:t xml:space="preserve"> </w:t>
            </w:r>
            <w:r w:rsidRPr="008A7A30">
              <w:rPr>
                <w:rFonts w:ascii="Arial" w:hAnsi="Arial" w:cs="Arial"/>
                <w:sz w:val="21"/>
                <w:szCs w:val="21"/>
              </w:rPr>
              <w:t>DASH insulin pump measured via User Experience Questionnaire (UEQ) and System Usability Scale (SUS).</w:t>
            </w:r>
          </w:p>
          <w:p w14:paraId="420AC76A" w14:textId="77777777" w:rsidR="00D811C3" w:rsidRPr="008A7A30" w:rsidRDefault="00D811C3" w:rsidP="005D068E">
            <w:pPr>
              <w:spacing w:after="270" w:line="270" w:lineRule="atLeast"/>
              <w:rPr>
                <w:rFonts w:ascii="Arial" w:hAnsi="Arial" w:cs="Arial"/>
                <w:sz w:val="21"/>
                <w:szCs w:val="21"/>
              </w:rPr>
            </w:pPr>
            <w:r w:rsidRPr="008A7A30">
              <w:rPr>
                <w:rFonts w:ascii="Arial" w:hAnsi="Arial" w:cs="Arial"/>
                <w:sz w:val="21"/>
                <w:szCs w:val="21"/>
              </w:rPr>
              <w:t>Acceptability of Omnipod</w:t>
            </w:r>
            <w:r>
              <w:rPr>
                <w:rFonts w:ascii="Arial" w:hAnsi="Arial" w:cs="Arial"/>
                <w:sz w:val="21"/>
                <w:szCs w:val="21"/>
              </w:rPr>
              <w:t xml:space="preserve"> </w:t>
            </w:r>
            <w:r w:rsidRPr="008A7A30">
              <w:rPr>
                <w:rFonts w:ascii="Arial" w:hAnsi="Arial" w:cs="Arial"/>
                <w:sz w:val="21"/>
                <w:szCs w:val="21"/>
              </w:rPr>
              <w:t>DASH insulin pump device assessed via an open-ended one-on-one interview.</w:t>
            </w:r>
          </w:p>
          <w:p w14:paraId="3290FA63" w14:textId="77777777" w:rsidR="00D811C3" w:rsidRPr="008A7A30" w:rsidRDefault="00D811C3" w:rsidP="005D068E">
            <w:pPr>
              <w:spacing w:after="270" w:line="270" w:lineRule="atLeast"/>
              <w:rPr>
                <w:rFonts w:ascii="Arial" w:hAnsi="Arial" w:cs="Arial"/>
                <w:sz w:val="21"/>
                <w:szCs w:val="21"/>
              </w:rPr>
            </w:pPr>
            <w:r w:rsidRPr="008A7A30">
              <w:rPr>
                <w:rFonts w:ascii="Arial" w:hAnsi="Arial" w:cs="Arial"/>
                <w:sz w:val="21"/>
                <w:szCs w:val="21"/>
              </w:rPr>
              <w:t>Masked continuous glucose monitor (CGM) metrics including percentage of time in range (3.9-10 mmol/L), percentage of time &lt;3.9 mmol/L, percentage of time &gt;10 mmol/L, percentage of time &gt;13.9 mmol/L, percentage of time &lt;2.8 mmol/L and mean glucose.</w:t>
            </w:r>
          </w:p>
          <w:p w14:paraId="7EE26960" w14:textId="77777777" w:rsidR="00D811C3" w:rsidRPr="008A7A30" w:rsidRDefault="00D811C3" w:rsidP="005D068E">
            <w:pPr>
              <w:spacing w:after="270" w:line="270" w:lineRule="atLeast"/>
              <w:rPr>
                <w:rFonts w:ascii="Arial" w:hAnsi="Arial" w:cs="Arial"/>
                <w:sz w:val="21"/>
                <w:szCs w:val="21"/>
              </w:rPr>
            </w:pPr>
            <w:r w:rsidRPr="008A7A30">
              <w:rPr>
                <w:rFonts w:ascii="Arial" w:hAnsi="Arial" w:cs="Arial"/>
                <w:sz w:val="21"/>
                <w:szCs w:val="21"/>
              </w:rPr>
              <w:lastRenderedPageBreak/>
              <w:t>HbA</w:t>
            </w:r>
            <w:r w:rsidRPr="0097475B">
              <w:rPr>
                <w:rFonts w:ascii="Arial" w:hAnsi="Arial" w:cs="Arial"/>
                <w:sz w:val="21"/>
                <w:szCs w:val="21"/>
                <w:vertAlign w:val="subscript"/>
              </w:rPr>
              <w:t>1c</w:t>
            </w:r>
            <w:r w:rsidRPr="008A7A30">
              <w:rPr>
                <w:rFonts w:ascii="Arial" w:hAnsi="Arial" w:cs="Arial"/>
                <w:sz w:val="21"/>
                <w:szCs w:val="21"/>
              </w:rPr>
              <w:t xml:space="preserve"> via blood test.</w:t>
            </w:r>
          </w:p>
          <w:p w14:paraId="4EF177AB" w14:textId="77777777" w:rsidR="00D811C3" w:rsidRPr="008A7A30" w:rsidRDefault="00D811C3" w:rsidP="005D068E">
            <w:pPr>
              <w:spacing w:after="270" w:line="270" w:lineRule="atLeast"/>
              <w:rPr>
                <w:rFonts w:ascii="Arial" w:hAnsi="Arial" w:cs="Arial"/>
                <w:sz w:val="21"/>
                <w:szCs w:val="21"/>
              </w:rPr>
            </w:pPr>
            <w:r w:rsidRPr="008A7A30">
              <w:rPr>
                <w:rFonts w:ascii="Arial" w:hAnsi="Arial" w:cs="Arial"/>
                <w:sz w:val="21"/>
                <w:szCs w:val="21"/>
              </w:rPr>
              <w:t>Number of symptomatic hypoglycemic events defined as an event with typical symptoms of hypoglycemia accompanied by measured plasma glucose concentration of 3.9 mmol/L or less, recorded by KeyLead App.</w:t>
            </w:r>
          </w:p>
          <w:p w14:paraId="2088B543" w14:textId="77777777" w:rsidR="00D811C3" w:rsidRPr="008A7A30" w:rsidRDefault="00D811C3" w:rsidP="005D068E">
            <w:pPr>
              <w:spacing w:after="270" w:line="270" w:lineRule="atLeast"/>
              <w:rPr>
                <w:rFonts w:ascii="Arial" w:hAnsi="Arial" w:cs="Arial"/>
                <w:sz w:val="21"/>
                <w:szCs w:val="21"/>
              </w:rPr>
            </w:pPr>
            <w:r w:rsidRPr="008A7A30">
              <w:rPr>
                <w:rFonts w:ascii="Arial" w:hAnsi="Arial" w:cs="Arial"/>
                <w:sz w:val="21"/>
                <w:szCs w:val="21"/>
              </w:rPr>
              <w:t>Length of time to change pods, length of time to change insulin pump sets, number of insulin infusion line occlusions and pod failures.</w:t>
            </w:r>
          </w:p>
          <w:p w14:paraId="379E9286" w14:textId="77777777" w:rsidR="00D811C3" w:rsidRPr="008A7A30" w:rsidRDefault="00D811C3" w:rsidP="005D068E">
            <w:pPr>
              <w:spacing w:after="270" w:line="270" w:lineRule="atLeast"/>
              <w:rPr>
                <w:rFonts w:ascii="Arial" w:hAnsi="Arial" w:cs="Arial"/>
                <w:sz w:val="21"/>
                <w:szCs w:val="21"/>
              </w:rPr>
            </w:pPr>
            <w:r w:rsidRPr="008A7A30">
              <w:rPr>
                <w:rFonts w:ascii="Arial" w:hAnsi="Arial" w:cs="Arial"/>
                <w:sz w:val="21"/>
                <w:szCs w:val="21"/>
              </w:rPr>
              <w:t>Healthcare professional perception of Omnipod</w:t>
            </w:r>
            <w:r>
              <w:rPr>
                <w:rFonts w:ascii="Arial" w:hAnsi="Arial" w:cs="Arial"/>
                <w:sz w:val="21"/>
                <w:szCs w:val="21"/>
              </w:rPr>
              <w:t xml:space="preserve"> </w:t>
            </w:r>
            <w:r w:rsidRPr="008A7A30">
              <w:rPr>
                <w:rFonts w:ascii="Arial" w:hAnsi="Arial" w:cs="Arial"/>
                <w:sz w:val="21"/>
                <w:szCs w:val="21"/>
              </w:rPr>
              <w:t>DASH insulin management system as assessed via an open-ended 30-minute interview.</w:t>
            </w:r>
          </w:p>
        </w:tc>
      </w:tr>
    </w:tbl>
    <w:p w14:paraId="022C3538" w14:textId="77777777" w:rsidR="00D811C3" w:rsidRDefault="00D811C3" w:rsidP="00D811C3">
      <w:pPr>
        <w:spacing w:line="480" w:lineRule="auto"/>
        <w:jc w:val="both"/>
        <w:rPr>
          <w:rFonts w:ascii="Times New Roman" w:hAnsi="Times New Roman" w:cs="Times New Roman"/>
          <w:b/>
          <w:bCs/>
          <w:sz w:val="24"/>
          <w:szCs w:val="24"/>
        </w:rPr>
      </w:pPr>
    </w:p>
    <w:p w14:paraId="75026302" w14:textId="77777777" w:rsidR="00D811C3" w:rsidRDefault="00D811C3" w:rsidP="00D811C3">
      <w:pPr>
        <w:rPr>
          <w:rFonts w:ascii="Times New Roman" w:hAnsi="Times New Roman" w:cs="Times New Roman"/>
          <w:b/>
          <w:bCs/>
          <w:sz w:val="24"/>
          <w:szCs w:val="24"/>
        </w:rPr>
      </w:pPr>
      <w:r>
        <w:rPr>
          <w:rFonts w:ascii="Times New Roman" w:hAnsi="Times New Roman" w:cs="Times New Roman"/>
          <w:b/>
          <w:bCs/>
          <w:sz w:val="24"/>
          <w:szCs w:val="24"/>
        </w:rPr>
        <w:br w:type="page"/>
      </w:r>
    </w:p>
    <w:p w14:paraId="779D305F" w14:textId="77777777" w:rsidR="00D811C3" w:rsidRDefault="00D811C3" w:rsidP="00D811C3">
      <w:pPr>
        <w:spacing w:line="48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Appendix 2: SVHM HREC Approved Participant Information and Consent Form</w:t>
      </w:r>
    </w:p>
    <w:p w14:paraId="6455ABF6" w14:textId="77777777" w:rsidR="00D811C3" w:rsidRDefault="00D811C3" w:rsidP="00D811C3">
      <w:pPr>
        <w:spacing w:line="480" w:lineRule="auto"/>
        <w:jc w:val="both"/>
        <w:rPr>
          <w:rFonts w:ascii="Times New Roman" w:hAnsi="Times New Roman" w:cs="Times New Roman"/>
          <w:b/>
          <w:bCs/>
          <w:sz w:val="24"/>
          <w:szCs w:val="24"/>
        </w:rPr>
      </w:pPr>
      <w:r w:rsidRPr="00CB4CD9">
        <w:rPr>
          <w:rFonts w:ascii="Times New Roman" w:hAnsi="Times New Roman" w:cs="Times New Roman"/>
          <w:b/>
          <w:bCs/>
          <w:noProof/>
          <w:sz w:val="24"/>
          <w:szCs w:val="24"/>
          <w:lang w:val="en-US" w:eastAsia="zh-CN"/>
        </w:rPr>
        <w:lastRenderedPageBreak/>
        <w:drawing>
          <wp:inline distT="0" distB="0" distL="0" distR="0" wp14:anchorId="5C249E6D" wp14:editId="03DEA314">
            <wp:extent cx="5731510" cy="8223250"/>
            <wp:effectExtent l="0" t="0" r="254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8223250"/>
                    </a:xfrm>
                    <a:prstGeom prst="rect">
                      <a:avLst/>
                    </a:prstGeom>
                    <a:noFill/>
                    <a:ln>
                      <a:noFill/>
                    </a:ln>
                  </pic:spPr>
                </pic:pic>
              </a:graphicData>
            </a:graphic>
          </wp:inline>
        </w:drawing>
      </w:r>
    </w:p>
    <w:p w14:paraId="45B2FB85" w14:textId="77777777" w:rsidR="00D811C3" w:rsidRDefault="00D811C3" w:rsidP="00D811C3">
      <w:pPr>
        <w:spacing w:line="480" w:lineRule="auto"/>
        <w:jc w:val="both"/>
        <w:rPr>
          <w:rFonts w:ascii="Times New Roman" w:hAnsi="Times New Roman" w:cs="Times New Roman"/>
          <w:b/>
          <w:bCs/>
          <w:sz w:val="24"/>
          <w:szCs w:val="24"/>
        </w:rPr>
      </w:pPr>
      <w:r w:rsidRPr="00C0220A">
        <w:rPr>
          <w:rFonts w:ascii="Times New Roman" w:hAnsi="Times New Roman" w:cs="Times New Roman"/>
          <w:b/>
          <w:bCs/>
          <w:noProof/>
          <w:sz w:val="24"/>
          <w:szCs w:val="24"/>
          <w:lang w:val="en-US" w:eastAsia="zh-CN"/>
        </w:rPr>
        <w:lastRenderedPageBreak/>
        <w:drawing>
          <wp:inline distT="0" distB="0" distL="0" distR="0" wp14:anchorId="0F22E3D3" wp14:editId="488AD9E9">
            <wp:extent cx="5511800" cy="886333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11800" cy="8863330"/>
                    </a:xfrm>
                    <a:prstGeom prst="rect">
                      <a:avLst/>
                    </a:prstGeom>
                    <a:noFill/>
                    <a:ln>
                      <a:noFill/>
                    </a:ln>
                  </pic:spPr>
                </pic:pic>
              </a:graphicData>
            </a:graphic>
          </wp:inline>
        </w:drawing>
      </w:r>
    </w:p>
    <w:p w14:paraId="7E680085" w14:textId="77777777" w:rsidR="00D811C3" w:rsidRDefault="00D811C3" w:rsidP="00D811C3">
      <w:pPr>
        <w:spacing w:line="480" w:lineRule="auto"/>
        <w:jc w:val="both"/>
        <w:rPr>
          <w:rFonts w:ascii="Times New Roman" w:hAnsi="Times New Roman" w:cs="Times New Roman"/>
          <w:b/>
          <w:bCs/>
          <w:sz w:val="24"/>
          <w:szCs w:val="24"/>
        </w:rPr>
      </w:pPr>
      <w:r w:rsidRPr="00157FEC">
        <w:rPr>
          <w:rFonts w:ascii="Times New Roman" w:hAnsi="Times New Roman" w:cs="Times New Roman"/>
          <w:b/>
          <w:bCs/>
          <w:noProof/>
          <w:sz w:val="24"/>
          <w:szCs w:val="24"/>
          <w:lang w:val="en-US" w:eastAsia="zh-CN"/>
        </w:rPr>
        <w:lastRenderedPageBreak/>
        <w:drawing>
          <wp:inline distT="0" distB="0" distL="0" distR="0" wp14:anchorId="11D6ABB2" wp14:editId="73857C4A">
            <wp:extent cx="5731510" cy="857440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8574405"/>
                    </a:xfrm>
                    <a:prstGeom prst="rect">
                      <a:avLst/>
                    </a:prstGeom>
                    <a:noFill/>
                    <a:ln>
                      <a:noFill/>
                    </a:ln>
                  </pic:spPr>
                </pic:pic>
              </a:graphicData>
            </a:graphic>
          </wp:inline>
        </w:drawing>
      </w:r>
    </w:p>
    <w:p w14:paraId="76E8DB09" w14:textId="77777777" w:rsidR="00D811C3" w:rsidRDefault="00D811C3" w:rsidP="00D811C3">
      <w:pPr>
        <w:spacing w:line="480" w:lineRule="auto"/>
        <w:jc w:val="both"/>
        <w:rPr>
          <w:rFonts w:ascii="Times New Roman" w:hAnsi="Times New Roman" w:cs="Times New Roman"/>
          <w:b/>
          <w:bCs/>
          <w:sz w:val="24"/>
          <w:szCs w:val="24"/>
        </w:rPr>
      </w:pPr>
    </w:p>
    <w:p w14:paraId="5E27D7B0" w14:textId="77777777" w:rsidR="00D811C3" w:rsidRDefault="00D811C3" w:rsidP="00D811C3">
      <w:pPr>
        <w:spacing w:line="480" w:lineRule="auto"/>
        <w:jc w:val="both"/>
        <w:rPr>
          <w:rFonts w:ascii="Times New Roman" w:hAnsi="Times New Roman" w:cs="Times New Roman"/>
          <w:b/>
          <w:bCs/>
          <w:sz w:val="24"/>
          <w:szCs w:val="24"/>
        </w:rPr>
      </w:pPr>
      <w:r w:rsidRPr="00BD4E12">
        <w:rPr>
          <w:rFonts w:ascii="Times New Roman" w:hAnsi="Times New Roman" w:cs="Times New Roman"/>
          <w:b/>
          <w:bCs/>
          <w:noProof/>
          <w:sz w:val="24"/>
          <w:szCs w:val="24"/>
          <w:lang w:val="en-US" w:eastAsia="zh-CN"/>
        </w:rPr>
        <w:lastRenderedPageBreak/>
        <w:drawing>
          <wp:inline distT="0" distB="0" distL="0" distR="0" wp14:anchorId="62FE1EAA" wp14:editId="49EB3C4B">
            <wp:extent cx="8176638" cy="5332118"/>
            <wp:effectExtent l="0" t="6668" r="8573" b="8572"/>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16200000">
                      <a:off x="0" y="0"/>
                      <a:ext cx="8195276" cy="5344272"/>
                    </a:xfrm>
                    <a:prstGeom prst="rect">
                      <a:avLst/>
                    </a:prstGeom>
                    <a:noFill/>
                    <a:ln>
                      <a:noFill/>
                    </a:ln>
                  </pic:spPr>
                </pic:pic>
              </a:graphicData>
            </a:graphic>
          </wp:inline>
        </w:drawing>
      </w:r>
    </w:p>
    <w:p w14:paraId="398A58AC" w14:textId="77777777" w:rsidR="00D811C3" w:rsidRDefault="00D811C3" w:rsidP="00D811C3">
      <w:pPr>
        <w:spacing w:line="480" w:lineRule="auto"/>
        <w:jc w:val="both"/>
        <w:rPr>
          <w:rFonts w:ascii="Times New Roman" w:hAnsi="Times New Roman" w:cs="Times New Roman"/>
          <w:b/>
          <w:bCs/>
          <w:sz w:val="24"/>
          <w:szCs w:val="24"/>
        </w:rPr>
      </w:pPr>
      <w:r w:rsidRPr="00B06138">
        <w:rPr>
          <w:rFonts w:ascii="Times New Roman" w:hAnsi="Times New Roman" w:cs="Times New Roman"/>
          <w:b/>
          <w:bCs/>
          <w:noProof/>
          <w:sz w:val="24"/>
          <w:szCs w:val="24"/>
          <w:lang w:val="en-US" w:eastAsia="zh-CN"/>
        </w:rPr>
        <w:lastRenderedPageBreak/>
        <w:drawing>
          <wp:inline distT="0" distB="0" distL="0" distR="0" wp14:anchorId="6074EF99" wp14:editId="01189F12">
            <wp:extent cx="5731510" cy="8580120"/>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8580120"/>
                    </a:xfrm>
                    <a:prstGeom prst="rect">
                      <a:avLst/>
                    </a:prstGeom>
                    <a:noFill/>
                    <a:ln>
                      <a:noFill/>
                    </a:ln>
                  </pic:spPr>
                </pic:pic>
              </a:graphicData>
            </a:graphic>
          </wp:inline>
        </w:drawing>
      </w:r>
    </w:p>
    <w:p w14:paraId="0B78A13E" w14:textId="77777777" w:rsidR="00D811C3" w:rsidRDefault="00D811C3" w:rsidP="00D811C3">
      <w:pPr>
        <w:spacing w:line="480" w:lineRule="auto"/>
        <w:jc w:val="both"/>
        <w:rPr>
          <w:rFonts w:ascii="Times New Roman" w:hAnsi="Times New Roman" w:cs="Times New Roman"/>
          <w:b/>
          <w:bCs/>
          <w:sz w:val="24"/>
          <w:szCs w:val="24"/>
        </w:rPr>
      </w:pPr>
      <w:r w:rsidRPr="00C5761F">
        <w:rPr>
          <w:rFonts w:ascii="Times New Roman" w:hAnsi="Times New Roman" w:cs="Times New Roman"/>
          <w:b/>
          <w:bCs/>
          <w:noProof/>
          <w:sz w:val="24"/>
          <w:szCs w:val="24"/>
          <w:lang w:val="en-US" w:eastAsia="zh-CN"/>
        </w:rPr>
        <w:lastRenderedPageBreak/>
        <w:drawing>
          <wp:inline distT="0" distB="0" distL="0" distR="0" wp14:anchorId="289B2AE4" wp14:editId="63C92CE4">
            <wp:extent cx="5731510" cy="8639175"/>
            <wp:effectExtent l="0" t="0" r="254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8639175"/>
                    </a:xfrm>
                    <a:prstGeom prst="rect">
                      <a:avLst/>
                    </a:prstGeom>
                    <a:noFill/>
                    <a:ln>
                      <a:noFill/>
                    </a:ln>
                  </pic:spPr>
                </pic:pic>
              </a:graphicData>
            </a:graphic>
          </wp:inline>
        </w:drawing>
      </w:r>
    </w:p>
    <w:p w14:paraId="2DCE8A70" w14:textId="77777777" w:rsidR="00D811C3" w:rsidRDefault="00D811C3" w:rsidP="00D811C3">
      <w:pPr>
        <w:spacing w:line="480" w:lineRule="auto"/>
        <w:jc w:val="both"/>
        <w:rPr>
          <w:rFonts w:ascii="Times New Roman" w:hAnsi="Times New Roman" w:cs="Times New Roman"/>
          <w:b/>
          <w:bCs/>
          <w:sz w:val="24"/>
          <w:szCs w:val="24"/>
        </w:rPr>
      </w:pPr>
      <w:r w:rsidRPr="00D65335">
        <w:rPr>
          <w:rFonts w:ascii="Times New Roman" w:hAnsi="Times New Roman" w:cs="Times New Roman"/>
          <w:b/>
          <w:bCs/>
          <w:noProof/>
          <w:sz w:val="24"/>
          <w:szCs w:val="24"/>
          <w:lang w:val="en-US" w:eastAsia="zh-CN"/>
        </w:rPr>
        <w:lastRenderedPageBreak/>
        <w:drawing>
          <wp:inline distT="0" distB="0" distL="0" distR="0" wp14:anchorId="37CC17C9" wp14:editId="2BB939DC">
            <wp:extent cx="5731510" cy="8476615"/>
            <wp:effectExtent l="0" t="0" r="254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8476615"/>
                    </a:xfrm>
                    <a:prstGeom prst="rect">
                      <a:avLst/>
                    </a:prstGeom>
                    <a:noFill/>
                    <a:ln>
                      <a:noFill/>
                    </a:ln>
                  </pic:spPr>
                </pic:pic>
              </a:graphicData>
            </a:graphic>
          </wp:inline>
        </w:drawing>
      </w:r>
    </w:p>
    <w:p w14:paraId="67A1A607" w14:textId="77777777" w:rsidR="00D811C3" w:rsidRDefault="00D811C3" w:rsidP="00D811C3">
      <w:pPr>
        <w:spacing w:line="480" w:lineRule="auto"/>
        <w:jc w:val="both"/>
        <w:rPr>
          <w:rFonts w:ascii="Times New Roman" w:hAnsi="Times New Roman" w:cs="Times New Roman"/>
          <w:b/>
          <w:bCs/>
          <w:sz w:val="24"/>
          <w:szCs w:val="24"/>
        </w:rPr>
      </w:pPr>
      <w:r w:rsidRPr="00DE374C">
        <w:rPr>
          <w:rFonts w:ascii="Times New Roman" w:hAnsi="Times New Roman" w:cs="Times New Roman"/>
          <w:b/>
          <w:bCs/>
          <w:noProof/>
          <w:sz w:val="24"/>
          <w:szCs w:val="24"/>
          <w:lang w:val="en-US" w:eastAsia="zh-CN"/>
        </w:rPr>
        <w:lastRenderedPageBreak/>
        <w:drawing>
          <wp:inline distT="0" distB="0" distL="0" distR="0" wp14:anchorId="7BED7D77" wp14:editId="60F3488C">
            <wp:extent cx="5731510" cy="8738235"/>
            <wp:effectExtent l="0" t="0" r="254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8738235"/>
                    </a:xfrm>
                    <a:prstGeom prst="rect">
                      <a:avLst/>
                    </a:prstGeom>
                    <a:noFill/>
                    <a:ln>
                      <a:noFill/>
                    </a:ln>
                  </pic:spPr>
                </pic:pic>
              </a:graphicData>
            </a:graphic>
          </wp:inline>
        </w:drawing>
      </w:r>
    </w:p>
    <w:p w14:paraId="3F6B555A" w14:textId="77777777" w:rsidR="00D811C3" w:rsidRDefault="00D811C3" w:rsidP="00D811C3">
      <w:pPr>
        <w:spacing w:line="480" w:lineRule="auto"/>
        <w:jc w:val="both"/>
        <w:rPr>
          <w:rFonts w:ascii="Times New Roman" w:hAnsi="Times New Roman" w:cs="Times New Roman"/>
          <w:b/>
          <w:bCs/>
          <w:sz w:val="24"/>
          <w:szCs w:val="24"/>
        </w:rPr>
      </w:pPr>
      <w:r w:rsidRPr="00BC1CF4">
        <w:rPr>
          <w:rFonts w:ascii="Times New Roman" w:hAnsi="Times New Roman" w:cs="Times New Roman"/>
          <w:b/>
          <w:bCs/>
          <w:noProof/>
          <w:sz w:val="24"/>
          <w:szCs w:val="24"/>
          <w:lang w:val="en-US" w:eastAsia="zh-CN"/>
        </w:rPr>
        <w:lastRenderedPageBreak/>
        <w:drawing>
          <wp:inline distT="0" distB="0" distL="0" distR="0" wp14:anchorId="703308AF" wp14:editId="70E11C01">
            <wp:extent cx="5707380" cy="8863330"/>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07380" cy="8863330"/>
                    </a:xfrm>
                    <a:prstGeom prst="rect">
                      <a:avLst/>
                    </a:prstGeom>
                    <a:noFill/>
                    <a:ln>
                      <a:noFill/>
                    </a:ln>
                  </pic:spPr>
                </pic:pic>
              </a:graphicData>
            </a:graphic>
          </wp:inline>
        </w:drawing>
      </w:r>
    </w:p>
    <w:p w14:paraId="13B62C60" w14:textId="77777777" w:rsidR="00D811C3" w:rsidRDefault="00D811C3" w:rsidP="00D811C3">
      <w:pPr>
        <w:spacing w:line="480" w:lineRule="auto"/>
        <w:jc w:val="both"/>
        <w:rPr>
          <w:rFonts w:ascii="Times New Roman" w:hAnsi="Times New Roman" w:cs="Times New Roman"/>
          <w:b/>
          <w:bCs/>
          <w:sz w:val="24"/>
          <w:szCs w:val="24"/>
        </w:rPr>
      </w:pPr>
      <w:r w:rsidRPr="00E5315F">
        <w:rPr>
          <w:rFonts w:ascii="Times New Roman" w:hAnsi="Times New Roman" w:cs="Times New Roman"/>
          <w:b/>
          <w:bCs/>
          <w:noProof/>
          <w:sz w:val="24"/>
          <w:szCs w:val="24"/>
          <w:lang w:val="en-US" w:eastAsia="zh-CN"/>
        </w:rPr>
        <w:lastRenderedPageBreak/>
        <w:drawing>
          <wp:inline distT="0" distB="0" distL="0" distR="0" wp14:anchorId="06FC4B14" wp14:editId="17D8E35C">
            <wp:extent cx="5661025" cy="886333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61025" cy="8863330"/>
                    </a:xfrm>
                    <a:prstGeom prst="rect">
                      <a:avLst/>
                    </a:prstGeom>
                    <a:noFill/>
                    <a:ln>
                      <a:noFill/>
                    </a:ln>
                  </pic:spPr>
                </pic:pic>
              </a:graphicData>
            </a:graphic>
          </wp:inline>
        </w:drawing>
      </w:r>
    </w:p>
    <w:p w14:paraId="4ED107B6" w14:textId="77777777" w:rsidR="00D811C3" w:rsidRDefault="00D811C3" w:rsidP="00D811C3">
      <w:pPr>
        <w:spacing w:line="480" w:lineRule="auto"/>
        <w:jc w:val="both"/>
        <w:rPr>
          <w:rFonts w:ascii="Times New Roman" w:hAnsi="Times New Roman" w:cs="Times New Roman"/>
          <w:b/>
          <w:bCs/>
          <w:sz w:val="24"/>
          <w:szCs w:val="24"/>
        </w:rPr>
      </w:pPr>
      <w:r w:rsidRPr="00073FBE">
        <w:rPr>
          <w:rFonts w:ascii="Times New Roman" w:hAnsi="Times New Roman" w:cs="Times New Roman"/>
          <w:b/>
          <w:bCs/>
          <w:noProof/>
          <w:sz w:val="24"/>
          <w:szCs w:val="24"/>
          <w:lang w:val="en-US" w:eastAsia="zh-CN"/>
        </w:rPr>
        <w:lastRenderedPageBreak/>
        <w:drawing>
          <wp:inline distT="0" distB="0" distL="0" distR="0" wp14:anchorId="7696F086" wp14:editId="1796360D">
            <wp:extent cx="5569585" cy="886333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69585" cy="8863330"/>
                    </a:xfrm>
                    <a:prstGeom prst="rect">
                      <a:avLst/>
                    </a:prstGeom>
                    <a:noFill/>
                    <a:ln>
                      <a:noFill/>
                    </a:ln>
                  </pic:spPr>
                </pic:pic>
              </a:graphicData>
            </a:graphic>
          </wp:inline>
        </w:drawing>
      </w:r>
    </w:p>
    <w:p w14:paraId="4421AABB" w14:textId="77777777" w:rsidR="00D811C3" w:rsidRDefault="00D811C3" w:rsidP="00D811C3">
      <w:pPr>
        <w:spacing w:line="480" w:lineRule="auto"/>
        <w:jc w:val="both"/>
        <w:rPr>
          <w:rFonts w:ascii="Times New Roman" w:hAnsi="Times New Roman" w:cs="Times New Roman"/>
          <w:b/>
          <w:bCs/>
          <w:sz w:val="24"/>
          <w:szCs w:val="24"/>
        </w:rPr>
      </w:pPr>
      <w:r w:rsidRPr="001F4452">
        <w:rPr>
          <w:rFonts w:ascii="Times New Roman" w:hAnsi="Times New Roman" w:cs="Times New Roman"/>
          <w:b/>
          <w:bCs/>
          <w:noProof/>
          <w:sz w:val="24"/>
          <w:szCs w:val="24"/>
          <w:lang w:val="en-US" w:eastAsia="zh-CN"/>
        </w:rPr>
        <w:lastRenderedPageBreak/>
        <w:drawing>
          <wp:inline distT="0" distB="0" distL="0" distR="0" wp14:anchorId="78A43D74" wp14:editId="4FD675D6">
            <wp:extent cx="5731510" cy="8811895"/>
            <wp:effectExtent l="0" t="0" r="2540" b="825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8811895"/>
                    </a:xfrm>
                    <a:prstGeom prst="rect">
                      <a:avLst/>
                    </a:prstGeom>
                    <a:noFill/>
                    <a:ln>
                      <a:noFill/>
                    </a:ln>
                  </pic:spPr>
                </pic:pic>
              </a:graphicData>
            </a:graphic>
          </wp:inline>
        </w:drawing>
      </w:r>
    </w:p>
    <w:p w14:paraId="5A9FAB10" w14:textId="77777777" w:rsidR="00D811C3" w:rsidRDefault="00D811C3" w:rsidP="00D811C3">
      <w:pPr>
        <w:spacing w:line="480" w:lineRule="auto"/>
        <w:jc w:val="both"/>
        <w:rPr>
          <w:rFonts w:ascii="Times New Roman" w:hAnsi="Times New Roman" w:cs="Times New Roman"/>
          <w:b/>
          <w:bCs/>
          <w:sz w:val="24"/>
          <w:szCs w:val="24"/>
        </w:rPr>
      </w:pPr>
      <w:r w:rsidRPr="005C08A8">
        <w:rPr>
          <w:rFonts w:ascii="Times New Roman" w:hAnsi="Times New Roman" w:cs="Times New Roman"/>
          <w:b/>
          <w:bCs/>
          <w:noProof/>
          <w:sz w:val="24"/>
          <w:szCs w:val="24"/>
          <w:lang w:val="en-US" w:eastAsia="zh-CN"/>
        </w:rPr>
        <w:lastRenderedPageBreak/>
        <w:drawing>
          <wp:inline distT="0" distB="0" distL="0" distR="0" wp14:anchorId="717385C1" wp14:editId="77DF3658">
            <wp:extent cx="5731510" cy="8801735"/>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8801735"/>
                    </a:xfrm>
                    <a:prstGeom prst="rect">
                      <a:avLst/>
                    </a:prstGeom>
                    <a:noFill/>
                    <a:ln>
                      <a:noFill/>
                    </a:ln>
                  </pic:spPr>
                </pic:pic>
              </a:graphicData>
            </a:graphic>
          </wp:inline>
        </w:drawing>
      </w:r>
    </w:p>
    <w:p w14:paraId="3A726A91" w14:textId="77777777" w:rsidR="00D811C3" w:rsidRDefault="00D811C3" w:rsidP="00D811C3">
      <w:pPr>
        <w:spacing w:line="480" w:lineRule="auto"/>
        <w:jc w:val="both"/>
        <w:rPr>
          <w:rFonts w:ascii="Times New Roman" w:hAnsi="Times New Roman" w:cs="Times New Roman"/>
          <w:b/>
          <w:bCs/>
          <w:sz w:val="24"/>
          <w:szCs w:val="24"/>
        </w:rPr>
      </w:pPr>
      <w:r w:rsidRPr="00BC0F7C">
        <w:rPr>
          <w:rFonts w:ascii="Times New Roman" w:hAnsi="Times New Roman" w:cs="Times New Roman"/>
          <w:b/>
          <w:bCs/>
          <w:noProof/>
          <w:sz w:val="24"/>
          <w:szCs w:val="24"/>
          <w:lang w:val="en-US" w:eastAsia="zh-CN"/>
        </w:rPr>
        <w:lastRenderedPageBreak/>
        <w:drawing>
          <wp:inline distT="0" distB="0" distL="0" distR="0" wp14:anchorId="4934CA46" wp14:editId="0940C676">
            <wp:extent cx="5731510" cy="8322945"/>
            <wp:effectExtent l="0" t="0" r="254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8322945"/>
                    </a:xfrm>
                    <a:prstGeom prst="rect">
                      <a:avLst/>
                    </a:prstGeom>
                    <a:noFill/>
                    <a:ln>
                      <a:noFill/>
                    </a:ln>
                  </pic:spPr>
                </pic:pic>
              </a:graphicData>
            </a:graphic>
          </wp:inline>
        </w:drawing>
      </w:r>
    </w:p>
    <w:p w14:paraId="526F09C7" w14:textId="77777777" w:rsidR="00D811C3" w:rsidRDefault="00D811C3" w:rsidP="00D811C3">
      <w:pPr>
        <w:spacing w:line="480" w:lineRule="auto"/>
        <w:jc w:val="both"/>
        <w:rPr>
          <w:rFonts w:ascii="Times New Roman" w:hAnsi="Times New Roman" w:cs="Times New Roman"/>
          <w:b/>
          <w:bCs/>
          <w:sz w:val="24"/>
          <w:szCs w:val="24"/>
        </w:rPr>
      </w:pPr>
    </w:p>
    <w:p w14:paraId="08D6ED9D" w14:textId="77777777" w:rsidR="00D811C3" w:rsidRDefault="00D811C3" w:rsidP="00D811C3">
      <w:pPr>
        <w:spacing w:line="480" w:lineRule="auto"/>
        <w:jc w:val="both"/>
        <w:rPr>
          <w:rFonts w:ascii="Times New Roman" w:hAnsi="Times New Roman" w:cs="Times New Roman"/>
          <w:b/>
          <w:bCs/>
          <w:sz w:val="24"/>
          <w:szCs w:val="24"/>
        </w:rPr>
      </w:pPr>
      <w:r w:rsidRPr="00914F19">
        <w:rPr>
          <w:rFonts w:ascii="Times New Roman" w:hAnsi="Times New Roman" w:cs="Times New Roman"/>
          <w:b/>
          <w:bCs/>
          <w:noProof/>
          <w:sz w:val="24"/>
          <w:szCs w:val="24"/>
          <w:lang w:val="en-US" w:eastAsia="zh-CN"/>
        </w:rPr>
        <w:lastRenderedPageBreak/>
        <w:drawing>
          <wp:inline distT="0" distB="0" distL="0" distR="0" wp14:anchorId="150A46FB" wp14:editId="4651C1CE">
            <wp:extent cx="5731510" cy="8325485"/>
            <wp:effectExtent l="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8325485"/>
                    </a:xfrm>
                    <a:prstGeom prst="rect">
                      <a:avLst/>
                    </a:prstGeom>
                    <a:noFill/>
                    <a:ln>
                      <a:noFill/>
                    </a:ln>
                  </pic:spPr>
                </pic:pic>
              </a:graphicData>
            </a:graphic>
          </wp:inline>
        </w:drawing>
      </w:r>
    </w:p>
    <w:p w14:paraId="38665D1A" w14:textId="77777777" w:rsidR="00D811C3" w:rsidRDefault="00D811C3" w:rsidP="00D811C3">
      <w:pPr>
        <w:spacing w:line="480" w:lineRule="auto"/>
        <w:jc w:val="both"/>
        <w:rPr>
          <w:rFonts w:ascii="Times New Roman" w:hAnsi="Times New Roman" w:cs="Times New Roman"/>
          <w:b/>
          <w:bCs/>
          <w:sz w:val="24"/>
          <w:szCs w:val="24"/>
        </w:rPr>
      </w:pPr>
    </w:p>
    <w:p w14:paraId="4A0E89B5" w14:textId="77777777" w:rsidR="00D811C3" w:rsidRDefault="00D811C3" w:rsidP="00D811C3">
      <w:pPr>
        <w:spacing w:line="480" w:lineRule="auto"/>
        <w:jc w:val="both"/>
        <w:rPr>
          <w:rFonts w:ascii="Times New Roman" w:hAnsi="Times New Roman" w:cs="Times New Roman"/>
          <w:b/>
          <w:bCs/>
          <w:sz w:val="24"/>
          <w:szCs w:val="24"/>
        </w:rPr>
      </w:pPr>
      <w:r w:rsidRPr="00230282">
        <w:rPr>
          <w:rFonts w:ascii="Times New Roman" w:hAnsi="Times New Roman" w:cs="Times New Roman"/>
          <w:b/>
          <w:bCs/>
          <w:noProof/>
          <w:sz w:val="24"/>
          <w:szCs w:val="24"/>
          <w:lang w:val="en-US" w:eastAsia="zh-CN"/>
        </w:rPr>
        <w:lastRenderedPageBreak/>
        <w:drawing>
          <wp:inline distT="0" distB="0" distL="0" distR="0" wp14:anchorId="4984E5A2" wp14:editId="0A6A63FA">
            <wp:extent cx="5731510" cy="8182610"/>
            <wp:effectExtent l="0" t="0" r="2540"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8182610"/>
                    </a:xfrm>
                    <a:prstGeom prst="rect">
                      <a:avLst/>
                    </a:prstGeom>
                    <a:noFill/>
                    <a:ln>
                      <a:noFill/>
                    </a:ln>
                  </pic:spPr>
                </pic:pic>
              </a:graphicData>
            </a:graphic>
          </wp:inline>
        </w:drawing>
      </w:r>
    </w:p>
    <w:p w14:paraId="2AC5C7BC" w14:textId="77777777" w:rsidR="00D811C3" w:rsidRDefault="00D811C3" w:rsidP="00D811C3">
      <w:pPr>
        <w:spacing w:line="480" w:lineRule="auto"/>
        <w:jc w:val="both"/>
        <w:rPr>
          <w:rFonts w:ascii="Times New Roman" w:hAnsi="Times New Roman" w:cs="Times New Roman"/>
          <w:b/>
          <w:bCs/>
          <w:sz w:val="24"/>
          <w:szCs w:val="24"/>
        </w:rPr>
      </w:pPr>
    </w:p>
    <w:p w14:paraId="008C4F1E" w14:textId="77777777" w:rsidR="00D811C3" w:rsidRDefault="00D811C3" w:rsidP="00D811C3">
      <w:pPr>
        <w:spacing w:line="480" w:lineRule="auto"/>
        <w:jc w:val="both"/>
        <w:rPr>
          <w:rFonts w:ascii="Times New Roman" w:hAnsi="Times New Roman" w:cs="Times New Roman"/>
          <w:sz w:val="24"/>
          <w:szCs w:val="24"/>
        </w:rPr>
      </w:pPr>
      <w:r w:rsidRPr="00FE2CA3">
        <w:rPr>
          <w:rFonts w:ascii="Times New Roman" w:hAnsi="Times New Roman" w:cs="Times New Roman"/>
          <w:b/>
          <w:bCs/>
          <w:sz w:val="24"/>
          <w:szCs w:val="24"/>
        </w:rPr>
        <w:t xml:space="preserve">Appendix 3: </w:t>
      </w:r>
      <w:r w:rsidRPr="00FE2CA3">
        <w:rPr>
          <w:rFonts w:ascii="Times New Roman" w:hAnsi="Times New Roman" w:cs="Times New Roman"/>
          <w:sz w:val="24"/>
          <w:szCs w:val="24"/>
        </w:rPr>
        <w:t>Statistical Analysis Plan</w:t>
      </w:r>
    </w:p>
    <w:p w14:paraId="21C3E0E1" w14:textId="77777777" w:rsidR="00D811C3" w:rsidRDefault="00D811C3" w:rsidP="00D811C3">
      <w:pPr>
        <w:spacing w:after="0" w:line="240" w:lineRule="auto"/>
        <w:rPr>
          <w:b/>
          <w:color w:val="44546A" w:themeColor="text2"/>
          <w:sz w:val="28"/>
          <w:szCs w:val="24"/>
        </w:rPr>
      </w:pPr>
      <w:r>
        <w:rPr>
          <w:rFonts w:ascii="Calibri" w:hAnsi="Calibri" w:cs="Calibri"/>
          <w:b/>
          <w:bCs/>
          <w:color w:val="44546A" w:themeColor="text2"/>
          <w:sz w:val="28"/>
          <w:szCs w:val="24"/>
        </w:rPr>
        <w:t xml:space="preserve">                                                                                                                                                                                                                                                                                                                                                                                                                                                                                                                                                                                                                                                                                                                 Statistical Analysis Plan – </w:t>
      </w:r>
      <w:r>
        <w:rPr>
          <w:b/>
          <w:color w:val="44546A" w:themeColor="text2"/>
          <w:sz w:val="28"/>
          <w:szCs w:val="24"/>
        </w:rPr>
        <w:t>A Pilot Study Comparing Treatment Satisfaction with the Omnipod</w:t>
      </w:r>
      <w:r>
        <w:rPr>
          <w:b/>
          <w:color w:val="44546A" w:themeColor="text2"/>
          <w:sz w:val="28"/>
          <w:szCs w:val="24"/>
          <w:vertAlign w:val="superscript"/>
        </w:rPr>
        <w:t>TM</w:t>
      </w:r>
      <w:r>
        <w:rPr>
          <w:b/>
          <w:color w:val="44546A" w:themeColor="text2"/>
          <w:sz w:val="28"/>
          <w:szCs w:val="24"/>
        </w:rPr>
        <w:t xml:space="preserve"> Insulin Pump Compared with Usual Care in Adults with Type 1 Diabetes Living in Australia.</w:t>
      </w:r>
    </w:p>
    <w:p w14:paraId="7296ED4E" w14:textId="77777777" w:rsidR="00D811C3" w:rsidRDefault="00D811C3" w:rsidP="00D811C3">
      <w:pPr>
        <w:spacing w:after="0" w:line="240" w:lineRule="auto"/>
        <w:rPr>
          <w:b/>
          <w:color w:val="44546A" w:themeColor="text2"/>
          <w:sz w:val="28"/>
          <w:szCs w:val="24"/>
        </w:rPr>
      </w:pPr>
    </w:p>
    <w:p w14:paraId="231ABF50" w14:textId="77777777" w:rsidR="00D811C3" w:rsidRDefault="00D811C3" w:rsidP="00D811C3">
      <w:pPr>
        <w:spacing w:after="0" w:line="240" w:lineRule="auto"/>
        <w:rPr>
          <w:b/>
          <w:color w:val="44546A" w:themeColor="text2"/>
          <w:sz w:val="24"/>
          <w:szCs w:val="24"/>
        </w:rPr>
      </w:pPr>
    </w:p>
    <w:p w14:paraId="542A2692" w14:textId="77777777" w:rsidR="00D811C3" w:rsidRDefault="00D811C3" w:rsidP="00D811C3">
      <w:pPr>
        <w:spacing w:after="0" w:line="240" w:lineRule="auto"/>
        <w:rPr>
          <w:b/>
          <w:color w:val="44546A" w:themeColor="text2"/>
          <w:sz w:val="24"/>
          <w:szCs w:val="24"/>
        </w:rPr>
      </w:pPr>
      <w:r>
        <w:rPr>
          <w:b/>
          <w:color w:val="44546A" w:themeColor="text2"/>
          <w:sz w:val="24"/>
          <w:szCs w:val="24"/>
        </w:rPr>
        <w:t xml:space="preserve">Research Question </w:t>
      </w:r>
    </w:p>
    <w:p w14:paraId="701685F4" w14:textId="77777777" w:rsidR="00D811C3" w:rsidRDefault="00D811C3" w:rsidP="00D811C3">
      <w:pPr>
        <w:spacing w:after="0" w:line="240" w:lineRule="auto"/>
        <w:rPr>
          <w:b/>
          <w:color w:val="44546A" w:themeColor="text2"/>
          <w:sz w:val="24"/>
          <w:szCs w:val="24"/>
        </w:rPr>
      </w:pPr>
    </w:p>
    <w:p w14:paraId="2B1DD675" w14:textId="77777777" w:rsidR="00D811C3" w:rsidRDefault="00D811C3" w:rsidP="00D811C3">
      <w:pPr>
        <w:spacing w:after="0" w:line="240" w:lineRule="auto"/>
        <w:rPr>
          <w:sz w:val="24"/>
          <w:szCs w:val="24"/>
        </w:rPr>
      </w:pPr>
      <w:r>
        <w:rPr>
          <w:sz w:val="24"/>
          <w:szCs w:val="24"/>
        </w:rPr>
        <w:t>To examine study feasibility and acceptability of Omnipod DASH</w:t>
      </w:r>
      <w:r w:rsidRPr="000E54F7">
        <w:rPr>
          <w:rFonts w:ascii="Times New Roman" w:hAnsi="Times New Roman" w:cs="Times New Roman"/>
          <w:sz w:val="24"/>
          <w:szCs w:val="24"/>
          <w:shd w:val="clear" w:color="auto" w:fill="FFFFFF"/>
          <w:vertAlign w:val="superscript"/>
        </w:rPr>
        <w:t>®</w:t>
      </w:r>
      <w:r>
        <w:rPr>
          <w:rFonts w:ascii="Times New Roman" w:hAnsi="Times New Roman" w:cs="Times New Roman"/>
          <w:sz w:val="24"/>
          <w:szCs w:val="24"/>
          <w:shd w:val="clear" w:color="auto" w:fill="FFFFFF"/>
        </w:rPr>
        <w:t xml:space="preserve"> </w:t>
      </w:r>
      <w:r w:rsidRPr="005907BA">
        <w:rPr>
          <w:rFonts w:cs="Times New Roman"/>
          <w:sz w:val="24"/>
          <w:szCs w:val="24"/>
          <w:shd w:val="clear" w:color="auto" w:fill="FFFFFF"/>
        </w:rPr>
        <w:t>System</w:t>
      </w:r>
      <w:r>
        <w:rPr>
          <w:sz w:val="24"/>
          <w:szCs w:val="24"/>
        </w:rPr>
        <w:t xml:space="preserve"> compared with usual care i.e. multiple daily injections (MDI) or conventional insulin pump therapy (IPT) in people living with type 1 diabetes who are monitoring their glucose levels on capillary blood using a glucose meter. Please refer to study protocol where all aspects of the study design are provided.</w:t>
      </w:r>
    </w:p>
    <w:p w14:paraId="32B900E0" w14:textId="77777777" w:rsidR="00D811C3" w:rsidRDefault="00D811C3" w:rsidP="00D811C3">
      <w:pPr>
        <w:spacing w:after="0" w:line="240" w:lineRule="auto"/>
        <w:rPr>
          <w:sz w:val="24"/>
          <w:szCs w:val="24"/>
        </w:rPr>
      </w:pPr>
    </w:p>
    <w:p w14:paraId="7E6357F4" w14:textId="77777777" w:rsidR="00D811C3" w:rsidRDefault="00D811C3" w:rsidP="00D811C3">
      <w:pPr>
        <w:spacing w:after="0" w:line="240" w:lineRule="auto"/>
        <w:rPr>
          <w:b/>
          <w:color w:val="44546A" w:themeColor="text2"/>
          <w:sz w:val="24"/>
          <w:szCs w:val="24"/>
        </w:rPr>
      </w:pPr>
      <w:r>
        <w:rPr>
          <w:b/>
          <w:color w:val="44546A" w:themeColor="text2"/>
          <w:sz w:val="24"/>
          <w:szCs w:val="24"/>
        </w:rPr>
        <w:t xml:space="preserve">Study Cohort </w:t>
      </w:r>
    </w:p>
    <w:p w14:paraId="44322FE4" w14:textId="77777777" w:rsidR="00D811C3" w:rsidRDefault="00D811C3" w:rsidP="00D811C3">
      <w:pPr>
        <w:spacing w:after="0" w:line="240" w:lineRule="auto"/>
        <w:rPr>
          <w:b/>
          <w:color w:val="44546A" w:themeColor="text2"/>
          <w:sz w:val="24"/>
          <w:szCs w:val="24"/>
        </w:rPr>
      </w:pPr>
    </w:p>
    <w:p w14:paraId="5464083B" w14:textId="77777777" w:rsidR="00D811C3" w:rsidRDefault="00D811C3" w:rsidP="00D811C3">
      <w:pPr>
        <w:spacing w:after="0" w:line="240" w:lineRule="auto"/>
        <w:rPr>
          <w:sz w:val="24"/>
          <w:szCs w:val="24"/>
        </w:rPr>
      </w:pPr>
      <w:r>
        <w:rPr>
          <w:sz w:val="24"/>
          <w:szCs w:val="24"/>
        </w:rPr>
        <w:t>Sixty-four adults with a diagnosis of type 1 diabetes managed with MDI or IPT will be recruited from four specialist diabetes centres in Victoria, Australia.</w:t>
      </w:r>
    </w:p>
    <w:p w14:paraId="1C9CA770" w14:textId="77777777" w:rsidR="00D811C3" w:rsidRDefault="00D811C3" w:rsidP="00D811C3">
      <w:pPr>
        <w:spacing w:after="0" w:line="240" w:lineRule="auto"/>
        <w:rPr>
          <w:sz w:val="24"/>
          <w:szCs w:val="24"/>
        </w:rPr>
      </w:pPr>
    </w:p>
    <w:p w14:paraId="40D02BA9" w14:textId="77777777" w:rsidR="00D811C3" w:rsidRDefault="00D811C3" w:rsidP="00D811C3">
      <w:pPr>
        <w:spacing w:after="0" w:line="240" w:lineRule="auto"/>
        <w:jc w:val="center"/>
        <w:rPr>
          <w:b/>
          <w:sz w:val="24"/>
          <w:szCs w:val="24"/>
        </w:rPr>
      </w:pPr>
      <w:r>
        <w:rPr>
          <w:b/>
          <w:noProof/>
          <w:sz w:val="24"/>
          <w:szCs w:val="24"/>
          <w:lang w:val="en-US" w:eastAsia="zh-CN"/>
        </w:rPr>
        <w:drawing>
          <wp:inline distT="0" distB="0" distL="0" distR="0" wp14:anchorId="2E8A256B" wp14:editId="04CA4B2C">
            <wp:extent cx="4958715" cy="1906270"/>
            <wp:effectExtent l="0" t="0" r="0" b="0"/>
            <wp:docPr id="18" name="Picture 18" descr="Description: 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Graphical user interface, application&#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t="3191" r="748" b="33524"/>
                    <a:stretch>
                      <a:fillRect/>
                    </a:stretch>
                  </pic:blipFill>
                  <pic:spPr bwMode="auto">
                    <a:xfrm>
                      <a:off x="0" y="0"/>
                      <a:ext cx="4958715" cy="1906270"/>
                    </a:xfrm>
                    <a:prstGeom prst="rect">
                      <a:avLst/>
                    </a:prstGeom>
                    <a:noFill/>
                    <a:ln>
                      <a:noFill/>
                    </a:ln>
                  </pic:spPr>
                </pic:pic>
              </a:graphicData>
            </a:graphic>
          </wp:inline>
        </w:drawing>
      </w:r>
    </w:p>
    <w:p w14:paraId="0D27C02C" w14:textId="77777777" w:rsidR="00D811C3" w:rsidRDefault="00D811C3" w:rsidP="00D811C3">
      <w:pPr>
        <w:spacing w:after="0" w:line="240" w:lineRule="auto"/>
        <w:rPr>
          <w:sz w:val="24"/>
          <w:szCs w:val="24"/>
        </w:rPr>
      </w:pPr>
      <w:r>
        <w:rPr>
          <w:b/>
          <w:sz w:val="24"/>
          <w:szCs w:val="24"/>
        </w:rPr>
        <w:t xml:space="preserve">Figure 1: </w:t>
      </w:r>
      <w:r>
        <w:rPr>
          <w:sz w:val="24"/>
          <w:szCs w:val="24"/>
        </w:rPr>
        <w:t>Overview of study design</w:t>
      </w:r>
    </w:p>
    <w:p w14:paraId="4904204A" w14:textId="77777777" w:rsidR="00D811C3" w:rsidRDefault="00D811C3" w:rsidP="00D811C3">
      <w:pPr>
        <w:spacing w:after="0" w:line="240" w:lineRule="auto"/>
        <w:rPr>
          <w:sz w:val="24"/>
          <w:szCs w:val="24"/>
        </w:rPr>
      </w:pPr>
    </w:p>
    <w:p w14:paraId="3E579B96" w14:textId="77777777" w:rsidR="00D811C3" w:rsidRDefault="00D811C3" w:rsidP="00D811C3">
      <w:pPr>
        <w:spacing w:after="0" w:line="240" w:lineRule="auto"/>
        <w:rPr>
          <w:sz w:val="24"/>
          <w:szCs w:val="24"/>
        </w:rPr>
      </w:pPr>
    </w:p>
    <w:p w14:paraId="41F8A820" w14:textId="77777777" w:rsidR="00D811C3" w:rsidRDefault="00D811C3" w:rsidP="00D811C3">
      <w:pPr>
        <w:spacing w:after="0" w:line="240" w:lineRule="auto"/>
      </w:pPr>
      <w:r>
        <w:rPr>
          <w:b/>
          <w:color w:val="44546A" w:themeColor="text2"/>
          <w:sz w:val="24"/>
          <w:szCs w:val="24"/>
        </w:rPr>
        <w:t xml:space="preserve">Primary Variables and Outcomes of Interest </w:t>
      </w:r>
    </w:p>
    <w:p w14:paraId="7B56BD45" w14:textId="77777777" w:rsidR="00D811C3" w:rsidRDefault="00D811C3" w:rsidP="00D811C3">
      <w:pPr>
        <w:spacing w:after="0" w:line="240" w:lineRule="auto"/>
        <w:rPr>
          <w:sz w:val="24"/>
          <w:szCs w:val="24"/>
        </w:rPr>
      </w:pPr>
    </w:p>
    <w:p w14:paraId="49A8049D" w14:textId="77777777" w:rsidR="00D811C3" w:rsidRDefault="00D811C3" w:rsidP="00D811C3">
      <w:pPr>
        <w:spacing w:after="0" w:line="240" w:lineRule="auto"/>
        <w:jc w:val="both"/>
        <w:rPr>
          <w:sz w:val="24"/>
          <w:szCs w:val="24"/>
        </w:rPr>
      </w:pPr>
      <w:r>
        <w:rPr>
          <w:sz w:val="24"/>
          <w:szCs w:val="24"/>
        </w:rPr>
        <w:t>1. Acceptability of Omnipod DASH</w:t>
      </w:r>
      <w:r w:rsidRPr="000E54F7">
        <w:rPr>
          <w:rFonts w:ascii="Times New Roman" w:hAnsi="Times New Roman" w:cs="Times New Roman"/>
          <w:sz w:val="24"/>
          <w:szCs w:val="24"/>
          <w:shd w:val="clear" w:color="auto" w:fill="FFFFFF"/>
          <w:vertAlign w:val="superscript"/>
        </w:rPr>
        <w:t>®</w:t>
      </w:r>
      <w:r>
        <w:rPr>
          <w:rFonts w:ascii="Times New Roman" w:hAnsi="Times New Roman" w:cs="Times New Roman"/>
          <w:sz w:val="24"/>
          <w:szCs w:val="24"/>
          <w:shd w:val="clear" w:color="auto" w:fill="FFFFFF"/>
        </w:rPr>
        <w:t xml:space="preserve"> </w:t>
      </w:r>
      <w:r w:rsidRPr="005907BA">
        <w:rPr>
          <w:rFonts w:cs="Times New Roman"/>
          <w:sz w:val="24"/>
          <w:szCs w:val="24"/>
          <w:shd w:val="clear" w:color="auto" w:fill="FFFFFF"/>
        </w:rPr>
        <w:t>System</w:t>
      </w:r>
      <w:r>
        <w:rPr>
          <w:rFonts w:cs="Times New Roman"/>
          <w:sz w:val="24"/>
          <w:szCs w:val="24"/>
          <w:shd w:val="clear" w:color="auto" w:fill="FFFFFF"/>
        </w:rPr>
        <w:t xml:space="preserve"> compared with usual care assessed by the difference in </w:t>
      </w:r>
      <w:r>
        <w:rPr>
          <w:sz w:val="24"/>
          <w:szCs w:val="24"/>
        </w:rPr>
        <w:t>Diabetes Technology Questionnaire (DTQ) “current” (</w:t>
      </w:r>
      <w:r>
        <w:rPr>
          <w:rFonts w:cs="Times New Roman"/>
          <w:sz w:val="24"/>
          <w:szCs w:val="24"/>
          <w:shd w:val="clear" w:color="auto" w:fill="FFFFFF"/>
        </w:rPr>
        <w:t xml:space="preserve">DTQ-current) scores between baseline pre-randomisation and 12 weeks after the intervention in those participants completing the protocol  via a Qualtrics survey </w:t>
      </w:r>
      <w:r>
        <w:rPr>
          <w:sz w:val="24"/>
          <w:szCs w:val="24"/>
        </w:rPr>
        <w:t>(1, 2)</w:t>
      </w:r>
    </w:p>
    <w:p w14:paraId="4DC5E150" w14:textId="77777777" w:rsidR="00D811C3" w:rsidRDefault="00D811C3" w:rsidP="00D811C3">
      <w:pPr>
        <w:spacing w:after="0" w:line="240" w:lineRule="auto"/>
        <w:jc w:val="both"/>
        <w:rPr>
          <w:rFonts w:cs="Times New Roman"/>
          <w:sz w:val="24"/>
          <w:szCs w:val="24"/>
          <w:shd w:val="clear" w:color="auto" w:fill="FFFFFF"/>
        </w:rPr>
      </w:pPr>
    </w:p>
    <w:p w14:paraId="3B619194" w14:textId="77777777" w:rsidR="00D811C3" w:rsidRDefault="00D811C3" w:rsidP="00D811C3">
      <w:pPr>
        <w:spacing w:after="0" w:line="240" w:lineRule="auto"/>
        <w:jc w:val="both"/>
        <w:rPr>
          <w:sz w:val="24"/>
          <w:szCs w:val="24"/>
        </w:rPr>
      </w:pPr>
      <w:r>
        <w:rPr>
          <w:rFonts w:cs="Times New Roman"/>
          <w:sz w:val="24"/>
          <w:szCs w:val="24"/>
          <w:shd w:val="clear" w:color="auto" w:fill="FFFFFF"/>
        </w:rPr>
        <w:t>2. Feasibility of study completion as assessed by the proportion of participants who complete the study per-protocol. This will be defined as at least 0.80.</w:t>
      </w:r>
    </w:p>
    <w:p w14:paraId="291ABA9A" w14:textId="77777777" w:rsidR="00D811C3" w:rsidRDefault="00D811C3" w:rsidP="00D811C3">
      <w:pPr>
        <w:spacing w:after="0" w:line="240" w:lineRule="auto"/>
        <w:jc w:val="both"/>
        <w:rPr>
          <w:sz w:val="24"/>
          <w:szCs w:val="24"/>
        </w:rPr>
      </w:pPr>
    </w:p>
    <w:p w14:paraId="017565A3" w14:textId="77777777" w:rsidR="00D811C3" w:rsidRDefault="00D811C3" w:rsidP="00D811C3">
      <w:pPr>
        <w:spacing w:after="0" w:line="240" w:lineRule="auto"/>
        <w:jc w:val="both"/>
        <w:rPr>
          <w:sz w:val="24"/>
          <w:szCs w:val="24"/>
        </w:rPr>
      </w:pPr>
    </w:p>
    <w:p w14:paraId="0FC8E0D4" w14:textId="77777777" w:rsidR="00D811C3" w:rsidRDefault="00D811C3" w:rsidP="00D811C3">
      <w:pPr>
        <w:spacing w:after="0" w:line="240" w:lineRule="auto"/>
        <w:rPr>
          <w:b/>
          <w:bCs/>
          <w:sz w:val="24"/>
          <w:szCs w:val="24"/>
        </w:rPr>
      </w:pPr>
    </w:p>
    <w:p w14:paraId="2865EADA" w14:textId="77777777" w:rsidR="00D811C3" w:rsidRDefault="00D811C3" w:rsidP="00D811C3">
      <w:pPr>
        <w:spacing w:after="0" w:line="240" w:lineRule="auto"/>
        <w:rPr>
          <w:b/>
          <w:bCs/>
          <w:sz w:val="24"/>
          <w:szCs w:val="24"/>
        </w:rPr>
      </w:pPr>
      <w:r>
        <w:rPr>
          <w:b/>
          <w:bCs/>
          <w:sz w:val="24"/>
          <w:szCs w:val="24"/>
        </w:rPr>
        <w:t xml:space="preserve">Secondary Feasibility Endpoints </w:t>
      </w:r>
    </w:p>
    <w:p w14:paraId="68EF7742" w14:textId="77777777" w:rsidR="00D811C3" w:rsidRDefault="00D811C3" w:rsidP="00D811C3">
      <w:pPr>
        <w:spacing w:after="0" w:line="240" w:lineRule="auto"/>
        <w:rPr>
          <w:sz w:val="24"/>
          <w:szCs w:val="24"/>
        </w:rPr>
      </w:pPr>
      <w:r>
        <w:rPr>
          <w:sz w:val="24"/>
          <w:szCs w:val="24"/>
        </w:rPr>
        <w:t>User acceptance assessed via a Qualtrics survey including DTQ-current scores at 24 weeks; and DTQ-change scores at 12 weeks and 24 weeks (1, 2). Composite total scores for both DTQ change and current will be calculated by taking the average of item responses.  Cronbach’s alpha reliability coefficient will be calculated for both versions (current and change) of the DTQ.</w:t>
      </w:r>
    </w:p>
    <w:p w14:paraId="45BF212A" w14:textId="77777777" w:rsidR="00D811C3" w:rsidRDefault="00D811C3" w:rsidP="00D811C3">
      <w:pPr>
        <w:spacing w:after="0" w:line="240" w:lineRule="auto"/>
        <w:rPr>
          <w:sz w:val="24"/>
          <w:szCs w:val="24"/>
        </w:rPr>
      </w:pPr>
    </w:p>
    <w:p w14:paraId="506825EB" w14:textId="77777777" w:rsidR="00D811C3" w:rsidRDefault="00D811C3" w:rsidP="00D811C3">
      <w:pPr>
        <w:spacing w:after="0" w:line="240" w:lineRule="auto"/>
        <w:rPr>
          <w:sz w:val="24"/>
          <w:szCs w:val="24"/>
        </w:rPr>
      </w:pPr>
      <w:r w:rsidRPr="004A2EA7">
        <w:rPr>
          <w:sz w:val="24"/>
          <w:szCs w:val="24"/>
        </w:rPr>
        <w:t xml:space="preserve"> </w:t>
      </w:r>
      <w:r>
        <w:rPr>
          <w:sz w:val="24"/>
          <w:szCs w:val="24"/>
        </w:rPr>
        <w:t xml:space="preserve">For process and resource outcomes, we will describe continuous data by summaries (e.g. means, medians, ranges) and categorical variables with frequency distributions. Outcomes, to be collected continuously in real-time using the study’s phone app, </w:t>
      </w:r>
      <w:r>
        <w:rPr>
          <w:iCs/>
          <w:sz w:val="24"/>
          <w:szCs w:val="24"/>
        </w:rPr>
        <w:t>Keylead Health</w:t>
      </w:r>
      <w:r>
        <w:rPr>
          <w:iCs/>
          <w:sz w:val="24"/>
          <w:szCs w:val="24"/>
          <w:vertAlign w:val="superscript"/>
        </w:rPr>
        <w:t xml:space="preserve">TM </w:t>
      </w:r>
      <w:r>
        <w:rPr>
          <w:iCs/>
          <w:sz w:val="24"/>
          <w:szCs w:val="24"/>
        </w:rPr>
        <w:t>platform</w:t>
      </w:r>
      <w:r>
        <w:rPr>
          <w:sz w:val="24"/>
          <w:szCs w:val="24"/>
        </w:rPr>
        <w:t>, will include time duration and frequency of education, time to change pods, time to change insulin pump sets, and time to upload devices. Line occlusions (n) recorded by</w:t>
      </w:r>
      <w:r>
        <w:rPr>
          <w:iCs/>
          <w:sz w:val="24"/>
          <w:szCs w:val="24"/>
        </w:rPr>
        <w:t xml:space="preserve"> Keylead Health</w:t>
      </w:r>
      <w:r>
        <w:rPr>
          <w:iCs/>
          <w:sz w:val="24"/>
          <w:szCs w:val="24"/>
          <w:vertAlign w:val="superscript"/>
        </w:rPr>
        <w:t xml:space="preserve">TM </w:t>
      </w:r>
      <w:r>
        <w:rPr>
          <w:iCs/>
          <w:sz w:val="24"/>
          <w:szCs w:val="24"/>
        </w:rPr>
        <w:t>platform</w:t>
      </w:r>
      <w:r>
        <w:rPr>
          <w:sz w:val="24"/>
          <w:szCs w:val="24"/>
        </w:rPr>
        <w:t>, calls to help-lines (n), and skin reactions (n). A line occlusion will be predefined as 1) unexplained blood glucose &gt;14mmol/L, not responsive to a corrective dose with at least a 2.8mmol/L drop within one hour, or 2) blood glucose &gt;14mmol/L with ketones ≥ 0.6 mmol/L, or 4) occurrence of a non-resolvable pump occlusion alarm.</w:t>
      </w:r>
      <w:r w:rsidRPr="004A2EA7">
        <w:rPr>
          <w:sz w:val="24"/>
          <w:szCs w:val="24"/>
        </w:rPr>
        <w:t xml:space="preserve"> </w:t>
      </w:r>
    </w:p>
    <w:p w14:paraId="46838428" w14:textId="77777777" w:rsidR="00D811C3" w:rsidRDefault="00D811C3" w:rsidP="00D811C3">
      <w:pPr>
        <w:spacing w:after="0" w:line="240" w:lineRule="auto"/>
        <w:rPr>
          <w:sz w:val="24"/>
          <w:szCs w:val="24"/>
        </w:rPr>
      </w:pPr>
    </w:p>
    <w:p w14:paraId="3E71DFED" w14:textId="77777777" w:rsidR="00D811C3" w:rsidRDefault="00D811C3" w:rsidP="00D811C3">
      <w:pPr>
        <w:spacing w:after="0" w:line="240" w:lineRule="auto"/>
        <w:rPr>
          <w:sz w:val="24"/>
          <w:szCs w:val="24"/>
        </w:rPr>
      </w:pPr>
      <w:r>
        <w:rPr>
          <w:b/>
          <w:bCs/>
          <w:sz w:val="24"/>
          <w:szCs w:val="24"/>
        </w:rPr>
        <w:t>Secondary Scientific Endpoints</w:t>
      </w:r>
    </w:p>
    <w:p w14:paraId="31A8686E" w14:textId="77777777" w:rsidR="00D811C3" w:rsidRDefault="00D811C3" w:rsidP="00D811C3">
      <w:pPr>
        <w:spacing w:after="0" w:line="240" w:lineRule="auto"/>
        <w:rPr>
          <w:sz w:val="24"/>
          <w:szCs w:val="24"/>
        </w:rPr>
      </w:pPr>
      <w:r>
        <w:rPr>
          <w:sz w:val="24"/>
          <w:szCs w:val="24"/>
        </w:rPr>
        <w:t xml:space="preserve">Participant reported endpoints also to be assessed via a Qualtrics survey including the  Problem Areas in Diabetes (PAID) (3), Pittsburgh Sleep Quality Index (PSQI) (4), Hypoglycaemia Fear Survey – Short Form (HFS-II-SF) (4) and the Diabetes Medication System Rating Questionnaire – Short Form (DMSRQ-SF) (5). </w:t>
      </w:r>
    </w:p>
    <w:p w14:paraId="24BB1BEE" w14:textId="77777777" w:rsidR="00D811C3" w:rsidRDefault="00D811C3" w:rsidP="00D811C3">
      <w:pPr>
        <w:spacing w:after="0" w:line="240" w:lineRule="auto"/>
        <w:rPr>
          <w:sz w:val="24"/>
          <w:szCs w:val="24"/>
        </w:rPr>
      </w:pPr>
    </w:p>
    <w:p w14:paraId="392B3661" w14:textId="77777777" w:rsidR="00D811C3" w:rsidRDefault="00D811C3" w:rsidP="00D811C3">
      <w:pPr>
        <w:spacing w:after="0" w:line="240" w:lineRule="auto"/>
        <w:rPr>
          <w:sz w:val="24"/>
          <w:szCs w:val="24"/>
        </w:rPr>
      </w:pPr>
      <w:r>
        <w:rPr>
          <w:sz w:val="24"/>
          <w:szCs w:val="24"/>
        </w:rPr>
        <w:t>At week 12 and 24 visits, the 26-item User Experience Questionnaire (UEQ) (6) and 10-item System Usability Scale (SUS) (7) will provide general measures of effectiveness, efficiency and user satisfaction with the Omnipod DASH</w:t>
      </w:r>
      <w:r>
        <w:rPr>
          <w:rFonts w:cs="Times New Roman"/>
          <w:sz w:val="24"/>
          <w:szCs w:val="24"/>
          <w:shd w:val="clear" w:color="auto" w:fill="FFFFFF"/>
          <w:vertAlign w:val="superscript"/>
        </w:rPr>
        <w:t>®</w:t>
      </w:r>
      <w:r>
        <w:rPr>
          <w:sz w:val="24"/>
          <w:szCs w:val="24"/>
        </w:rPr>
        <w:t xml:space="preserve"> insulin pump. </w:t>
      </w:r>
    </w:p>
    <w:p w14:paraId="49D1F490" w14:textId="77777777" w:rsidR="00D811C3" w:rsidRDefault="00D811C3" w:rsidP="00D811C3">
      <w:pPr>
        <w:tabs>
          <w:tab w:val="left" w:pos="3876"/>
        </w:tabs>
        <w:spacing w:after="0" w:line="240" w:lineRule="auto"/>
        <w:rPr>
          <w:sz w:val="24"/>
          <w:szCs w:val="24"/>
        </w:rPr>
      </w:pPr>
      <w:r>
        <w:rPr>
          <w:sz w:val="24"/>
          <w:szCs w:val="24"/>
        </w:rPr>
        <w:tab/>
      </w:r>
    </w:p>
    <w:p w14:paraId="16A0238A" w14:textId="77777777" w:rsidR="00D811C3" w:rsidRDefault="00D811C3" w:rsidP="00D811C3">
      <w:pPr>
        <w:spacing w:after="0" w:line="240" w:lineRule="auto"/>
        <w:rPr>
          <w:sz w:val="24"/>
          <w:szCs w:val="24"/>
        </w:rPr>
      </w:pPr>
    </w:p>
    <w:tbl>
      <w:tblPr>
        <w:tblStyle w:val="GridTable1Light-Accent11"/>
        <w:tblpPr w:leftFromText="180" w:rightFromText="180" w:vertAnchor="text" w:tblpY="189"/>
        <w:tblW w:w="10108" w:type="dxa"/>
        <w:tblLook w:val="04A0" w:firstRow="1" w:lastRow="0" w:firstColumn="1" w:lastColumn="0" w:noHBand="0" w:noVBand="1"/>
      </w:tblPr>
      <w:tblGrid>
        <w:gridCol w:w="5888"/>
        <w:gridCol w:w="4220"/>
      </w:tblGrid>
      <w:tr w:rsidR="00D811C3" w14:paraId="1CC9BD68" w14:textId="77777777" w:rsidTr="005D068E">
        <w:trPr>
          <w:cnfStyle w:val="100000000000" w:firstRow="1" w:lastRow="0" w:firstColumn="0" w:lastColumn="0" w:oddVBand="0" w:evenVBand="0" w:oddHBand="0" w:evenHBand="0" w:firstRowFirstColumn="0" w:firstRowLastColumn="0" w:lastRowFirstColumn="0" w:lastRowLastColumn="0"/>
          <w:trHeight w:val="129"/>
        </w:trPr>
        <w:tc>
          <w:tcPr>
            <w:cnfStyle w:val="001000000000" w:firstRow="0" w:lastRow="0" w:firstColumn="1" w:lastColumn="0" w:oddVBand="0" w:evenVBand="0" w:oddHBand="0" w:evenHBand="0" w:firstRowFirstColumn="0" w:firstRowLastColumn="0" w:lastRowFirstColumn="0" w:lastRowLastColumn="0"/>
            <w:tcW w:w="5888" w:type="dxa"/>
            <w:tcBorders>
              <w:top w:val="single" w:sz="4" w:space="0" w:color="B4C6E7" w:themeColor="accent1" w:themeTint="66"/>
              <w:left w:val="single" w:sz="4" w:space="0" w:color="B4C6E7" w:themeColor="accent1" w:themeTint="66"/>
              <w:right w:val="single" w:sz="4" w:space="0" w:color="B4C6E7" w:themeColor="accent1" w:themeTint="66"/>
            </w:tcBorders>
            <w:hideMark/>
          </w:tcPr>
          <w:p w14:paraId="188015D7" w14:textId="77777777" w:rsidR="00D811C3" w:rsidRDefault="00D811C3" w:rsidP="005D068E">
            <w:r>
              <w:t>Outcome - Questionnaire</w:t>
            </w:r>
          </w:p>
        </w:tc>
        <w:tc>
          <w:tcPr>
            <w:tcW w:w="4220" w:type="dxa"/>
            <w:tcBorders>
              <w:top w:val="single" w:sz="4" w:space="0" w:color="B4C6E7" w:themeColor="accent1" w:themeTint="66"/>
              <w:left w:val="single" w:sz="4" w:space="0" w:color="B4C6E7" w:themeColor="accent1" w:themeTint="66"/>
              <w:right w:val="single" w:sz="4" w:space="0" w:color="B4C6E7" w:themeColor="accent1" w:themeTint="66"/>
            </w:tcBorders>
            <w:hideMark/>
          </w:tcPr>
          <w:p w14:paraId="04D28F22" w14:textId="77777777" w:rsidR="00D811C3" w:rsidRDefault="00D811C3" w:rsidP="005D068E">
            <w:pPr>
              <w:cnfStyle w:val="100000000000" w:firstRow="1" w:lastRow="0" w:firstColumn="0" w:lastColumn="0" w:oddVBand="0" w:evenVBand="0" w:oddHBand="0" w:evenHBand="0" w:firstRowFirstColumn="0" w:firstRowLastColumn="0" w:lastRowFirstColumn="0" w:lastRowLastColumn="0"/>
            </w:pPr>
            <w:r>
              <w:t>Method of Scoring</w:t>
            </w:r>
          </w:p>
        </w:tc>
      </w:tr>
      <w:tr w:rsidR="00D811C3" w14:paraId="736080C4" w14:textId="77777777" w:rsidTr="005D068E">
        <w:trPr>
          <w:trHeight w:val="38"/>
        </w:trPr>
        <w:tc>
          <w:tcPr>
            <w:cnfStyle w:val="001000000000" w:firstRow="0" w:lastRow="0" w:firstColumn="1" w:lastColumn="0" w:oddVBand="0" w:evenVBand="0" w:oddHBand="0" w:evenHBand="0" w:firstRowFirstColumn="0" w:firstRowLastColumn="0" w:lastRowFirstColumn="0" w:lastRowLastColumn="0"/>
            <w:tcW w:w="588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hideMark/>
          </w:tcPr>
          <w:p w14:paraId="0273FF26" w14:textId="77777777" w:rsidR="00D811C3" w:rsidRDefault="00D811C3" w:rsidP="005D068E">
            <w:pPr>
              <w:rPr>
                <w:lang w:val="fr-FR"/>
              </w:rPr>
            </w:pPr>
            <w:r>
              <w:rPr>
                <w:lang w:val="fr-FR"/>
              </w:rPr>
              <w:t>Diabetes Technology Questionnaire (DTQ) Current Score</w:t>
            </w:r>
          </w:p>
        </w:tc>
        <w:tc>
          <w:tcPr>
            <w:tcW w:w="4220"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center"/>
            <w:hideMark/>
          </w:tcPr>
          <w:p w14:paraId="37100968" w14:textId="77777777" w:rsidR="00D811C3" w:rsidRPr="004204FB" w:rsidRDefault="00D811C3" w:rsidP="005D068E">
            <w:pPr>
              <w:spacing w:before="120"/>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Mean of total score (out of 150)</w:t>
            </w:r>
          </w:p>
          <w:p w14:paraId="7D45A1E3" w14:textId="77777777" w:rsidR="00D811C3" w:rsidRPr="004204FB" w:rsidRDefault="00D811C3" w:rsidP="005D068E">
            <w:pPr>
              <w:cnfStyle w:val="000000000000" w:firstRow="0" w:lastRow="0" w:firstColumn="0" w:lastColumn="0" w:oddVBand="0" w:evenVBand="0" w:oddHBand="0" w:evenHBand="0" w:firstRowFirstColumn="0" w:firstRowLastColumn="0" w:lastRowFirstColumn="0" w:lastRowLastColumn="0"/>
            </w:pPr>
            <w:r w:rsidRPr="004204FB">
              <w:rPr>
                <w:rFonts w:cs="Times New Roman"/>
              </w:rPr>
              <w:t>Mean score for each question (out of 5)</w:t>
            </w:r>
          </w:p>
        </w:tc>
      </w:tr>
      <w:tr w:rsidR="00D811C3" w14:paraId="5B3299F8" w14:textId="77777777" w:rsidTr="005D068E">
        <w:trPr>
          <w:trHeight w:val="255"/>
        </w:trPr>
        <w:tc>
          <w:tcPr>
            <w:cnfStyle w:val="001000000000" w:firstRow="0" w:lastRow="0" w:firstColumn="1" w:lastColumn="0" w:oddVBand="0" w:evenVBand="0" w:oddHBand="0" w:evenHBand="0" w:firstRowFirstColumn="0" w:firstRowLastColumn="0" w:lastRowFirstColumn="0" w:lastRowLastColumn="0"/>
            <w:tcW w:w="588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hideMark/>
          </w:tcPr>
          <w:p w14:paraId="5838D06B" w14:textId="77777777" w:rsidR="00D811C3" w:rsidRDefault="00D811C3" w:rsidP="005D068E">
            <w:pPr>
              <w:rPr>
                <w:lang w:val="fr-FR"/>
              </w:rPr>
            </w:pPr>
            <w:r>
              <w:rPr>
                <w:lang w:val="fr-FR"/>
              </w:rPr>
              <w:t>Diabetes Technology Questionnaire (DTQ) Change score</w:t>
            </w:r>
          </w:p>
        </w:tc>
        <w:tc>
          <w:tcPr>
            <w:tcW w:w="4220"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center"/>
            <w:hideMark/>
          </w:tcPr>
          <w:p w14:paraId="16A08465" w14:textId="77777777" w:rsidR="00D811C3" w:rsidRPr="004204FB" w:rsidRDefault="00D811C3" w:rsidP="005D068E">
            <w:pPr>
              <w:spacing w:before="120"/>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Mean of total score (out of 150)</w:t>
            </w:r>
          </w:p>
          <w:p w14:paraId="2703E345" w14:textId="77777777" w:rsidR="00D811C3" w:rsidRPr="004204FB" w:rsidRDefault="00D811C3" w:rsidP="005D068E">
            <w:pPr>
              <w:cnfStyle w:val="000000000000" w:firstRow="0" w:lastRow="0" w:firstColumn="0" w:lastColumn="0" w:oddVBand="0" w:evenVBand="0" w:oddHBand="0" w:evenHBand="0" w:firstRowFirstColumn="0" w:firstRowLastColumn="0" w:lastRowFirstColumn="0" w:lastRowLastColumn="0"/>
            </w:pPr>
            <w:r w:rsidRPr="004204FB">
              <w:rPr>
                <w:rFonts w:cs="Times New Roman"/>
              </w:rPr>
              <w:t>Mean score for each question (out of 5)</w:t>
            </w:r>
          </w:p>
        </w:tc>
      </w:tr>
      <w:tr w:rsidR="00D811C3" w14:paraId="101D7D6C" w14:textId="77777777" w:rsidTr="005D068E">
        <w:trPr>
          <w:trHeight w:val="255"/>
        </w:trPr>
        <w:tc>
          <w:tcPr>
            <w:cnfStyle w:val="001000000000" w:firstRow="0" w:lastRow="0" w:firstColumn="1" w:lastColumn="0" w:oddVBand="0" w:evenVBand="0" w:oddHBand="0" w:evenHBand="0" w:firstRowFirstColumn="0" w:firstRowLastColumn="0" w:lastRowFirstColumn="0" w:lastRowLastColumn="0"/>
            <w:tcW w:w="588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hideMark/>
          </w:tcPr>
          <w:p w14:paraId="3F499902" w14:textId="77777777" w:rsidR="00D811C3" w:rsidRDefault="00D811C3" w:rsidP="005D068E">
            <w:pPr>
              <w:rPr>
                <w:lang w:val="fr-FR"/>
              </w:rPr>
            </w:pPr>
            <w:r>
              <w:rPr>
                <w:lang w:val="fr-FR"/>
              </w:rPr>
              <w:t>Problem Areas in Diabetes (PAID)</w:t>
            </w:r>
          </w:p>
        </w:tc>
        <w:tc>
          <w:tcPr>
            <w:tcW w:w="4220"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center"/>
            <w:hideMark/>
          </w:tcPr>
          <w:p w14:paraId="057FBA5F" w14:textId="77777777" w:rsidR="00D811C3" w:rsidRPr="004204FB" w:rsidRDefault="00D811C3" w:rsidP="005D068E">
            <w:pPr>
              <w:cnfStyle w:val="000000000000" w:firstRow="0" w:lastRow="0" w:firstColumn="0" w:lastColumn="0" w:oddVBand="0" w:evenVBand="0" w:oddHBand="0" w:evenHBand="0" w:firstRowFirstColumn="0" w:firstRowLastColumn="0" w:lastRowFirstColumn="0" w:lastRowLastColumn="0"/>
            </w:pPr>
            <w:r w:rsidRPr="004204FB">
              <w:rPr>
                <w:rFonts w:cs="Times New Roman"/>
              </w:rPr>
              <w:t>Mean of total score (out of 100)</w:t>
            </w:r>
          </w:p>
        </w:tc>
      </w:tr>
      <w:tr w:rsidR="00D811C3" w14:paraId="74B92161" w14:textId="77777777" w:rsidTr="005D068E">
        <w:trPr>
          <w:trHeight w:val="255"/>
        </w:trPr>
        <w:tc>
          <w:tcPr>
            <w:cnfStyle w:val="001000000000" w:firstRow="0" w:lastRow="0" w:firstColumn="1" w:lastColumn="0" w:oddVBand="0" w:evenVBand="0" w:oddHBand="0" w:evenHBand="0" w:firstRowFirstColumn="0" w:firstRowLastColumn="0" w:lastRowFirstColumn="0" w:lastRowLastColumn="0"/>
            <w:tcW w:w="588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hideMark/>
          </w:tcPr>
          <w:p w14:paraId="56614078" w14:textId="77777777" w:rsidR="00D811C3" w:rsidRDefault="00D811C3" w:rsidP="005D068E">
            <w:pPr>
              <w:rPr>
                <w:lang w:val="fr-FR"/>
              </w:rPr>
            </w:pPr>
            <w:r>
              <w:rPr>
                <w:lang w:val="fr-FR"/>
              </w:rPr>
              <w:t>Pittsburgh Sleep Quality Index (PSQI)</w:t>
            </w:r>
          </w:p>
        </w:tc>
        <w:tc>
          <w:tcPr>
            <w:tcW w:w="4220"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center"/>
            <w:hideMark/>
          </w:tcPr>
          <w:p w14:paraId="6BF32A30" w14:textId="77777777" w:rsidR="00D811C3" w:rsidRPr="004204FB" w:rsidRDefault="00D811C3" w:rsidP="005D068E">
            <w:pPr>
              <w:spacing w:before="120"/>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Mean of total score (out of 21)</w:t>
            </w:r>
          </w:p>
          <w:p w14:paraId="6AA6512C" w14:textId="77777777" w:rsidR="00D811C3" w:rsidRPr="004204FB" w:rsidRDefault="00D811C3" w:rsidP="005D068E">
            <w:pPr>
              <w:spacing w:before="120"/>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Mean score for each section:</w:t>
            </w:r>
          </w:p>
          <w:p w14:paraId="0984E7D2" w14:textId="77777777" w:rsidR="00D811C3" w:rsidRPr="004204FB" w:rsidRDefault="00D811C3" w:rsidP="00D811C3">
            <w:pPr>
              <w:numPr>
                <w:ilvl w:val="0"/>
                <w:numId w:val="1"/>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lastRenderedPageBreak/>
              <w:t>Sleep quality</w:t>
            </w:r>
          </w:p>
          <w:p w14:paraId="4ABE06CE" w14:textId="77777777" w:rsidR="00D811C3" w:rsidRPr="004204FB" w:rsidRDefault="00D811C3" w:rsidP="00D811C3">
            <w:pPr>
              <w:numPr>
                <w:ilvl w:val="0"/>
                <w:numId w:val="1"/>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Sleep latency</w:t>
            </w:r>
          </w:p>
          <w:p w14:paraId="7717EA6B" w14:textId="77777777" w:rsidR="00D811C3" w:rsidRPr="004204FB" w:rsidRDefault="00D811C3" w:rsidP="00D811C3">
            <w:pPr>
              <w:numPr>
                <w:ilvl w:val="0"/>
                <w:numId w:val="1"/>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Sleep duration</w:t>
            </w:r>
          </w:p>
          <w:p w14:paraId="6B89060D" w14:textId="77777777" w:rsidR="00D811C3" w:rsidRPr="004204FB" w:rsidRDefault="00D811C3" w:rsidP="00D811C3">
            <w:pPr>
              <w:numPr>
                <w:ilvl w:val="0"/>
                <w:numId w:val="1"/>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Habitual sleep efficacy</w:t>
            </w:r>
          </w:p>
          <w:p w14:paraId="02BA123E" w14:textId="77777777" w:rsidR="00D811C3" w:rsidRPr="004204FB" w:rsidRDefault="00D811C3" w:rsidP="00D811C3">
            <w:pPr>
              <w:numPr>
                <w:ilvl w:val="0"/>
                <w:numId w:val="1"/>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Sleep disturbance</w:t>
            </w:r>
          </w:p>
          <w:p w14:paraId="375A8F31" w14:textId="77777777" w:rsidR="00D811C3" w:rsidRPr="004204FB" w:rsidRDefault="00D811C3" w:rsidP="00D811C3">
            <w:pPr>
              <w:numPr>
                <w:ilvl w:val="0"/>
                <w:numId w:val="1"/>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Use of sleeping medication</w:t>
            </w:r>
          </w:p>
          <w:p w14:paraId="28342D43" w14:textId="77777777" w:rsidR="00D811C3" w:rsidRPr="004204FB" w:rsidRDefault="00D811C3" w:rsidP="005D068E">
            <w:pPr>
              <w:cnfStyle w:val="000000000000" w:firstRow="0" w:lastRow="0" w:firstColumn="0" w:lastColumn="0" w:oddVBand="0" w:evenVBand="0" w:oddHBand="0" w:evenHBand="0" w:firstRowFirstColumn="0" w:firstRowLastColumn="0" w:lastRowFirstColumn="0" w:lastRowLastColumn="0"/>
            </w:pPr>
            <w:r w:rsidRPr="004204FB">
              <w:rPr>
                <w:rFonts w:cs="Times New Roman"/>
              </w:rPr>
              <w:t>Daytime dysfunction</w:t>
            </w:r>
          </w:p>
        </w:tc>
      </w:tr>
      <w:tr w:rsidR="00D811C3" w14:paraId="3E6E0444" w14:textId="77777777" w:rsidTr="005D068E">
        <w:trPr>
          <w:trHeight w:val="255"/>
        </w:trPr>
        <w:tc>
          <w:tcPr>
            <w:cnfStyle w:val="001000000000" w:firstRow="0" w:lastRow="0" w:firstColumn="1" w:lastColumn="0" w:oddVBand="0" w:evenVBand="0" w:oddHBand="0" w:evenHBand="0" w:firstRowFirstColumn="0" w:firstRowLastColumn="0" w:lastRowFirstColumn="0" w:lastRowLastColumn="0"/>
            <w:tcW w:w="588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hideMark/>
          </w:tcPr>
          <w:p w14:paraId="7D426F5C" w14:textId="77777777" w:rsidR="00D811C3" w:rsidRDefault="00D811C3" w:rsidP="005D068E">
            <w:pPr>
              <w:rPr>
                <w:lang w:val="fr-FR"/>
              </w:rPr>
            </w:pPr>
            <w:r>
              <w:rPr>
                <w:lang w:val="fr-FR"/>
              </w:rPr>
              <w:lastRenderedPageBreak/>
              <w:t>Hypoglycaemia Fear Survey (short-form)(3)</w:t>
            </w:r>
          </w:p>
        </w:tc>
        <w:tc>
          <w:tcPr>
            <w:tcW w:w="4220"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center"/>
          </w:tcPr>
          <w:p w14:paraId="78B716A0" w14:textId="77777777" w:rsidR="00D811C3" w:rsidRPr="004204FB" w:rsidRDefault="00D811C3" w:rsidP="005D068E">
            <w:pPr>
              <w:spacing w:before="120"/>
              <w:cnfStyle w:val="000000000000" w:firstRow="0" w:lastRow="0" w:firstColumn="0" w:lastColumn="0" w:oddVBand="0" w:evenVBand="0" w:oddHBand="0" w:evenHBand="0" w:firstRowFirstColumn="0" w:firstRowLastColumn="0" w:lastRowFirstColumn="0" w:lastRowLastColumn="0"/>
              <w:rPr>
                <w:rFonts w:cs="Times New Roman"/>
                <w:sz w:val="22"/>
                <w:szCs w:val="22"/>
              </w:rPr>
            </w:pPr>
            <w:r w:rsidRPr="004204FB">
              <w:rPr>
                <w:rFonts w:cs="Times New Roman"/>
              </w:rPr>
              <w:t>Mean of total score (out of 44)</w:t>
            </w:r>
          </w:p>
          <w:p w14:paraId="22EC0238" w14:textId="77777777" w:rsidR="00D811C3" w:rsidRPr="004204FB" w:rsidRDefault="00D811C3" w:rsidP="005D068E">
            <w:pPr>
              <w:spacing w:before="120"/>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Mean score for each subscale:</w:t>
            </w:r>
            <w:r>
              <w:rPr>
                <w:rFonts w:cs="Times New Roman"/>
              </w:rPr>
              <w:t xml:space="preserve"> </w:t>
            </w:r>
            <w:r w:rsidRPr="004204FB">
              <w:rPr>
                <w:rFonts w:cs="Times New Roman"/>
              </w:rPr>
              <w:t>Behaviour (B), Worry (W)</w:t>
            </w:r>
          </w:p>
          <w:p w14:paraId="531DEF31" w14:textId="77777777" w:rsidR="00D811C3" w:rsidRPr="004204FB" w:rsidRDefault="00D811C3" w:rsidP="005D068E">
            <w:pPr>
              <w:cnfStyle w:val="000000000000" w:firstRow="0" w:lastRow="0" w:firstColumn="0" w:lastColumn="0" w:oddVBand="0" w:evenVBand="0" w:oddHBand="0" w:evenHBand="0" w:firstRowFirstColumn="0" w:firstRowLastColumn="0" w:lastRowFirstColumn="0" w:lastRowLastColumn="0"/>
            </w:pPr>
          </w:p>
        </w:tc>
      </w:tr>
      <w:tr w:rsidR="00D811C3" w14:paraId="45AC12B5" w14:textId="77777777" w:rsidTr="005D068E">
        <w:trPr>
          <w:trHeight w:val="255"/>
        </w:trPr>
        <w:tc>
          <w:tcPr>
            <w:cnfStyle w:val="001000000000" w:firstRow="0" w:lastRow="0" w:firstColumn="1" w:lastColumn="0" w:oddVBand="0" w:evenVBand="0" w:oddHBand="0" w:evenHBand="0" w:firstRowFirstColumn="0" w:firstRowLastColumn="0" w:lastRowFirstColumn="0" w:lastRowLastColumn="0"/>
            <w:tcW w:w="588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hideMark/>
          </w:tcPr>
          <w:p w14:paraId="1DA679E6" w14:textId="77777777" w:rsidR="00D811C3" w:rsidRDefault="00D811C3" w:rsidP="005D068E">
            <w:r>
              <w:t>Diabetes Medication System Rating Questionnaire – Short Form</w:t>
            </w:r>
          </w:p>
        </w:tc>
        <w:tc>
          <w:tcPr>
            <w:tcW w:w="4220"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center"/>
          </w:tcPr>
          <w:p w14:paraId="169F3430" w14:textId="77777777" w:rsidR="00D811C3" w:rsidRPr="004204FB" w:rsidRDefault="00D811C3" w:rsidP="005D068E">
            <w:pPr>
              <w:spacing w:before="120"/>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Mean of total score (out of 72)</w:t>
            </w:r>
          </w:p>
          <w:p w14:paraId="74A1E1C9" w14:textId="77777777" w:rsidR="00D811C3" w:rsidRPr="004204FB" w:rsidRDefault="00D811C3" w:rsidP="005D068E">
            <w:pPr>
              <w:spacing w:before="120"/>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Mean score for each section:</w:t>
            </w:r>
          </w:p>
          <w:p w14:paraId="015FDFBF" w14:textId="77777777" w:rsidR="00D811C3" w:rsidRPr="004204FB" w:rsidRDefault="00D811C3" w:rsidP="00D811C3">
            <w:pPr>
              <w:numPr>
                <w:ilvl w:val="0"/>
                <w:numId w:val="2"/>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Convenience satisfaction</w:t>
            </w:r>
          </w:p>
          <w:p w14:paraId="56176273" w14:textId="77777777" w:rsidR="00D811C3" w:rsidRPr="004204FB" w:rsidRDefault="00D811C3" w:rsidP="00D811C3">
            <w:pPr>
              <w:numPr>
                <w:ilvl w:val="0"/>
                <w:numId w:val="2"/>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Negative events</w:t>
            </w:r>
          </w:p>
          <w:p w14:paraId="5A28BB3B" w14:textId="77777777" w:rsidR="00D811C3" w:rsidRPr="004204FB" w:rsidRDefault="00D811C3" w:rsidP="00D811C3">
            <w:pPr>
              <w:numPr>
                <w:ilvl w:val="0"/>
                <w:numId w:val="2"/>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Interference</w:t>
            </w:r>
          </w:p>
          <w:p w14:paraId="67A3A97D" w14:textId="77777777" w:rsidR="00D811C3" w:rsidRPr="004204FB" w:rsidRDefault="00D811C3" w:rsidP="00D811C3">
            <w:pPr>
              <w:numPr>
                <w:ilvl w:val="0"/>
                <w:numId w:val="2"/>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Self-monitoring of blood glucose burden</w:t>
            </w:r>
          </w:p>
          <w:p w14:paraId="0CA9FF33" w14:textId="77777777" w:rsidR="00D811C3" w:rsidRPr="004204FB" w:rsidRDefault="00D811C3" w:rsidP="00D811C3">
            <w:pPr>
              <w:numPr>
                <w:ilvl w:val="0"/>
                <w:numId w:val="2"/>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Efficacy</w:t>
            </w:r>
          </w:p>
          <w:p w14:paraId="70AFF262" w14:textId="77777777" w:rsidR="00D811C3" w:rsidRPr="004204FB" w:rsidRDefault="00D811C3" w:rsidP="00D811C3">
            <w:pPr>
              <w:numPr>
                <w:ilvl w:val="0"/>
                <w:numId w:val="2"/>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Social burden</w:t>
            </w:r>
          </w:p>
          <w:p w14:paraId="28F295E9" w14:textId="77777777" w:rsidR="00D811C3" w:rsidRPr="004204FB" w:rsidRDefault="00D811C3" w:rsidP="00D811C3">
            <w:pPr>
              <w:numPr>
                <w:ilvl w:val="0"/>
                <w:numId w:val="2"/>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Wellbeing</w:t>
            </w:r>
          </w:p>
          <w:p w14:paraId="7D6DCC4E" w14:textId="77777777" w:rsidR="00D811C3" w:rsidRPr="004204FB" w:rsidRDefault="00D811C3" w:rsidP="00D811C3">
            <w:pPr>
              <w:numPr>
                <w:ilvl w:val="0"/>
                <w:numId w:val="2"/>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Treatment satisfaction</w:t>
            </w:r>
          </w:p>
          <w:p w14:paraId="7843C32B" w14:textId="77777777" w:rsidR="00D811C3" w:rsidRPr="004204FB" w:rsidRDefault="00D811C3" w:rsidP="00D811C3">
            <w:pPr>
              <w:pStyle w:val="ListParagraph"/>
              <w:numPr>
                <w:ilvl w:val="0"/>
                <w:numId w:val="2"/>
              </w:numPr>
              <w:spacing w:before="120" w:line="256" w:lineRule="auto"/>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 xml:space="preserve">Treatment preference </w:t>
            </w:r>
          </w:p>
          <w:p w14:paraId="5AA34C1E" w14:textId="77777777" w:rsidR="00D811C3" w:rsidRPr="004204FB" w:rsidRDefault="00D811C3" w:rsidP="005D068E">
            <w:pPr>
              <w:cnfStyle w:val="000000000000" w:firstRow="0" w:lastRow="0" w:firstColumn="0" w:lastColumn="0" w:oddVBand="0" w:evenVBand="0" w:oddHBand="0" w:evenHBand="0" w:firstRowFirstColumn="0" w:firstRowLastColumn="0" w:lastRowFirstColumn="0" w:lastRowLastColumn="0"/>
            </w:pPr>
          </w:p>
        </w:tc>
      </w:tr>
      <w:tr w:rsidR="00D811C3" w14:paraId="75C84B47" w14:textId="77777777" w:rsidTr="005D068E">
        <w:trPr>
          <w:trHeight w:val="255"/>
        </w:trPr>
        <w:tc>
          <w:tcPr>
            <w:cnfStyle w:val="001000000000" w:firstRow="0" w:lastRow="0" w:firstColumn="1" w:lastColumn="0" w:oddVBand="0" w:evenVBand="0" w:oddHBand="0" w:evenHBand="0" w:firstRowFirstColumn="0" w:firstRowLastColumn="0" w:lastRowFirstColumn="0" w:lastRowLastColumn="0"/>
            <w:tcW w:w="588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hideMark/>
          </w:tcPr>
          <w:p w14:paraId="75569499" w14:textId="77777777" w:rsidR="00D811C3" w:rsidRDefault="00D811C3" w:rsidP="005D068E">
            <w:r>
              <w:t>User Experience Questionnaire (UEQ)</w:t>
            </w:r>
          </w:p>
        </w:tc>
        <w:tc>
          <w:tcPr>
            <w:tcW w:w="4220"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center"/>
            <w:hideMark/>
          </w:tcPr>
          <w:p w14:paraId="158FB289" w14:textId="77777777" w:rsidR="00D811C3" w:rsidRPr="004204FB" w:rsidRDefault="00D811C3" w:rsidP="005D068E">
            <w:pPr>
              <w:spacing w:before="120"/>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Mean of each scale:</w:t>
            </w:r>
          </w:p>
          <w:p w14:paraId="44C0FC79" w14:textId="77777777" w:rsidR="00D811C3" w:rsidRPr="004204FB" w:rsidRDefault="00D811C3" w:rsidP="00D811C3">
            <w:pPr>
              <w:numPr>
                <w:ilvl w:val="0"/>
                <w:numId w:val="3"/>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Attractiveness</w:t>
            </w:r>
          </w:p>
          <w:p w14:paraId="3AA28B78" w14:textId="77777777" w:rsidR="00D811C3" w:rsidRPr="004204FB" w:rsidRDefault="00D811C3" w:rsidP="00D811C3">
            <w:pPr>
              <w:numPr>
                <w:ilvl w:val="0"/>
                <w:numId w:val="3"/>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Perspicuity</w:t>
            </w:r>
          </w:p>
          <w:p w14:paraId="08CD4873" w14:textId="77777777" w:rsidR="00D811C3" w:rsidRPr="004204FB" w:rsidRDefault="00D811C3" w:rsidP="00D811C3">
            <w:pPr>
              <w:numPr>
                <w:ilvl w:val="0"/>
                <w:numId w:val="3"/>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Efficacy</w:t>
            </w:r>
          </w:p>
          <w:p w14:paraId="46610CB0" w14:textId="77777777" w:rsidR="00D811C3" w:rsidRPr="004204FB" w:rsidRDefault="00D811C3" w:rsidP="00D811C3">
            <w:pPr>
              <w:numPr>
                <w:ilvl w:val="0"/>
                <w:numId w:val="3"/>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Dependability</w:t>
            </w:r>
          </w:p>
          <w:p w14:paraId="14309C86" w14:textId="77777777" w:rsidR="00D811C3" w:rsidRPr="004204FB" w:rsidRDefault="00D811C3" w:rsidP="00D811C3">
            <w:pPr>
              <w:numPr>
                <w:ilvl w:val="0"/>
                <w:numId w:val="3"/>
              </w:numPr>
              <w:spacing w:before="120" w:line="256" w:lineRule="auto"/>
              <w:contextualSpacing/>
              <w:cnfStyle w:val="000000000000" w:firstRow="0" w:lastRow="0" w:firstColumn="0" w:lastColumn="0" w:oddVBand="0" w:evenVBand="0" w:oddHBand="0" w:evenHBand="0" w:firstRowFirstColumn="0" w:firstRowLastColumn="0" w:lastRowFirstColumn="0" w:lastRowLastColumn="0"/>
              <w:rPr>
                <w:rFonts w:cs="Times New Roman"/>
              </w:rPr>
            </w:pPr>
            <w:r w:rsidRPr="004204FB">
              <w:rPr>
                <w:rFonts w:cs="Times New Roman"/>
              </w:rPr>
              <w:t>Stimulation</w:t>
            </w:r>
          </w:p>
          <w:p w14:paraId="27F17954" w14:textId="77777777" w:rsidR="00D811C3" w:rsidRPr="004204FB" w:rsidRDefault="00D811C3" w:rsidP="00D811C3">
            <w:pPr>
              <w:pStyle w:val="ListParagraph"/>
              <w:numPr>
                <w:ilvl w:val="0"/>
                <w:numId w:val="3"/>
              </w:numPr>
              <w:cnfStyle w:val="000000000000" w:firstRow="0" w:lastRow="0" w:firstColumn="0" w:lastColumn="0" w:oddVBand="0" w:evenVBand="0" w:oddHBand="0" w:evenHBand="0" w:firstRowFirstColumn="0" w:firstRowLastColumn="0" w:lastRowFirstColumn="0" w:lastRowLastColumn="0"/>
            </w:pPr>
            <w:r w:rsidRPr="004204FB">
              <w:rPr>
                <w:rFonts w:cs="Times New Roman"/>
              </w:rPr>
              <w:t>Novelty</w:t>
            </w:r>
          </w:p>
        </w:tc>
      </w:tr>
      <w:tr w:rsidR="00D811C3" w14:paraId="247EBA5D" w14:textId="77777777" w:rsidTr="005D068E">
        <w:trPr>
          <w:trHeight w:val="260"/>
        </w:trPr>
        <w:tc>
          <w:tcPr>
            <w:cnfStyle w:val="001000000000" w:firstRow="0" w:lastRow="0" w:firstColumn="1" w:lastColumn="0" w:oddVBand="0" w:evenVBand="0" w:oddHBand="0" w:evenHBand="0" w:firstRowFirstColumn="0" w:firstRowLastColumn="0" w:lastRowFirstColumn="0" w:lastRowLastColumn="0"/>
            <w:tcW w:w="5888"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hideMark/>
          </w:tcPr>
          <w:p w14:paraId="1FFCD2BD" w14:textId="77777777" w:rsidR="00D811C3" w:rsidRDefault="00D811C3" w:rsidP="005D068E">
            <w:r>
              <w:t>System Usability Scale (SUS)</w:t>
            </w:r>
          </w:p>
        </w:tc>
        <w:tc>
          <w:tcPr>
            <w:tcW w:w="4220" w:type="dxa"/>
            <w:tc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tcBorders>
            <w:vAlign w:val="center"/>
          </w:tcPr>
          <w:p w14:paraId="412D5E86" w14:textId="77777777" w:rsidR="00D811C3" w:rsidRPr="004204FB" w:rsidRDefault="00D811C3" w:rsidP="005D068E">
            <w:pPr>
              <w:spacing w:before="120"/>
              <w:cnfStyle w:val="000000000000" w:firstRow="0" w:lastRow="0" w:firstColumn="0" w:lastColumn="0" w:oddVBand="0" w:evenVBand="0" w:oddHBand="0" w:evenHBand="0" w:firstRowFirstColumn="0" w:firstRowLastColumn="0" w:lastRowFirstColumn="0" w:lastRowLastColumn="0"/>
              <w:rPr>
                <w:sz w:val="22"/>
                <w:szCs w:val="22"/>
              </w:rPr>
            </w:pPr>
            <w:r w:rsidRPr="004204FB">
              <w:rPr>
                <w:rFonts w:cs="Times New Roman"/>
              </w:rPr>
              <w:t>Mean of total score (out of 100)</w:t>
            </w:r>
            <w:r w:rsidRPr="004204FB">
              <w:t xml:space="preserve"> </w:t>
            </w:r>
          </w:p>
          <w:p w14:paraId="0490078F" w14:textId="77777777" w:rsidR="00D811C3" w:rsidRPr="004204FB" w:rsidRDefault="00D811C3" w:rsidP="005D068E">
            <w:pPr>
              <w:cnfStyle w:val="000000000000" w:firstRow="0" w:lastRow="0" w:firstColumn="0" w:lastColumn="0" w:oddVBand="0" w:evenVBand="0" w:oddHBand="0" w:evenHBand="0" w:firstRowFirstColumn="0" w:firstRowLastColumn="0" w:lastRowFirstColumn="0" w:lastRowLastColumn="0"/>
            </w:pPr>
          </w:p>
        </w:tc>
      </w:tr>
    </w:tbl>
    <w:p w14:paraId="2CC04B37" w14:textId="77777777" w:rsidR="00D811C3" w:rsidRDefault="00D811C3" w:rsidP="00D811C3">
      <w:pPr>
        <w:spacing w:after="0" w:line="240" w:lineRule="auto"/>
        <w:rPr>
          <w:sz w:val="24"/>
          <w:szCs w:val="24"/>
        </w:rPr>
      </w:pPr>
    </w:p>
    <w:p w14:paraId="6812571E" w14:textId="77777777" w:rsidR="00D811C3" w:rsidRDefault="00D811C3" w:rsidP="00D811C3">
      <w:pPr>
        <w:spacing w:after="0" w:line="240" w:lineRule="auto"/>
        <w:rPr>
          <w:sz w:val="24"/>
          <w:szCs w:val="24"/>
        </w:rPr>
      </w:pPr>
    </w:p>
    <w:p w14:paraId="22A50772" w14:textId="77777777" w:rsidR="00D811C3" w:rsidRDefault="00D811C3" w:rsidP="00D811C3">
      <w:pPr>
        <w:spacing w:after="0" w:line="240" w:lineRule="auto"/>
        <w:rPr>
          <w:sz w:val="24"/>
          <w:szCs w:val="24"/>
        </w:rPr>
      </w:pPr>
      <w:r>
        <w:rPr>
          <w:sz w:val="24"/>
          <w:szCs w:val="24"/>
        </w:rPr>
        <w:t>At the 12 and 24-week post-randomisation visit, participants using Omnipod DASH</w:t>
      </w:r>
      <w:r>
        <w:rPr>
          <w:rFonts w:cs="Times New Roman"/>
          <w:sz w:val="24"/>
          <w:szCs w:val="24"/>
          <w:shd w:val="clear" w:color="auto" w:fill="FFFFFF"/>
          <w:vertAlign w:val="superscript"/>
        </w:rPr>
        <w:t>®</w:t>
      </w:r>
      <w:r>
        <w:rPr>
          <w:sz w:val="24"/>
          <w:szCs w:val="24"/>
        </w:rPr>
        <w:t xml:space="preserve"> will be interviewed about the acceptability of the device and their recommendations for further refinement in implementation of the education. These interviews are expected to take </w:t>
      </w:r>
      <w:r>
        <w:rPr>
          <w:sz w:val="24"/>
          <w:szCs w:val="24"/>
        </w:rPr>
        <w:lastRenderedPageBreak/>
        <w:t xml:space="preserve">approximately 20 to 30 minutes and will be audio recorded and transcribed for later analysis using Braun and Clarke’s reflexive thematic analysis approach (8). </w:t>
      </w:r>
    </w:p>
    <w:p w14:paraId="301B6952" w14:textId="77777777" w:rsidR="00D811C3" w:rsidRDefault="00D811C3" w:rsidP="00D811C3">
      <w:pPr>
        <w:spacing w:after="0" w:line="240" w:lineRule="auto"/>
        <w:rPr>
          <w:sz w:val="24"/>
          <w:szCs w:val="24"/>
        </w:rPr>
      </w:pPr>
    </w:p>
    <w:p w14:paraId="26A43E84" w14:textId="77777777" w:rsidR="00D811C3" w:rsidRDefault="00D811C3" w:rsidP="00D811C3">
      <w:pPr>
        <w:spacing w:after="0" w:line="240" w:lineRule="auto"/>
        <w:rPr>
          <w:sz w:val="24"/>
          <w:szCs w:val="24"/>
        </w:rPr>
      </w:pPr>
      <w:r>
        <w:rPr>
          <w:sz w:val="24"/>
          <w:szCs w:val="24"/>
        </w:rPr>
        <w:t>Health Care Professionals (one from medical and nursing) from each site will be interviewed. These interviews are expected to take approximately 20 to 30 minutes and will be audio recorded and transcribed for later thematic analysis (8).</w:t>
      </w:r>
    </w:p>
    <w:p w14:paraId="05FF0B9F" w14:textId="77777777" w:rsidR="00D811C3" w:rsidRDefault="00D811C3" w:rsidP="00D811C3">
      <w:pPr>
        <w:spacing w:after="0" w:line="240" w:lineRule="auto"/>
        <w:jc w:val="both"/>
        <w:rPr>
          <w:sz w:val="24"/>
          <w:szCs w:val="24"/>
        </w:rPr>
      </w:pPr>
    </w:p>
    <w:p w14:paraId="246D990C" w14:textId="77777777" w:rsidR="00D811C3" w:rsidRDefault="00D811C3" w:rsidP="00D811C3">
      <w:pPr>
        <w:spacing w:after="0" w:line="240" w:lineRule="auto"/>
        <w:rPr>
          <w:iCs/>
          <w:sz w:val="24"/>
          <w:szCs w:val="24"/>
          <w:vertAlign w:val="superscript"/>
        </w:rPr>
      </w:pPr>
      <w:r>
        <w:rPr>
          <w:sz w:val="24"/>
          <w:szCs w:val="24"/>
        </w:rPr>
        <w:t xml:space="preserve">Glycaemic endpoints measured at the end of each stage will include CGM metrics standardized according to convention as described by Maahs </w:t>
      </w:r>
      <w:r>
        <w:rPr>
          <w:i/>
          <w:iCs/>
          <w:sz w:val="24"/>
          <w:szCs w:val="24"/>
        </w:rPr>
        <w:t>et al</w:t>
      </w:r>
      <w:r>
        <w:rPr>
          <w:iCs/>
          <w:sz w:val="24"/>
          <w:szCs w:val="24"/>
        </w:rPr>
        <w:t xml:space="preserve"> (9) and HbA1c. Symptomatic hypoglycaemia, recorded on the Keylead Health</w:t>
      </w:r>
      <w:r>
        <w:rPr>
          <w:iCs/>
          <w:sz w:val="24"/>
          <w:szCs w:val="24"/>
          <w:vertAlign w:val="superscript"/>
        </w:rPr>
        <w:t xml:space="preserve">TM </w:t>
      </w:r>
      <w:r>
        <w:rPr>
          <w:iCs/>
          <w:sz w:val="24"/>
          <w:szCs w:val="24"/>
        </w:rPr>
        <w:t>platform, is defined as an event during which typical symptoms of hypoglycaemia are accompanied by a measured plasma glucose concentration ≤70 mg/dl (3.9 mmol/l) and difference in the number hypoglycaemic events between the omnipod and standard care group will be examined.</w:t>
      </w:r>
      <w:r>
        <w:rPr>
          <w:iCs/>
          <w:sz w:val="24"/>
          <w:szCs w:val="24"/>
          <w:vertAlign w:val="superscript"/>
        </w:rPr>
        <w:t>6</w:t>
      </w:r>
    </w:p>
    <w:p w14:paraId="1B952360" w14:textId="77777777" w:rsidR="00D811C3" w:rsidRDefault="00D811C3" w:rsidP="00D811C3">
      <w:pPr>
        <w:spacing w:after="0" w:line="240" w:lineRule="auto"/>
        <w:rPr>
          <w:iCs/>
          <w:sz w:val="24"/>
          <w:szCs w:val="24"/>
          <w:vertAlign w:val="superscript"/>
        </w:rPr>
      </w:pPr>
    </w:p>
    <w:p w14:paraId="437ACE53" w14:textId="77777777" w:rsidR="00D811C3" w:rsidRDefault="00D811C3" w:rsidP="00D811C3">
      <w:pPr>
        <w:spacing w:after="0" w:line="240" w:lineRule="auto"/>
        <w:rPr>
          <w:b/>
          <w:color w:val="44546A" w:themeColor="text2"/>
          <w:sz w:val="24"/>
          <w:szCs w:val="24"/>
        </w:rPr>
      </w:pPr>
      <w:bookmarkStart w:id="1" w:name="_Hlk60030434"/>
    </w:p>
    <w:p w14:paraId="594A25AF" w14:textId="77777777" w:rsidR="00D811C3" w:rsidRDefault="00D811C3" w:rsidP="00D811C3">
      <w:pPr>
        <w:spacing w:after="0" w:line="240" w:lineRule="auto"/>
        <w:rPr>
          <w:sz w:val="24"/>
          <w:szCs w:val="24"/>
        </w:rPr>
      </w:pPr>
    </w:p>
    <w:bookmarkEnd w:id="1"/>
    <w:p w14:paraId="0C949B1F" w14:textId="77777777" w:rsidR="00D811C3" w:rsidRDefault="00D811C3" w:rsidP="00D811C3">
      <w:pPr>
        <w:spacing w:after="0" w:line="240" w:lineRule="auto"/>
        <w:rPr>
          <w:sz w:val="24"/>
          <w:szCs w:val="24"/>
        </w:rPr>
      </w:pPr>
    </w:p>
    <w:p w14:paraId="3C0FA0FF" w14:textId="77777777" w:rsidR="00D811C3" w:rsidRDefault="00D811C3" w:rsidP="00D811C3">
      <w:pPr>
        <w:spacing w:after="0" w:line="240" w:lineRule="auto"/>
        <w:rPr>
          <w:b/>
          <w:color w:val="44546A" w:themeColor="text2"/>
          <w:sz w:val="24"/>
          <w:szCs w:val="24"/>
        </w:rPr>
      </w:pPr>
      <w:r>
        <w:rPr>
          <w:b/>
          <w:color w:val="44546A" w:themeColor="text2"/>
          <w:sz w:val="24"/>
          <w:szCs w:val="24"/>
        </w:rPr>
        <w:t>Order of Statistical Analyses</w:t>
      </w:r>
    </w:p>
    <w:p w14:paraId="3EA01AF9" w14:textId="77777777" w:rsidR="00D811C3" w:rsidRDefault="00D811C3" w:rsidP="00D811C3">
      <w:pPr>
        <w:spacing w:after="0" w:line="240" w:lineRule="auto"/>
        <w:rPr>
          <w:rFonts w:ascii="Calibri" w:hAnsi="Calibri" w:cs="Calibri"/>
          <w:b/>
          <w:bCs/>
        </w:rPr>
      </w:pPr>
    </w:p>
    <w:p w14:paraId="1F378F1C" w14:textId="77777777" w:rsidR="00D811C3" w:rsidRDefault="00D811C3" w:rsidP="00D811C3">
      <w:pPr>
        <w:spacing w:after="0" w:line="240" w:lineRule="auto"/>
        <w:jc w:val="both"/>
        <w:rPr>
          <w:sz w:val="24"/>
          <w:szCs w:val="24"/>
        </w:rPr>
      </w:pPr>
      <w:r>
        <w:rPr>
          <w:sz w:val="24"/>
          <w:szCs w:val="24"/>
        </w:rPr>
        <w:t xml:space="preserve">The exploratory nature of the study </w:t>
      </w:r>
      <w:r>
        <w:rPr>
          <w:b/>
          <w:sz w:val="24"/>
          <w:szCs w:val="24"/>
        </w:rPr>
        <w:t>precludes</w:t>
      </w:r>
      <w:r>
        <w:rPr>
          <w:sz w:val="24"/>
          <w:szCs w:val="24"/>
        </w:rPr>
        <w:t xml:space="preserve"> a power calculation. N=64 participants will provide exploratory data across clinical sites and insulin delivery modalities (MDI and IPT). </w:t>
      </w:r>
    </w:p>
    <w:p w14:paraId="3179F80B" w14:textId="77777777" w:rsidR="00D811C3" w:rsidRDefault="00D811C3" w:rsidP="00D811C3">
      <w:pPr>
        <w:spacing w:after="0" w:line="240" w:lineRule="auto"/>
        <w:jc w:val="both"/>
        <w:rPr>
          <w:sz w:val="24"/>
          <w:szCs w:val="24"/>
        </w:rPr>
      </w:pPr>
    </w:p>
    <w:p w14:paraId="2F2D93CA" w14:textId="77777777" w:rsidR="00D811C3" w:rsidRDefault="00D811C3" w:rsidP="00D811C3">
      <w:pPr>
        <w:spacing w:after="0" w:line="240" w:lineRule="auto"/>
        <w:jc w:val="both"/>
        <w:rPr>
          <w:sz w:val="24"/>
          <w:szCs w:val="24"/>
        </w:rPr>
      </w:pPr>
      <w:r>
        <w:rPr>
          <w:sz w:val="24"/>
          <w:szCs w:val="24"/>
        </w:rPr>
        <w:t xml:space="preserve">The primary analyses will assess differences in the DTQ current score between the </w:t>
      </w:r>
    </w:p>
    <w:p w14:paraId="028B8567" w14:textId="77777777" w:rsidR="00D811C3" w:rsidRDefault="00D811C3" w:rsidP="00D811C3">
      <w:pPr>
        <w:spacing w:after="0" w:line="240" w:lineRule="auto"/>
        <w:jc w:val="both"/>
        <w:rPr>
          <w:sz w:val="24"/>
          <w:szCs w:val="24"/>
        </w:rPr>
      </w:pPr>
      <w:r>
        <w:rPr>
          <w:sz w:val="24"/>
          <w:szCs w:val="24"/>
        </w:rPr>
        <w:t xml:space="preserve">Omnipod group and usual care at baseline and week 12 . This will be done on the basis of intention to treat using analysis of covariance (ANCOVA), with adjustment for baseline patient characteristics. A p-value of &lt;0.05 will be considered statistically significant. Residuals will be explored to assess model fit. If model fit is poor, non-parametric analysis will be performed instead. </w:t>
      </w:r>
    </w:p>
    <w:p w14:paraId="3D896BCD" w14:textId="77777777" w:rsidR="00D811C3" w:rsidRDefault="00D811C3" w:rsidP="00D811C3">
      <w:pPr>
        <w:spacing w:after="0" w:line="240" w:lineRule="auto"/>
        <w:jc w:val="both"/>
        <w:rPr>
          <w:sz w:val="24"/>
          <w:szCs w:val="24"/>
        </w:rPr>
      </w:pPr>
    </w:p>
    <w:p w14:paraId="5BF977D5" w14:textId="77777777" w:rsidR="00D811C3" w:rsidRDefault="00D811C3" w:rsidP="00D811C3">
      <w:pPr>
        <w:spacing w:after="0" w:line="240" w:lineRule="auto"/>
        <w:jc w:val="both"/>
        <w:rPr>
          <w:sz w:val="24"/>
          <w:szCs w:val="24"/>
        </w:rPr>
      </w:pPr>
      <w:r>
        <w:rPr>
          <w:sz w:val="24"/>
          <w:szCs w:val="24"/>
        </w:rPr>
        <w:t xml:space="preserve">Continuous secondary outcomes will be assessed using ANCOVA, count outcomes will be assessed using a Poisson or negative binomial regression model and for binary outcomes, logistic regression models will be fitted. </w:t>
      </w:r>
    </w:p>
    <w:p w14:paraId="0C77077D" w14:textId="77777777" w:rsidR="00D811C3" w:rsidRDefault="00D811C3" w:rsidP="00D811C3">
      <w:pPr>
        <w:spacing w:after="0" w:line="240" w:lineRule="auto"/>
        <w:jc w:val="both"/>
        <w:rPr>
          <w:sz w:val="24"/>
          <w:szCs w:val="24"/>
        </w:rPr>
      </w:pPr>
    </w:p>
    <w:p w14:paraId="4D670978" w14:textId="77777777" w:rsidR="00D811C3" w:rsidRDefault="00D811C3" w:rsidP="00D811C3">
      <w:pPr>
        <w:spacing w:after="0" w:line="240" w:lineRule="auto"/>
        <w:jc w:val="both"/>
        <w:rPr>
          <w:sz w:val="24"/>
          <w:szCs w:val="24"/>
        </w:rPr>
      </w:pPr>
      <w:r>
        <w:rPr>
          <w:sz w:val="24"/>
          <w:szCs w:val="24"/>
        </w:rPr>
        <w:t xml:space="preserve">A subgroup analysis will be conducted by baseline insulin delivery mode at 12 and 24 weeks in the form of an interaction term in the regression model or by stratifying analysis if non-parametric methods are required. </w:t>
      </w:r>
    </w:p>
    <w:p w14:paraId="04E3303E" w14:textId="77777777" w:rsidR="00D811C3" w:rsidRDefault="00D811C3" w:rsidP="00D811C3">
      <w:pPr>
        <w:spacing w:after="0" w:line="240" w:lineRule="auto"/>
        <w:jc w:val="both"/>
        <w:rPr>
          <w:sz w:val="24"/>
          <w:szCs w:val="24"/>
        </w:rPr>
      </w:pPr>
    </w:p>
    <w:p w14:paraId="1ABE605D" w14:textId="77777777" w:rsidR="00D811C3" w:rsidRDefault="00D811C3" w:rsidP="00D811C3">
      <w:pPr>
        <w:spacing w:after="0" w:line="240" w:lineRule="auto"/>
        <w:jc w:val="both"/>
        <w:rPr>
          <w:sz w:val="24"/>
          <w:szCs w:val="24"/>
        </w:rPr>
      </w:pPr>
      <w:r>
        <w:rPr>
          <w:sz w:val="24"/>
          <w:szCs w:val="24"/>
        </w:rPr>
        <w:t xml:space="preserve">There will be no adjustment for multiple comparisons, all primary, secondary and tertiary outcome results will be reported. </w:t>
      </w:r>
    </w:p>
    <w:p w14:paraId="14839F36" w14:textId="77777777" w:rsidR="00D811C3" w:rsidRDefault="00D811C3" w:rsidP="00D811C3">
      <w:pPr>
        <w:spacing w:after="0" w:line="240" w:lineRule="auto"/>
        <w:jc w:val="both"/>
        <w:rPr>
          <w:sz w:val="24"/>
          <w:szCs w:val="24"/>
        </w:rPr>
      </w:pPr>
    </w:p>
    <w:p w14:paraId="187FA2C7" w14:textId="77777777" w:rsidR="00D811C3" w:rsidRDefault="00D811C3" w:rsidP="00D811C3">
      <w:pPr>
        <w:spacing w:after="0" w:line="240" w:lineRule="auto"/>
        <w:rPr>
          <w:b/>
          <w:color w:val="44546A" w:themeColor="text2"/>
          <w:sz w:val="24"/>
          <w:szCs w:val="24"/>
        </w:rPr>
      </w:pPr>
    </w:p>
    <w:p w14:paraId="73945CB2" w14:textId="77777777" w:rsidR="00D811C3" w:rsidRDefault="00D811C3" w:rsidP="00D811C3">
      <w:pPr>
        <w:spacing w:after="0" w:line="240" w:lineRule="auto"/>
        <w:rPr>
          <w:b/>
          <w:color w:val="44546A" w:themeColor="text2"/>
          <w:sz w:val="24"/>
          <w:szCs w:val="24"/>
        </w:rPr>
      </w:pPr>
    </w:p>
    <w:p w14:paraId="1DB4FF8B" w14:textId="77777777" w:rsidR="00D811C3" w:rsidRDefault="00D811C3" w:rsidP="00D811C3">
      <w:pPr>
        <w:spacing w:after="0" w:line="240" w:lineRule="auto"/>
        <w:rPr>
          <w:b/>
          <w:color w:val="44546A" w:themeColor="text2"/>
          <w:sz w:val="24"/>
          <w:szCs w:val="24"/>
        </w:rPr>
      </w:pPr>
      <w:r>
        <w:rPr>
          <w:b/>
          <w:color w:val="44546A" w:themeColor="text2"/>
          <w:sz w:val="24"/>
          <w:szCs w:val="24"/>
        </w:rPr>
        <w:t xml:space="preserve">References: </w:t>
      </w:r>
    </w:p>
    <w:p w14:paraId="43BC3A1C" w14:textId="77777777" w:rsidR="00D811C3" w:rsidRDefault="00D811C3" w:rsidP="00D811C3">
      <w:pPr>
        <w:spacing w:after="0" w:line="240" w:lineRule="auto"/>
        <w:rPr>
          <w:b/>
          <w:color w:val="44546A" w:themeColor="text2"/>
          <w:sz w:val="24"/>
          <w:szCs w:val="24"/>
        </w:rPr>
      </w:pPr>
    </w:p>
    <w:p w14:paraId="270E0A02" w14:textId="77777777" w:rsidR="00D811C3" w:rsidRPr="002B276A" w:rsidRDefault="00D811C3" w:rsidP="00D811C3">
      <w:pPr>
        <w:pStyle w:val="EndNoteBibliography"/>
        <w:spacing w:after="0"/>
        <w:rPr>
          <w:sz w:val="24"/>
          <w:szCs w:val="24"/>
        </w:rPr>
      </w:pPr>
      <w:r w:rsidRPr="002B276A">
        <w:rPr>
          <w:sz w:val="24"/>
          <w:szCs w:val="24"/>
        </w:rPr>
        <w:lastRenderedPageBreak/>
        <w:fldChar w:fldCharType="begin"/>
      </w:r>
      <w:r w:rsidRPr="002B276A">
        <w:rPr>
          <w:sz w:val="24"/>
          <w:szCs w:val="24"/>
        </w:rPr>
        <w:instrText xml:space="preserve"> ADDIN EN.REFLIST </w:instrText>
      </w:r>
      <w:r w:rsidRPr="002B276A">
        <w:rPr>
          <w:sz w:val="24"/>
          <w:szCs w:val="24"/>
        </w:rPr>
        <w:fldChar w:fldCharType="separate"/>
      </w:r>
      <w:r w:rsidRPr="002B276A">
        <w:rPr>
          <w:sz w:val="24"/>
          <w:szCs w:val="24"/>
        </w:rPr>
        <w:t>1.</w:t>
      </w:r>
      <w:r w:rsidRPr="002B276A">
        <w:rPr>
          <w:sz w:val="24"/>
          <w:szCs w:val="24"/>
        </w:rPr>
        <w:tab/>
        <w:t>Barnard KD, Wysocki T, Allen JM, Elleri D, Thabit H, Leelarathna L, et al. Closing the loop overnight at home setting: psychosocial impact for adolescents with type 1 diabetes and their parents. BMJ open diabetes research &amp; care. 2014;2(1):e000025.</w:t>
      </w:r>
    </w:p>
    <w:p w14:paraId="60A2AD4A" w14:textId="77777777" w:rsidR="00D811C3" w:rsidRPr="002B276A" w:rsidRDefault="00D811C3" w:rsidP="00D811C3">
      <w:pPr>
        <w:pStyle w:val="EndNoteBibliography"/>
        <w:spacing w:after="0"/>
        <w:rPr>
          <w:sz w:val="24"/>
          <w:szCs w:val="24"/>
        </w:rPr>
      </w:pPr>
      <w:r w:rsidRPr="002B276A">
        <w:rPr>
          <w:sz w:val="24"/>
          <w:szCs w:val="24"/>
        </w:rPr>
        <w:t>2.</w:t>
      </w:r>
      <w:r w:rsidRPr="002B276A">
        <w:rPr>
          <w:sz w:val="24"/>
          <w:szCs w:val="24"/>
        </w:rPr>
        <w:tab/>
        <w:t>JDRF Continuous Glucose Monitoring Study Group. Validation of measures of satisfaction with and impact of continuous and conventional glucose monitoring. Diabetes technology &amp; therapeutics. 2010;12(9):679-84.</w:t>
      </w:r>
    </w:p>
    <w:p w14:paraId="5BDEE36C" w14:textId="77777777" w:rsidR="00D811C3" w:rsidRPr="002B276A" w:rsidRDefault="00D811C3" w:rsidP="00D811C3">
      <w:pPr>
        <w:pStyle w:val="EndNoteBibliography"/>
        <w:spacing w:after="0"/>
        <w:rPr>
          <w:sz w:val="24"/>
          <w:szCs w:val="24"/>
        </w:rPr>
      </w:pPr>
      <w:r w:rsidRPr="002B276A">
        <w:rPr>
          <w:sz w:val="24"/>
          <w:szCs w:val="24"/>
        </w:rPr>
        <w:t>3.</w:t>
      </w:r>
      <w:r w:rsidRPr="002B276A">
        <w:rPr>
          <w:sz w:val="24"/>
          <w:szCs w:val="24"/>
        </w:rPr>
        <w:tab/>
        <w:t>Barnard KD, Wysocki T, Ully V, Mader JK, Pieber TR, Thabit H, et al. Closing the Loop in Adults, Children and Adolescents With Suboptimally Controlled Type 1 Diabetes Under Free Living Conditions: A Psychosocial Substudy. Journal of diabetes science and technology. 2017;11(6):1080-8.</w:t>
      </w:r>
    </w:p>
    <w:p w14:paraId="10C78386" w14:textId="77777777" w:rsidR="00D811C3" w:rsidRPr="002B276A" w:rsidRDefault="00D811C3" w:rsidP="00D811C3">
      <w:pPr>
        <w:pStyle w:val="EndNoteBibliography"/>
        <w:spacing w:after="0"/>
        <w:rPr>
          <w:sz w:val="24"/>
          <w:szCs w:val="24"/>
        </w:rPr>
      </w:pPr>
      <w:r w:rsidRPr="002B276A">
        <w:rPr>
          <w:sz w:val="24"/>
          <w:szCs w:val="24"/>
        </w:rPr>
        <w:t>4.</w:t>
      </w:r>
      <w:r w:rsidRPr="002B276A">
        <w:rPr>
          <w:sz w:val="24"/>
          <w:szCs w:val="24"/>
        </w:rPr>
        <w:tab/>
        <w:t>Wheeler BJ, Collyns OJ, Meier RA, Betts ZL, Frampton C, Frewen CM, et al. Improved technology satisfaction and sleep quality with Medtronic MiniMed® Advanced Hybrid Closed-Loop delivery compared to predictive low glucose suspend in people with Type 1 Diabetes in a randomized crossover trial. Acta diabetologica. 2022;59(1):31-7.</w:t>
      </w:r>
    </w:p>
    <w:p w14:paraId="510D64A0" w14:textId="77777777" w:rsidR="00D811C3" w:rsidRPr="002B276A" w:rsidRDefault="00D811C3" w:rsidP="00D811C3">
      <w:pPr>
        <w:pStyle w:val="EndNoteBibliography"/>
        <w:spacing w:after="0"/>
        <w:rPr>
          <w:sz w:val="24"/>
          <w:szCs w:val="24"/>
        </w:rPr>
      </w:pPr>
      <w:r w:rsidRPr="002B276A">
        <w:rPr>
          <w:sz w:val="24"/>
          <w:szCs w:val="24"/>
        </w:rPr>
        <w:t>5.</w:t>
      </w:r>
      <w:r w:rsidRPr="002B276A">
        <w:rPr>
          <w:sz w:val="24"/>
          <w:szCs w:val="24"/>
        </w:rPr>
        <w:tab/>
        <w:t>Peyrot M, Xu Y, Rubin RR. Development and validation of the Diabetes Medication System Rating Questionnaire-Short Form. Diabetic medicine : a journal of the British Diabetic Association. 2014;31(10):1237-44.</w:t>
      </w:r>
    </w:p>
    <w:p w14:paraId="09DA29C4" w14:textId="77777777" w:rsidR="00D811C3" w:rsidRPr="002B276A" w:rsidRDefault="00D811C3" w:rsidP="00D811C3">
      <w:pPr>
        <w:pStyle w:val="EndNoteBibliography"/>
        <w:spacing w:after="0"/>
        <w:rPr>
          <w:sz w:val="24"/>
          <w:szCs w:val="24"/>
        </w:rPr>
      </w:pPr>
      <w:r w:rsidRPr="002B276A">
        <w:rPr>
          <w:sz w:val="24"/>
          <w:szCs w:val="24"/>
        </w:rPr>
        <w:t>6.</w:t>
      </w:r>
      <w:r w:rsidRPr="002B276A">
        <w:rPr>
          <w:sz w:val="24"/>
          <w:szCs w:val="24"/>
        </w:rPr>
        <w:tab/>
        <w:t>Schrepp M, Hinderks A, Thomaschewski J. Construction of a Benchmark for the User Experience Questionnaire (UEQ). International Journal of Interactive Multimedia and Artificial Intelligence. 2017;4:40-4.</w:t>
      </w:r>
    </w:p>
    <w:p w14:paraId="1180FD4D" w14:textId="77777777" w:rsidR="00D811C3" w:rsidRPr="002B276A" w:rsidRDefault="00D811C3" w:rsidP="00D811C3">
      <w:pPr>
        <w:pStyle w:val="EndNoteBibliography"/>
        <w:spacing w:after="0"/>
        <w:rPr>
          <w:sz w:val="24"/>
          <w:szCs w:val="24"/>
        </w:rPr>
      </w:pPr>
      <w:r w:rsidRPr="002B276A">
        <w:rPr>
          <w:sz w:val="24"/>
          <w:szCs w:val="24"/>
        </w:rPr>
        <w:t>7.</w:t>
      </w:r>
      <w:r w:rsidRPr="002B276A">
        <w:rPr>
          <w:sz w:val="24"/>
          <w:szCs w:val="24"/>
        </w:rPr>
        <w:tab/>
        <w:t>Peres SC, Pham T, Phillips R. Validation of the System Usability Scale (SUS):SUS in the Wild. Proceedings of the Human Factors and Ergonomics Society Annual Meeting. 2013;57(1):192-6.</w:t>
      </w:r>
    </w:p>
    <w:p w14:paraId="1C823630" w14:textId="77777777" w:rsidR="00D811C3" w:rsidRPr="002B276A" w:rsidRDefault="00D811C3" w:rsidP="00D811C3">
      <w:pPr>
        <w:pStyle w:val="EndNoteBibliography"/>
        <w:spacing w:after="0"/>
        <w:rPr>
          <w:sz w:val="24"/>
          <w:szCs w:val="24"/>
        </w:rPr>
      </w:pPr>
      <w:r w:rsidRPr="002B276A">
        <w:rPr>
          <w:sz w:val="24"/>
          <w:szCs w:val="24"/>
        </w:rPr>
        <w:t>8.</w:t>
      </w:r>
      <w:r w:rsidRPr="002B276A">
        <w:rPr>
          <w:sz w:val="24"/>
          <w:szCs w:val="24"/>
        </w:rPr>
        <w:tab/>
        <w:t>Clarke V, Braun V. Thematic analysis: a practical guide. Thematic Analysis. 2021:1-100.</w:t>
      </w:r>
    </w:p>
    <w:p w14:paraId="4A65804A" w14:textId="77777777" w:rsidR="00D811C3" w:rsidRPr="002B276A" w:rsidRDefault="00D811C3" w:rsidP="00D811C3">
      <w:pPr>
        <w:pStyle w:val="EndNoteBibliography"/>
        <w:rPr>
          <w:sz w:val="24"/>
          <w:szCs w:val="24"/>
        </w:rPr>
      </w:pPr>
      <w:r w:rsidRPr="002B276A">
        <w:rPr>
          <w:sz w:val="24"/>
          <w:szCs w:val="24"/>
        </w:rPr>
        <w:t>9.</w:t>
      </w:r>
      <w:r w:rsidRPr="002B276A">
        <w:rPr>
          <w:sz w:val="24"/>
          <w:szCs w:val="24"/>
        </w:rPr>
        <w:tab/>
        <w:t>Maahs DM, Buckingham BA, Castle JR, Cinar A, Damiano ER, Dassau E, et al. Outcome Measures for Artificial Pancreas Clinical Trials: A Consensus Report. Diabetes care. 2016;39(7):1175-9.</w:t>
      </w:r>
    </w:p>
    <w:p w14:paraId="0995770F" w14:textId="32F78135" w:rsidR="00CA67E5" w:rsidRDefault="00D811C3" w:rsidP="00D811C3">
      <w:r w:rsidRPr="002B276A">
        <w:rPr>
          <w:sz w:val="24"/>
          <w:szCs w:val="24"/>
        </w:rPr>
        <w:fldChar w:fldCharType="end"/>
      </w:r>
    </w:p>
    <w:sectPr w:rsidR="00CA67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9D4285"/>
    <w:multiLevelType w:val="hybridMultilevel"/>
    <w:tmpl w:val="562E99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B9F6875"/>
    <w:multiLevelType w:val="hybridMultilevel"/>
    <w:tmpl w:val="186AF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25D7BC1"/>
    <w:multiLevelType w:val="hybridMultilevel"/>
    <w:tmpl w:val="F3186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1C3"/>
    <w:rsid w:val="00753CA0"/>
    <w:rsid w:val="00AC3DA1"/>
    <w:rsid w:val="00D07031"/>
    <w:rsid w:val="00D811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4FC89"/>
  <w15:chartTrackingRefBased/>
  <w15:docId w15:val="{F8419A5F-9F8C-4002-BDF0-925615509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11C3"/>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811C3"/>
    <w:pPr>
      <w:spacing w:after="0" w:line="240" w:lineRule="auto"/>
    </w:pPr>
    <w:rPr>
      <w:rFonts w:eastAsia="SimSu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D811C3"/>
    <w:pPr>
      <w:spacing w:line="240" w:lineRule="auto"/>
      <w:jc w:val="both"/>
    </w:pPr>
    <w:rPr>
      <w:rFonts w:ascii="Calibri" w:hAnsi="Calibri"/>
      <w:noProof/>
      <w:lang w:val="en-US"/>
    </w:rPr>
  </w:style>
  <w:style w:type="character" w:customStyle="1" w:styleId="EndNoteBibliographyChar">
    <w:name w:val="EndNote Bibliography Char"/>
    <w:basedOn w:val="DefaultParagraphFont"/>
    <w:link w:val="EndNoteBibliography"/>
    <w:rsid w:val="00D811C3"/>
    <w:rPr>
      <w:rFonts w:ascii="Calibri" w:hAnsi="Calibri"/>
      <w:noProof/>
    </w:rPr>
  </w:style>
  <w:style w:type="table" w:customStyle="1" w:styleId="GridTable1Light-Accent11">
    <w:name w:val="Grid Table 1 Light - Accent 11"/>
    <w:basedOn w:val="TableNormal"/>
    <w:uiPriority w:val="46"/>
    <w:rsid w:val="00D811C3"/>
    <w:pPr>
      <w:spacing w:after="0" w:line="240" w:lineRule="auto"/>
    </w:pPr>
    <w:rPr>
      <w:sz w:val="24"/>
      <w:szCs w:val="24"/>
      <w:lang w:val="en-AU"/>
    </w:r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D811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emf"/><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image" Target="media/image16.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image" Target="media/image11.emf"/><Relationship Id="rId23" Type="http://schemas.openxmlformats.org/officeDocument/2006/relationships/theme" Target="theme/theme1.xml"/><Relationship Id="rId10" Type="http://schemas.openxmlformats.org/officeDocument/2006/relationships/image" Target="media/image6.emf"/><Relationship Id="rId19" Type="http://schemas.openxmlformats.org/officeDocument/2006/relationships/image" Target="media/image15.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2149</Words>
  <Characters>12250</Characters>
  <Application>Microsoft Office Word</Application>
  <DocSecurity>0</DocSecurity>
  <Lines>102</Lines>
  <Paragraphs>28</Paragraphs>
  <ScaleCrop>false</ScaleCrop>
  <Company>Springer Nature</Company>
  <LinksUpToDate>false</LinksUpToDate>
  <CharactersWithSpaces>14371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2023-02-24T10:47:00Z</dcterms:created>
  <dcterms:modified xsi:type="dcterms:W3CDTF">2023-02-24T10:47:00Z</dcterms:modified>
</cp:coreProperties>
</file>