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0EC" w:rsidRDefault="009B50EC" w:rsidP="009B50EC">
      <w:pPr>
        <w:spacing w:line="480" w:lineRule="auto"/>
        <w:rPr>
          <w:rFonts w:ascii="Times New Roman" w:hAnsi="Times New Roman" w:cs="Times New Roman"/>
          <w:sz w:val="24"/>
        </w:rPr>
      </w:pPr>
    </w:p>
    <w:p w:rsidR="009B50EC" w:rsidRDefault="009B50EC" w:rsidP="009B50E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114300" distR="114300" wp14:anchorId="3FFF9ECD" wp14:editId="4C7BF610">
            <wp:extent cx="5264150" cy="1609090"/>
            <wp:effectExtent l="0" t="0" r="12700" b="10160"/>
            <wp:docPr id="2" name="图片 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0EC" w:rsidRDefault="009B50EC" w:rsidP="009B50EC">
      <w:pPr>
        <w:spacing w:line="480" w:lineRule="auto"/>
        <w:ind w:firstLineChars="200" w:firstLine="48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1.</w:t>
      </w:r>
      <w:r>
        <w:rPr>
          <w:rFonts w:ascii="Times New Roman" w:hAnsi="Times New Roman" w:cs="Times New Roman"/>
          <w:sz w:val="24"/>
        </w:rPr>
        <w:t xml:space="preserve"> The voxel-level height threshold was P &lt; 0.005 (uncorrected) and cluster-extent threshold were 10 voxels. Increased BOLD activation foci: (A) vehicle group versus sham group; decreased BOLD activation foci, (B) MH group versus vehicle group, (C) MH+[D-Lys3]-GHRP-6 group versus vehicle group, (D) fluoxetine group versus vehicle group, and (E) mosapride group versus vehicle. </w:t>
      </w:r>
    </w:p>
    <w:p w:rsidR="00EB3BB0" w:rsidRDefault="00EB3BB0"/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EC"/>
    <w:rsid w:val="009B50EC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B8437C-A001-4133-B3EC-BA0D6B6D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0EC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2020-04-28T16:28:00Z</dcterms:created>
  <dcterms:modified xsi:type="dcterms:W3CDTF">2020-04-28T16:29:00Z</dcterms:modified>
</cp:coreProperties>
</file>