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FF303" w14:textId="77777777" w:rsidR="009946BB" w:rsidRPr="00163597" w:rsidRDefault="009946BB" w:rsidP="009946BB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6359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Additional file </w:t>
      </w:r>
    </w:p>
    <w:p w14:paraId="2954978A" w14:textId="77777777" w:rsidR="006C4A17" w:rsidRPr="00A82430" w:rsidRDefault="006C4A17" w:rsidP="00CB295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D465AF5" w14:textId="77777777" w:rsidR="00685C41" w:rsidRPr="00781534" w:rsidRDefault="00685C41" w:rsidP="00685C41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81534">
        <w:rPr>
          <w:rFonts w:asciiTheme="majorBidi" w:hAnsiTheme="majorBidi" w:cstheme="majorBidi"/>
          <w:b/>
          <w:bCs/>
          <w:sz w:val="24"/>
          <w:szCs w:val="24"/>
        </w:rPr>
        <w:t xml:space="preserve">Enhanced Sensitivity of VEGF Detection Using Catalase-Mediated Chemiluminescence Immunoassay Based on </w:t>
      </w:r>
      <w:proofErr w:type="spellStart"/>
      <w:r w:rsidRPr="00781534">
        <w:rPr>
          <w:rFonts w:asciiTheme="majorBidi" w:hAnsiTheme="majorBidi" w:cstheme="majorBidi"/>
          <w:b/>
          <w:bCs/>
          <w:sz w:val="24"/>
          <w:szCs w:val="24"/>
        </w:rPr>
        <w:t>CdTe</w:t>
      </w:r>
      <w:proofErr w:type="spellEnd"/>
      <w:r w:rsidRPr="0078153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81534">
        <w:rPr>
          <w:rFonts w:asciiTheme="majorBidi" w:hAnsiTheme="majorBidi" w:cstheme="majorBidi"/>
          <w:b/>
          <w:bCs/>
          <w:sz w:val="24"/>
          <w:szCs w:val="24"/>
        </w:rPr>
        <w:t>QD</w:t>
      </w:r>
      <w:proofErr w:type="spellEnd"/>
      <w:r w:rsidRPr="00781534">
        <w:rPr>
          <w:rFonts w:asciiTheme="majorBidi" w:hAnsiTheme="majorBidi" w:cstheme="majorBidi"/>
          <w:b/>
          <w:bCs/>
          <w:sz w:val="24"/>
          <w:szCs w:val="24"/>
        </w:rPr>
        <w:t>/</w:t>
      </w:r>
      <w:proofErr w:type="spellStart"/>
      <w:r w:rsidRPr="0078153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78153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781534">
        <w:rPr>
          <w:rFonts w:asciiTheme="majorBidi" w:hAnsiTheme="majorBidi" w:cstheme="majorBidi"/>
          <w:b/>
          <w:bCs/>
          <w:sz w:val="24"/>
          <w:szCs w:val="24"/>
        </w:rPr>
        <w:t>O</w:t>
      </w:r>
      <w:r w:rsidRPr="0078153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proofErr w:type="spellEnd"/>
      <w:r w:rsidRPr="00781534">
        <w:rPr>
          <w:rFonts w:asciiTheme="majorBidi" w:hAnsiTheme="majorBidi" w:cstheme="majorBidi"/>
          <w:b/>
          <w:bCs/>
          <w:sz w:val="24"/>
          <w:szCs w:val="24"/>
        </w:rPr>
        <w:t xml:space="preserve"> System</w:t>
      </w:r>
    </w:p>
    <w:p w14:paraId="7F1C29F7" w14:textId="77777777" w:rsidR="00685C41" w:rsidRDefault="00685C41" w:rsidP="00685C41">
      <w:pPr>
        <w:spacing w:line="480" w:lineRule="auto"/>
        <w:jc w:val="both"/>
        <w:rPr>
          <w:rStyle w:val="fontstyle01"/>
          <w:rFonts w:asciiTheme="majorBidi" w:hAnsiTheme="majorBidi" w:cstheme="majorBidi"/>
          <w:b/>
          <w:bCs/>
          <w:sz w:val="24"/>
          <w:szCs w:val="24"/>
        </w:rPr>
      </w:pPr>
    </w:p>
    <w:p w14:paraId="7682D513" w14:textId="77777777" w:rsidR="00685C41" w:rsidRPr="00A41FC6" w:rsidRDefault="00685C41" w:rsidP="00685C41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r>
        <w:rPr>
          <w:rFonts w:asciiTheme="majorBidi" w:hAnsiTheme="majorBidi" w:cstheme="majorBidi"/>
          <w:sz w:val="24"/>
          <w:szCs w:val="24"/>
        </w:rPr>
        <w:t xml:space="preserve">Fahimeh </w:t>
      </w:r>
      <w:proofErr w:type="spellStart"/>
      <w:r>
        <w:rPr>
          <w:rFonts w:asciiTheme="majorBidi" w:hAnsiTheme="majorBidi" w:cstheme="majorBidi"/>
          <w:sz w:val="24"/>
          <w:szCs w:val="24"/>
        </w:rPr>
        <w:t>Ghavamipour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, Hossein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Rahmani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, Maryam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Shanehsaz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Khosro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Khajeh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, Manouchehr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Mirshahi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spellEnd"/>
      <w:r w:rsidRPr="00A41FC6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A41FC6">
        <w:rPr>
          <w:rFonts w:asciiTheme="majorBidi" w:hAnsiTheme="majorBidi" w:cstheme="majorBidi"/>
          <w:sz w:val="24"/>
          <w:szCs w:val="24"/>
        </w:rPr>
        <w:t xml:space="preserve">and Reza </w:t>
      </w:r>
      <w:proofErr w:type="spellStart"/>
      <w:proofErr w:type="gramStart"/>
      <w:r w:rsidRPr="00A41FC6">
        <w:rPr>
          <w:rFonts w:asciiTheme="majorBidi" w:hAnsiTheme="majorBidi" w:cstheme="majorBidi"/>
          <w:sz w:val="24"/>
          <w:szCs w:val="24"/>
        </w:rPr>
        <w:t>H.Sajedi</w:t>
      </w:r>
      <w:proofErr w:type="gramEnd"/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spellEnd"/>
      <w:r w:rsidRPr="00A41FC6">
        <w:rPr>
          <w:rFonts w:asciiTheme="majorBidi" w:hAnsiTheme="majorBidi" w:cstheme="majorBidi"/>
          <w:sz w:val="24"/>
          <w:szCs w:val="24"/>
          <w:vertAlign w:val="superscript"/>
        </w:rPr>
        <w:t>*</w:t>
      </w:r>
    </w:p>
    <w:p w14:paraId="14352CEC" w14:textId="77777777" w:rsidR="00685C41" w:rsidRPr="00A83BFE" w:rsidRDefault="00685C41" w:rsidP="00685C41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7090651" w14:textId="77777777" w:rsidR="00685C41" w:rsidRPr="00A41FC6" w:rsidRDefault="00685C41" w:rsidP="00685C41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A41FC6">
        <w:rPr>
          <w:rFonts w:asciiTheme="majorBidi" w:hAnsiTheme="majorBidi" w:cstheme="majorBidi"/>
          <w:sz w:val="24"/>
          <w:szCs w:val="24"/>
        </w:rPr>
        <w:t>Department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of Biochemistry, Faculty of Biological Sciences,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Tarbiat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Modares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University, Tehran 14115-154, Iran</w:t>
      </w:r>
    </w:p>
    <w:p w14:paraId="10442E31" w14:textId="77777777" w:rsidR="00685C41" w:rsidRPr="00A41FC6" w:rsidRDefault="00685C41" w:rsidP="00685C41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A41FC6">
        <w:rPr>
          <w:rFonts w:asciiTheme="majorBidi" w:hAnsiTheme="majorBidi" w:cstheme="majorBidi"/>
          <w:sz w:val="24"/>
          <w:szCs w:val="24"/>
        </w:rPr>
        <w:t>Analytical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Chemistry Research Laboratory,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Mobin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Shimi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Azma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Company, Tehran, Iran</w:t>
      </w:r>
    </w:p>
    <w:p w14:paraId="22ACBC55" w14:textId="77777777" w:rsidR="00685C41" w:rsidRPr="00A41FC6" w:rsidRDefault="00685C41" w:rsidP="00685C41">
      <w:pPr>
        <w:spacing w:line="48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</w:p>
    <w:p w14:paraId="57C1DB00" w14:textId="77777777" w:rsidR="00685C41" w:rsidRPr="00A41FC6" w:rsidRDefault="00685C41" w:rsidP="00685C41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A41FC6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A41FC6">
        <w:rPr>
          <w:rFonts w:asciiTheme="majorBidi" w:hAnsiTheme="majorBidi" w:cstheme="majorBidi"/>
          <w:sz w:val="24"/>
          <w:szCs w:val="24"/>
        </w:rPr>
        <w:t xml:space="preserve">Corresponding author: Department of Biochemistry, Faculty of Biological Sciences,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Tarbiat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41FC6">
        <w:rPr>
          <w:rFonts w:asciiTheme="majorBidi" w:hAnsiTheme="majorBidi" w:cstheme="majorBidi"/>
          <w:sz w:val="24"/>
          <w:szCs w:val="24"/>
        </w:rPr>
        <w:t>Modares</w:t>
      </w:r>
      <w:proofErr w:type="spellEnd"/>
      <w:r w:rsidRPr="00A41FC6">
        <w:rPr>
          <w:rFonts w:asciiTheme="majorBidi" w:hAnsiTheme="majorBidi" w:cstheme="majorBidi"/>
          <w:sz w:val="24"/>
          <w:szCs w:val="24"/>
        </w:rPr>
        <w:t xml:space="preserve"> University, Tehran 14115-154, Iran, Fax/Tel: +98 21 82884717</w:t>
      </w:r>
    </w:p>
    <w:p w14:paraId="42FB6BD6" w14:textId="77777777" w:rsidR="00685C41" w:rsidRPr="00A41FC6" w:rsidRDefault="00685C41" w:rsidP="00685C41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A41FC6">
        <w:rPr>
          <w:rFonts w:asciiTheme="majorBidi" w:hAnsiTheme="majorBidi" w:cstheme="majorBidi"/>
          <w:sz w:val="24"/>
          <w:szCs w:val="24"/>
          <w:u w:val="single"/>
        </w:rPr>
        <w:t xml:space="preserve">E-mail: </w:t>
      </w:r>
      <w:hyperlink r:id="rId7" w:history="1">
        <w:proofErr w:type="spellStart"/>
        <w:r w:rsidRPr="00A41FC6">
          <w:rPr>
            <w:rStyle w:val="Hyperlink"/>
            <w:rFonts w:asciiTheme="majorBidi" w:hAnsiTheme="majorBidi" w:cstheme="majorBidi"/>
            <w:sz w:val="24"/>
            <w:szCs w:val="24"/>
          </w:rPr>
          <w:t>sajedi_r@modares.ac.ir</w:t>
        </w:r>
        <w:proofErr w:type="spellEnd"/>
      </w:hyperlink>
    </w:p>
    <w:p w14:paraId="4264CC9B" w14:textId="77777777" w:rsidR="00170E5F" w:rsidRPr="00A82430" w:rsidRDefault="00170E5F" w:rsidP="00A64109">
      <w:pPr>
        <w:spacing w:after="0" w:line="48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300A244F" w14:textId="77777777" w:rsidR="00A61178" w:rsidRPr="00A82430" w:rsidRDefault="00A61178" w:rsidP="00A64109">
      <w:pPr>
        <w:spacing w:after="0" w:line="48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spellStart"/>
      <w:r w:rsidRPr="00A82430">
        <w:rPr>
          <w:rFonts w:asciiTheme="majorBidi" w:eastAsia="Times New Roman" w:hAnsiTheme="majorBidi" w:cstheme="majorBidi"/>
          <w:b/>
          <w:bCs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82430">
        <w:rPr>
          <w:rFonts w:asciiTheme="majorBidi" w:eastAsia="Times New Roman" w:hAnsiTheme="majorBidi" w:cstheme="majorBidi"/>
          <w:b/>
          <w:bCs/>
          <w:sz w:val="24"/>
          <w:szCs w:val="24"/>
        </w:rPr>
        <w:t>QDs</w:t>
      </w:r>
      <w:proofErr w:type="spellEnd"/>
      <w:r w:rsidRPr="00A82430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characterization </w:t>
      </w:r>
    </w:p>
    <w:p w14:paraId="101FC7EA" w14:textId="742D159F" w:rsidR="00A61178" w:rsidRPr="00A82430" w:rsidRDefault="00A61178" w:rsidP="00685C4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2430">
        <w:rPr>
          <w:rFonts w:asciiTheme="majorBidi" w:eastAsia="Times New Roman" w:hAnsiTheme="majorBidi" w:cstheme="majorBidi"/>
          <w:sz w:val="24"/>
          <w:szCs w:val="24"/>
        </w:rPr>
        <w:t>The UV–visible absorption</w:t>
      </w:r>
      <w:r w:rsidR="00685C41">
        <w:rPr>
          <w:rFonts w:asciiTheme="majorBidi" w:eastAsia="Times New Roman" w:hAnsiTheme="majorBidi" w:cstheme="majorBidi"/>
          <w:sz w:val="24"/>
          <w:szCs w:val="24"/>
        </w:rPr>
        <w:t>,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fluorescence spectra</w:t>
      </w:r>
      <w:r w:rsidR="00685C41">
        <w:rPr>
          <w:rFonts w:asciiTheme="majorBidi" w:eastAsia="Times New Roman" w:hAnsiTheme="majorBidi" w:cstheme="majorBidi"/>
          <w:sz w:val="24"/>
          <w:szCs w:val="24"/>
        </w:rPr>
        <w:t xml:space="preserve"> and </w:t>
      </w:r>
      <w:r w:rsidR="00685C41" w:rsidRPr="00A82430">
        <w:rPr>
          <w:rFonts w:asciiTheme="majorBidi" w:eastAsia="Times New Roman" w:hAnsiTheme="majorBidi" w:cstheme="majorBidi"/>
          <w:sz w:val="24"/>
          <w:szCs w:val="24"/>
        </w:rPr>
        <w:t>dynamic CL intensity–time profiles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in aqueous solution are shown in Fig.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S1</w:t>
      </w:r>
      <w:r w:rsidR="00217C6D">
        <w:rPr>
          <w:rFonts w:asciiTheme="majorBidi" w:eastAsia="Times New Roman" w:hAnsiTheme="majorBidi" w:cstheme="majorBidi"/>
          <w:sz w:val="24"/>
          <w:szCs w:val="24"/>
        </w:rPr>
        <w:t>a</w:t>
      </w:r>
      <w:proofErr w:type="spellEnd"/>
      <w:r w:rsidR="00685C41">
        <w:rPr>
          <w:rFonts w:asciiTheme="majorBidi" w:eastAsia="Times New Roman" w:hAnsiTheme="majorBidi" w:cstheme="majorBidi"/>
          <w:sz w:val="24"/>
          <w:szCs w:val="24"/>
        </w:rPr>
        <w:t>-</w:t>
      </w:r>
      <w:r w:rsidR="00217C6D">
        <w:rPr>
          <w:rFonts w:asciiTheme="majorBidi" w:eastAsia="Times New Roman" w:hAnsiTheme="majorBidi" w:cstheme="majorBidi"/>
          <w:sz w:val="24"/>
          <w:szCs w:val="24"/>
        </w:rPr>
        <w:t>c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, respectively. The maximum absorption wavelength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685C41">
        <w:rPr>
          <w:rFonts w:asciiTheme="majorBidi" w:eastAsia="Times New Roman" w:hAnsiTheme="majorBidi" w:cstheme="majorBidi"/>
          <w:sz w:val="24"/>
          <w:szCs w:val="24"/>
        </w:rPr>
        <w:t>was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94607F">
        <w:rPr>
          <w:rFonts w:asciiTheme="majorBidi" w:eastAsia="Times New Roman" w:hAnsiTheme="majorBidi" w:cstheme="majorBidi"/>
          <w:sz w:val="24"/>
          <w:szCs w:val="24"/>
        </w:rPr>
        <w:t xml:space="preserve">540 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>nm, while the Maximum emission wavelengths</w:t>
      </w:r>
      <w:r w:rsidRPr="00A824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5C41">
        <w:rPr>
          <w:rFonts w:asciiTheme="majorBidi" w:eastAsia="Times New Roman" w:hAnsiTheme="majorBidi" w:cstheme="majorBidi"/>
          <w:sz w:val="24"/>
          <w:szCs w:val="24"/>
        </w:rPr>
        <w:t>was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located at </w:t>
      </w:r>
      <w:r w:rsidR="0094607F" w:rsidRPr="00A41FC6">
        <w:rPr>
          <w:rFonts w:ascii="Times New Roman" w:hAnsi="Times New Roman" w:cs="Times New Roman"/>
          <w:sz w:val="24"/>
          <w:szCs w:val="24"/>
        </w:rPr>
        <w:t>570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nm (excited at 340 nm). The narrow emission spectrum demonstrated the high degree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lastRenderedPageBreak/>
        <w:t>monodispersity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685C41">
        <w:rPr>
          <w:rFonts w:asciiTheme="majorBidi" w:eastAsia="Times New Roman" w:hAnsiTheme="majorBidi" w:cstheme="majorBidi"/>
          <w:sz w:val="24"/>
          <w:szCs w:val="24"/>
        </w:rPr>
        <w:t>QD</w:t>
      </w:r>
      <w:proofErr w:type="spellEnd"/>
      <w:r w:rsidRPr="00685C41">
        <w:rPr>
          <w:rFonts w:asciiTheme="majorBidi" w:eastAsia="Times New Roman" w:hAnsiTheme="majorBidi" w:cstheme="majorBidi"/>
          <w:sz w:val="24"/>
          <w:szCs w:val="24"/>
        </w:rPr>
        <w:t>.</w:t>
      </w:r>
      <w:r w:rsidRPr="00685C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>Moreover</w:t>
      </w:r>
      <w:r w:rsidR="00685C41">
        <w:rPr>
          <w:rFonts w:ascii="Times New Roman" w:eastAsia="Times New Roman" w:hAnsi="Times New Roman" w:cs="Times New Roman"/>
          <w:sz w:val="24"/>
          <w:szCs w:val="24"/>
        </w:rPr>
        <w:t>,</w:t>
      </w:r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 xml:space="preserve"> the dynamic CL intensity–time profiles upon injection of </w:t>
      </w:r>
      <w:proofErr w:type="spellStart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>CdTe</w:t>
      </w:r>
      <w:proofErr w:type="spellEnd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>QDs</w:t>
      </w:r>
      <w:proofErr w:type="spellEnd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 xml:space="preserve"> into the </w:t>
      </w:r>
      <w:proofErr w:type="spellStart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>H2O2</w:t>
      </w:r>
      <w:proofErr w:type="spellEnd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 xml:space="preserve"> solution showed that this CL reaction was very rapid and the CL intensity can reach a maximum after </w:t>
      </w:r>
      <w:r w:rsidR="00685C41" w:rsidRPr="00685C41">
        <w:rPr>
          <w:rFonts w:ascii="Cambria Math" w:eastAsia="Times New Roman" w:hAnsi="Cambria Math" w:cs="Cambria Math"/>
          <w:sz w:val="24"/>
          <w:szCs w:val="24"/>
        </w:rPr>
        <w:t>∼</w:t>
      </w:r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 xml:space="preserve">200 </w:t>
      </w:r>
      <w:proofErr w:type="spellStart"/>
      <w:r w:rsidR="00685C41" w:rsidRPr="00685C41">
        <w:rPr>
          <w:rFonts w:ascii="Times New Roman" w:eastAsia="Times New Roman" w:hAnsi="Times New Roman" w:cs="Times New Roman"/>
          <w:sz w:val="24"/>
          <w:szCs w:val="24"/>
        </w:rPr>
        <w:t>ms.</w:t>
      </w:r>
      <w:proofErr w:type="spellEnd"/>
    </w:p>
    <w:p w14:paraId="2E450DFD" w14:textId="60563D9F" w:rsidR="00A61178" w:rsidRDefault="00A61178" w:rsidP="00A64109">
      <w:pPr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82430">
        <w:rPr>
          <w:rFonts w:asciiTheme="majorBidi" w:eastAsia="Times New Roman" w:hAnsiTheme="majorBidi" w:cstheme="majorBidi"/>
          <w:sz w:val="24"/>
          <w:szCs w:val="24"/>
        </w:rPr>
        <w:t>According to the Eq. (1</w:t>
      </w:r>
      <w:r w:rsidR="0012680B">
        <w:rPr>
          <w:rFonts w:asciiTheme="majorBidi" w:eastAsia="Times New Roman" w:hAnsiTheme="majorBidi" w:cstheme="majorBidi"/>
          <w:sz w:val="24"/>
          <w:szCs w:val="24"/>
        </w:rPr>
        <w:t>-3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), the average size and concentration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QDs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were estimated from the absorption</w:t>
      </w:r>
      <w:r w:rsidR="0012680B">
        <w:rPr>
          <w:rFonts w:asciiTheme="majorBidi" w:eastAsia="Times New Roman" w:hAnsiTheme="majorBidi" w:cstheme="majorBidi"/>
          <w:sz w:val="24"/>
          <w:szCs w:val="24"/>
        </w:rPr>
        <w:t xml:space="preserve"> and fluorescence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spectrum to be about </w:t>
      </w:r>
      <w:r w:rsidR="00685C41">
        <w:rPr>
          <w:rFonts w:asciiTheme="majorBidi" w:eastAsia="Times New Roman" w:hAnsiTheme="majorBidi" w:cstheme="majorBidi"/>
          <w:sz w:val="24"/>
          <w:szCs w:val="24"/>
        </w:rPr>
        <w:t>4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nm and </w:t>
      </w:r>
      <w:r w:rsidR="0094607F" w:rsidRPr="0094607F">
        <w:rPr>
          <w:rFonts w:asciiTheme="majorBidi" w:eastAsia="Times New Roman" w:hAnsiTheme="majorBidi" w:cstheme="majorBidi"/>
          <w:sz w:val="24"/>
          <w:szCs w:val="24"/>
        </w:rPr>
        <w:t>4.0 × 10</w:t>
      </w:r>
      <w:r w:rsidR="0094607F" w:rsidRPr="00833ACD">
        <w:rPr>
          <w:rFonts w:asciiTheme="majorBidi" w:eastAsia="Times New Roman" w:hAnsiTheme="majorBidi" w:cstheme="majorBidi"/>
          <w:sz w:val="24"/>
          <w:szCs w:val="24"/>
          <w:vertAlign w:val="superscript"/>
        </w:rPr>
        <w:t>−6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M, respectively. The size of the synthesized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and their morphology </w:t>
      </w:r>
      <w:r w:rsidR="0094607F">
        <w:rPr>
          <w:rFonts w:asciiTheme="majorBidi" w:eastAsia="Times New Roman" w:hAnsiTheme="majorBidi" w:cstheme="majorBidi"/>
          <w:sz w:val="24"/>
          <w:szCs w:val="24"/>
        </w:rPr>
        <w:t>was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also investigated using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DLS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and TEM. The</w:t>
      </w:r>
      <w:r w:rsidRPr="00A82430">
        <w:rPr>
          <w:rFonts w:asciiTheme="majorBidi" w:eastAsia="Times New Roman" w:hAnsiTheme="majorBidi" w:cstheme="majorBidi"/>
          <w:sz w:val="24"/>
          <w:szCs w:val="24"/>
          <w:rtl/>
        </w:rPr>
        <w:t xml:space="preserve"> 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TEM image together with the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DLS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analysis showed monodisperse spherical shaped nanoparticles</w:t>
      </w:r>
      <w:r w:rsidRPr="00A82430">
        <w:rPr>
          <w:rFonts w:asciiTheme="majorBidi" w:eastAsia="Times New Roman" w:hAnsiTheme="majorBidi" w:cstheme="majorBidi"/>
          <w:sz w:val="24"/>
          <w:szCs w:val="24"/>
          <w:rtl/>
        </w:rPr>
        <w:t xml:space="preserve"> 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with size around 4 nm for orange emission (Fig.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1E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-G). Characterization of the synthesized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QDs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confirmed their applicability for designing </w:t>
      </w:r>
      <w:r w:rsidR="00217C6D">
        <w:rPr>
          <w:rFonts w:asciiTheme="majorBidi" w:eastAsia="Times New Roman" w:hAnsiTheme="majorBidi" w:cstheme="majorBidi"/>
          <w:sz w:val="24"/>
          <w:szCs w:val="24"/>
        </w:rPr>
        <w:t>CL-ELISA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system.</w:t>
      </w:r>
    </w:p>
    <w:p w14:paraId="0912319B" w14:textId="77777777" w:rsidR="0012680B" w:rsidRPr="00B422C5" w:rsidRDefault="0012680B" w:rsidP="0012680B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B422C5">
        <w:rPr>
          <w:rFonts w:asciiTheme="majorBidi" w:hAnsiTheme="majorBidi" w:cstheme="majorBidi"/>
          <w:sz w:val="24"/>
          <w:szCs w:val="24"/>
        </w:rPr>
        <w:t>D = (9.8127 × 10</w:t>
      </w:r>
      <w:r w:rsidRPr="00B422C5">
        <w:rPr>
          <w:rFonts w:asciiTheme="majorBidi" w:hAnsiTheme="majorBidi" w:cstheme="majorBidi"/>
          <w:sz w:val="24"/>
          <w:szCs w:val="24"/>
          <w:vertAlign w:val="superscript"/>
        </w:rPr>
        <w:t>-7</w:t>
      </w:r>
      <w:r w:rsidRPr="00B422C5">
        <w:rPr>
          <w:rFonts w:asciiTheme="majorBidi" w:hAnsiTheme="majorBidi" w:cstheme="majorBidi"/>
          <w:sz w:val="24"/>
          <w:szCs w:val="24"/>
        </w:rPr>
        <w:t xml:space="preserve">) × </w:t>
      </w:r>
      <w:proofErr w:type="spellStart"/>
      <w:r w:rsidRPr="00B422C5">
        <w:rPr>
          <w:rFonts w:asciiTheme="majorBidi" w:hAnsiTheme="majorBidi" w:cstheme="majorBidi"/>
          <w:sz w:val="24"/>
          <w:szCs w:val="24"/>
        </w:rPr>
        <w:t>λ</w:t>
      </w:r>
      <w:r w:rsidRPr="00B422C5">
        <w:rPr>
          <w:rFonts w:asciiTheme="majorBidi" w:hAnsiTheme="majorBidi" w:cstheme="majorBidi"/>
          <w:sz w:val="24"/>
          <w:szCs w:val="24"/>
          <w:vertAlign w:val="superscript"/>
        </w:rPr>
        <w:t>3</w:t>
      </w:r>
      <w:proofErr w:type="spellEnd"/>
      <w:r w:rsidRPr="00B422C5">
        <w:rPr>
          <w:rFonts w:asciiTheme="majorBidi" w:hAnsiTheme="majorBidi" w:cstheme="majorBidi"/>
          <w:sz w:val="24"/>
          <w:szCs w:val="24"/>
        </w:rPr>
        <w:t xml:space="preserve"> - (1.7147 × 10</w:t>
      </w:r>
      <w:r w:rsidRPr="00B422C5">
        <w:rPr>
          <w:rFonts w:asciiTheme="majorBidi" w:hAnsiTheme="majorBidi" w:cstheme="majorBidi"/>
          <w:sz w:val="24"/>
          <w:szCs w:val="24"/>
          <w:vertAlign w:val="superscript"/>
        </w:rPr>
        <w:t>-3</w:t>
      </w:r>
      <w:r w:rsidRPr="00B422C5">
        <w:rPr>
          <w:rFonts w:asciiTheme="majorBidi" w:hAnsiTheme="majorBidi" w:cstheme="majorBidi"/>
          <w:sz w:val="24"/>
          <w:szCs w:val="24"/>
        </w:rPr>
        <w:t xml:space="preserve">) × </w:t>
      </w:r>
      <w:proofErr w:type="spellStart"/>
      <w:r w:rsidRPr="00B422C5">
        <w:rPr>
          <w:rFonts w:asciiTheme="majorBidi" w:hAnsiTheme="majorBidi" w:cstheme="majorBidi"/>
          <w:sz w:val="24"/>
          <w:szCs w:val="24"/>
        </w:rPr>
        <w:t>λ</w:t>
      </w:r>
      <w:r w:rsidRPr="00B422C5">
        <w:rPr>
          <w:rFonts w:asciiTheme="majorBidi" w:hAnsiTheme="majorBidi" w:cstheme="majorBidi"/>
          <w:sz w:val="24"/>
          <w:szCs w:val="24"/>
          <w:vertAlign w:val="superscript"/>
        </w:rPr>
        <w:t>2</w:t>
      </w:r>
      <w:proofErr w:type="spellEnd"/>
      <w:r w:rsidRPr="00B422C5">
        <w:rPr>
          <w:rFonts w:asciiTheme="majorBidi" w:hAnsiTheme="majorBidi" w:cstheme="majorBidi"/>
          <w:sz w:val="24"/>
          <w:szCs w:val="24"/>
        </w:rPr>
        <w:t xml:space="preserve"> + (1.0064) × λ - (194.84)                               Eq. 1</w:t>
      </w:r>
    </w:p>
    <w:p w14:paraId="1A05CECB" w14:textId="77777777" w:rsidR="0012680B" w:rsidRPr="00B422C5" w:rsidRDefault="0012680B" w:rsidP="0012680B">
      <w:pPr>
        <w:tabs>
          <w:tab w:val="left" w:pos="3360"/>
          <w:tab w:val="left" w:pos="9090"/>
          <w:tab w:val="left" w:pos="9180"/>
        </w:tabs>
        <w:spacing w:line="48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B422C5">
        <w:rPr>
          <w:rFonts w:asciiTheme="majorBidi" w:hAnsiTheme="majorBidi" w:cstheme="majorBidi"/>
          <w:sz w:val="24"/>
          <w:szCs w:val="24"/>
          <w:lang w:bidi="fa-IR"/>
        </w:rPr>
        <w:t>ε = 10043 (D)</w:t>
      </w:r>
      <w:r w:rsidRPr="00B422C5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2.12.</w:t>
      </w:r>
      <w:r w:rsidRPr="00B422C5">
        <w:rPr>
          <w:rFonts w:asciiTheme="majorBidi" w:hAnsiTheme="majorBidi" w:cstheme="majorBidi"/>
          <w:sz w:val="24"/>
          <w:szCs w:val="24"/>
          <w:lang w:bidi="fa-IR"/>
        </w:rPr>
        <w:t xml:space="preserve">                                                                                                                      Eq. 2</w:t>
      </w:r>
    </w:p>
    <w:p w14:paraId="6BDB0029" w14:textId="1404DBE8" w:rsidR="0012680B" w:rsidRDefault="0012680B" w:rsidP="0012680B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proofErr w:type="gramStart"/>
      <w:r w:rsidRPr="00B422C5">
        <w:rPr>
          <w:rFonts w:asciiTheme="majorBidi" w:hAnsiTheme="majorBidi" w:cstheme="majorBidi"/>
          <w:sz w:val="24"/>
          <w:szCs w:val="24"/>
          <w:lang w:bidi="fa-IR"/>
        </w:rPr>
        <w:t>A=</w:t>
      </w:r>
      <w:proofErr w:type="spellStart"/>
      <w:r w:rsidRPr="00B422C5">
        <w:rPr>
          <w:rFonts w:asciiTheme="majorBidi" w:hAnsiTheme="majorBidi" w:cstheme="majorBidi"/>
          <w:sz w:val="24"/>
          <w:szCs w:val="24"/>
          <w:lang w:bidi="fa-IR"/>
        </w:rPr>
        <w:t>ε.c.l</w:t>
      </w:r>
      <w:proofErr w:type="spellEnd"/>
      <w:proofErr w:type="gramEnd"/>
      <w:r w:rsidRPr="00B422C5">
        <w:rPr>
          <w:rFonts w:asciiTheme="majorBidi" w:hAnsiTheme="majorBidi" w:cstheme="majorBidi"/>
          <w:sz w:val="24"/>
          <w:szCs w:val="24"/>
          <w:lang w:bidi="fa-IR"/>
        </w:rPr>
        <w:t xml:space="preserve">                                                                                                                                      Eq. 3</w:t>
      </w:r>
    </w:p>
    <w:p w14:paraId="1975173E" w14:textId="77777777" w:rsidR="00D66CED" w:rsidRPr="00B422C5" w:rsidRDefault="00D66CED" w:rsidP="0012680B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A365C4F" w14:textId="3F08D3AB" w:rsidR="00A61178" w:rsidRPr="00A82430" w:rsidRDefault="00C97890" w:rsidP="00CE1C3D">
      <w:pPr>
        <w:spacing w:after="0" w:line="480" w:lineRule="auto"/>
        <w:jc w:val="center"/>
        <w:rPr>
          <w:rFonts w:asciiTheme="majorBidi" w:eastAsia="Times New Roman" w:hAnsiTheme="majorBidi" w:cstheme="majorBidi"/>
          <w:sz w:val="24"/>
          <w:szCs w:val="24"/>
        </w:rPr>
      </w:pPr>
      <w:r w:rsidRPr="00C97890">
        <w:rPr>
          <w:noProof/>
        </w:rPr>
        <w:lastRenderedPageBreak/>
        <w:drawing>
          <wp:inline distT="0" distB="0" distL="0" distR="0" wp14:anchorId="50AD2FF2" wp14:editId="078A1F1C">
            <wp:extent cx="5943600" cy="41421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A2D22" w14:textId="3B8A5ECB" w:rsidR="00693AB4" w:rsidRDefault="00A61178" w:rsidP="00304F47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82430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Fig. </w:t>
      </w:r>
      <w:proofErr w:type="spellStart"/>
      <w:r w:rsidRPr="00A82430">
        <w:rPr>
          <w:rFonts w:asciiTheme="majorBidi" w:eastAsia="Times New Roman" w:hAnsiTheme="majorBidi" w:cstheme="majorBidi"/>
          <w:b/>
          <w:bCs/>
          <w:sz w:val="24"/>
          <w:szCs w:val="24"/>
        </w:rPr>
        <w:t>S1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Characterization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</w:t>
      </w:r>
      <w:r w:rsidR="00241C70">
        <w:rPr>
          <w:rFonts w:asciiTheme="majorBidi" w:eastAsia="Times New Roman" w:hAnsiTheme="majorBidi" w:cstheme="majorBidi"/>
          <w:sz w:val="24"/>
          <w:szCs w:val="24"/>
        </w:rPr>
        <w:t>s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>. (</w:t>
      </w:r>
      <w:r w:rsidR="00BA5AE5">
        <w:rPr>
          <w:rFonts w:asciiTheme="majorBidi" w:eastAsia="Times New Roman" w:hAnsiTheme="majorBidi" w:cstheme="majorBidi"/>
          <w:sz w:val="24"/>
          <w:szCs w:val="24"/>
        </w:rPr>
        <w:t>a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>) UV– visible absorption</w:t>
      </w:r>
      <w:r w:rsidR="00CE1C3D" w:rsidRPr="00CE1C3D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067AD7">
        <w:rPr>
          <w:rFonts w:asciiTheme="majorBidi" w:eastAsia="Times New Roman" w:hAnsiTheme="majorBidi" w:cstheme="majorBidi"/>
          <w:sz w:val="24"/>
          <w:szCs w:val="24"/>
        </w:rPr>
        <w:t xml:space="preserve">(―) </w:t>
      </w:r>
      <w:r w:rsidR="00CE1C3D">
        <w:rPr>
          <w:rFonts w:asciiTheme="majorBidi" w:eastAsia="Times New Roman" w:hAnsiTheme="majorBidi" w:cstheme="majorBidi"/>
          <w:sz w:val="24"/>
          <w:szCs w:val="24"/>
        </w:rPr>
        <w:t xml:space="preserve">and </w:t>
      </w:r>
      <w:r w:rsidR="00CE1C3D" w:rsidRPr="00A82430">
        <w:rPr>
          <w:rFonts w:asciiTheme="majorBidi" w:eastAsia="Times New Roman" w:hAnsiTheme="majorBidi" w:cstheme="majorBidi"/>
          <w:sz w:val="24"/>
          <w:szCs w:val="24"/>
        </w:rPr>
        <w:t>fluorescence spectra</w:t>
      </w:r>
      <w:r w:rsidR="00067AD7">
        <w:rPr>
          <w:rFonts w:asciiTheme="majorBidi" w:eastAsia="Times New Roman" w:hAnsiTheme="majorBidi" w:cstheme="majorBidi"/>
          <w:sz w:val="24"/>
          <w:szCs w:val="24"/>
        </w:rPr>
        <w:t xml:space="preserve"> (---)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>, (</w:t>
      </w:r>
      <w:r w:rsidR="00BA5AE5">
        <w:rPr>
          <w:rFonts w:asciiTheme="majorBidi" w:eastAsia="Times New Roman" w:hAnsiTheme="majorBidi" w:cstheme="majorBidi"/>
          <w:sz w:val="24"/>
          <w:szCs w:val="24"/>
        </w:rPr>
        <w:t>b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>) CL kinetic curves</w:t>
      </w:r>
      <w:r w:rsidR="00A52384">
        <w:rPr>
          <w:rFonts w:asciiTheme="majorBidi" w:eastAsia="Times New Roman" w:hAnsiTheme="majorBidi" w:cstheme="majorBidi"/>
          <w:sz w:val="24"/>
          <w:szCs w:val="24"/>
        </w:rPr>
        <w:t>,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CE1C3D" w:rsidRPr="00A82430">
        <w:rPr>
          <w:rFonts w:asciiTheme="majorBidi" w:eastAsia="Times New Roman" w:hAnsiTheme="majorBidi" w:cstheme="majorBidi"/>
          <w:sz w:val="24"/>
          <w:szCs w:val="24"/>
        </w:rPr>
        <w:t>(</w:t>
      </w:r>
      <w:r w:rsidR="00CE1C3D">
        <w:rPr>
          <w:rFonts w:asciiTheme="majorBidi" w:eastAsia="Times New Roman" w:hAnsiTheme="majorBidi" w:cstheme="majorBidi"/>
          <w:sz w:val="24"/>
          <w:szCs w:val="24"/>
        </w:rPr>
        <w:t>c</w:t>
      </w:r>
      <w:r w:rsidR="00CE1C3D" w:rsidRPr="00A82430">
        <w:rPr>
          <w:rFonts w:asciiTheme="majorBidi" w:eastAsia="Times New Roman" w:hAnsiTheme="majorBidi" w:cstheme="majorBidi"/>
          <w:sz w:val="24"/>
          <w:szCs w:val="24"/>
        </w:rPr>
        <w:t xml:space="preserve">) </w:t>
      </w:r>
      <w:proofErr w:type="spellStart"/>
      <w:r w:rsidR="00CE1C3D" w:rsidRPr="00A82430">
        <w:rPr>
          <w:rFonts w:asciiTheme="majorBidi" w:eastAsia="Times New Roman" w:hAnsiTheme="majorBidi" w:cstheme="majorBidi"/>
          <w:sz w:val="24"/>
          <w:szCs w:val="24"/>
        </w:rPr>
        <w:t>DLS</w:t>
      </w:r>
      <w:proofErr w:type="spellEnd"/>
      <w:r w:rsidR="00CE1C3D" w:rsidRPr="00A82430">
        <w:rPr>
          <w:rFonts w:asciiTheme="majorBidi" w:eastAsia="Times New Roman" w:hAnsiTheme="majorBidi" w:cstheme="majorBidi"/>
          <w:sz w:val="24"/>
          <w:szCs w:val="24"/>
        </w:rPr>
        <w:t xml:space="preserve"> diagrams and 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>(</w:t>
      </w:r>
      <w:r w:rsidR="00BA5AE5">
        <w:rPr>
          <w:rFonts w:asciiTheme="majorBidi" w:eastAsia="Times New Roman" w:hAnsiTheme="majorBidi" w:cstheme="majorBidi"/>
          <w:sz w:val="24"/>
          <w:szCs w:val="24"/>
        </w:rPr>
        <w:t>d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) TEM images of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CdTe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A82430">
        <w:rPr>
          <w:rFonts w:asciiTheme="majorBidi" w:eastAsia="Times New Roman" w:hAnsiTheme="majorBidi" w:cstheme="majorBidi"/>
          <w:sz w:val="24"/>
          <w:szCs w:val="24"/>
        </w:rPr>
        <w:t>QDs</w:t>
      </w:r>
      <w:proofErr w:type="spellEnd"/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quantum dots with maximum emission peak </w:t>
      </w:r>
      <w:r w:rsidR="00CE1C3D">
        <w:rPr>
          <w:rFonts w:asciiTheme="majorBidi" w:eastAsia="Times New Roman" w:hAnsiTheme="majorBidi" w:cstheme="majorBidi"/>
          <w:sz w:val="24"/>
          <w:szCs w:val="24"/>
        </w:rPr>
        <w:t xml:space="preserve">of 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>5</w:t>
      </w:r>
      <w:r w:rsidR="00AA7A42">
        <w:rPr>
          <w:rFonts w:asciiTheme="majorBidi" w:eastAsia="Times New Roman" w:hAnsiTheme="majorBidi" w:cstheme="majorBidi"/>
          <w:sz w:val="24"/>
          <w:szCs w:val="24"/>
        </w:rPr>
        <w:t>70</w:t>
      </w:r>
      <w:r w:rsidRPr="00A82430">
        <w:rPr>
          <w:rFonts w:asciiTheme="majorBidi" w:eastAsia="Times New Roman" w:hAnsiTheme="majorBidi" w:cstheme="majorBidi"/>
          <w:sz w:val="24"/>
          <w:szCs w:val="24"/>
        </w:rPr>
        <w:t xml:space="preserve"> nm </w:t>
      </w:r>
      <w:r w:rsidR="00AA7A42">
        <w:rPr>
          <w:rFonts w:asciiTheme="majorBidi" w:eastAsia="Times New Roman" w:hAnsiTheme="majorBidi" w:cstheme="majorBidi"/>
          <w:sz w:val="24"/>
          <w:szCs w:val="24"/>
        </w:rPr>
        <w:t xml:space="preserve">and </w:t>
      </w:r>
      <w:r w:rsidR="00AA7A42" w:rsidRPr="00A82430">
        <w:rPr>
          <w:rFonts w:asciiTheme="majorBidi" w:eastAsia="Times New Roman" w:hAnsiTheme="majorBidi" w:cstheme="majorBidi"/>
          <w:sz w:val="24"/>
          <w:szCs w:val="24"/>
        </w:rPr>
        <w:t>average size and concentration of</w:t>
      </w:r>
      <w:r w:rsidR="00A52384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AA7A42">
        <w:rPr>
          <w:rFonts w:asciiTheme="majorBidi" w:eastAsia="Times New Roman" w:hAnsiTheme="majorBidi" w:cstheme="majorBidi"/>
          <w:sz w:val="24"/>
          <w:szCs w:val="24"/>
        </w:rPr>
        <w:t>4</w:t>
      </w:r>
      <w:r w:rsidR="00AA7A42" w:rsidRPr="00A82430">
        <w:rPr>
          <w:rFonts w:asciiTheme="majorBidi" w:eastAsia="Times New Roman" w:hAnsiTheme="majorBidi" w:cstheme="majorBidi"/>
          <w:sz w:val="24"/>
          <w:szCs w:val="24"/>
        </w:rPr>
        <w:t xml:space="preserve"> nm and </w:t>
      </w:r>
      <w:r w:rsidR="00AA7A42" w:rsidRPr="0094607F">
        <w:rPr>
          <w:rFonts w:asciiTheme="majorBidi" w:eastAsia="Times New Roman" w:hAnsiTheme="majorBidi" w:cstheme="majorBidi"/>
          <w:sz w:val="24"/>
          <w:szCs w:val="24"/>
        </w:rPr>
        <w:t>4.0 × 10</w:t>
      </w:r>
      <w:r w:rsidR="00AA7A42" w:rsidRPr="00833ACD">
        <w:rPr>
          <w:rFonts w:asciiTheme="majorBidi" w:eastAsia="Times New Roman" w:hAnsiTheme="majorBidi" w:cstheme="majorBidi"/>
          <w:sz w:val="24"/>
          <w:szCs w:val="24"/>
          <w:vertAlign w:val="superscript"/>
        </w:rPr>
        <w:t>−6</w:t>
      </w:r>
      <w:r w:rsidR="00AA7A42" w:rsidRPr="00A82430">
        <w:rPr>
          <w:rFonts w:asciiTheme="majorBidi" w:eastAsia="Times New Roman" w:hAnsiTheme="majorBidi" w:cstheme="majorBidi"/>
          <w:sz w:val="24"/>
          <w:szCs w:val="24"/>
        </w:rPr>
        <w:t xml:space="preserve"> M, respectively</w:t>
      </w:r>
      <w:r w:rsidR="00AA7A42">
        <w:rPr>
          <w:rFonts w:asciiTheme="majorBidi" w:eastAsia="Times New Roman" w:hAnsiTheme="majorBidi" w:cstheme="majorBidi"/>
          <w:sz w:val="24"/>
          <w:szCs w:val="24"/>
        </w:rPr>
        <w:t>.</w:t>
      </w:r>
    </w:p>
    <w:p w14:paraId="203B3E42" w14:textId="660C3580" w:rsidR="00EE1FE7" w:rsidRDefault="00EE1FE7" w:rsidP="00304F47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6CE7368E" w14:textId="77777777" w:rsidR="00EE1FE7" w:rsidRPr="00EE1FE7" w:rsidRDefault="00EE1FE7" w:rsidP="00304F47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EE1FE7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Optimization of the </w:t>
      </w:r>
      <w:proofErr w:type="spellStart"/>
      <w:proofErr w:type="gramStart"/>
      <w:r w:rsidRPr="00EE1FE7">
        <w:rPr>
          <w:rFonts w:asciiTheme="majorBidi" w:eastAsia="Times New Roman" w:hAnsiTheme="majorBidi" w:cstheme="majorBidi"/>
          <w:b/>
          <w:bCs/>
          <w:sz w:val="24"/>
          <w:szCs w:val="24"/>
        </w:rPr>
        <w:t>CAT:VEGF</w:t>
      </w:r>
      <w:proofErr w:type="gramEnd"/>
      <w:r w:rsidRPr="00EE1FE7">
        <w:rPr>
          <w:rFonts w:asciiTheme="majorBidi" w:eastAsia="Times New Roman" w:hAnsiTheme="majorBidi" w:cstheme="majorBidi"/>
          <w:b/>
          <w:bCs/>
          <w:sz w:val="24"/>
          <w:szCs w:val="24"/>
        </w:rPr>
        <w:t>:dextran</w:t>
      </w:r>
      <w:proofErr w:type="spellEnd"/>
      <w:r w:rsidRPr="00EE1FE7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conjugates formation </w:t>
      </w:r>
    </w:p>
    <w:p w14:paraId="51F51524" w14:textId="4238D9FF" w:rsidR="00D66CED" w:rsidRDefault="00EE1FE7" w:rsidP="00D66CED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  <w:r>
        <w:rPr>
          <w:rFonts w:asciiTheme="majorBidi" w:eastAsia="Times New Roman" w:hAnsiTheme="majorBidi" w:cstheme="majorBidi"/>
          <w:sz w:val="24"/>
          <w:szCs w:val="24"/>
        </w:rPr>
        <w:t>After preparation of purified VEGF (</w:t>
      </w:r>
      <w:proofErr w:type="spellStart"/>
      <w:r>
        <w:rPr>
          <w:rFonts w:asciiTheme="majorBidi" w:eastAsia="Times New Roman" w:hAnsiTheme="majorBidi" w:cstheme="majorBidi"/>
          <w:sz w:val="24"/>
          <w:szCs w:val="24"/>
        </w:rPr>
        <w:t>Fig.S2a</w:t>
      </w:r>
      <w:proofErr w:type="spellEnd"/>
      <w:r>
        <w:rPr>
          <w:rFonts w:asciiTheme="majorBidi" w:eastAsia="Times New Roman" w:hAnsiTheme="majorBidi" w:cstheme="majorBidi"/>
          <w:sz w:val="24"/>
          <w:szCs w:val="24"/>
        </w:rPr>
        <w:t xml:space="preserve">), 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the oxidized dextran was mixed with different amounts of VEGF and CAT and incubated at 10 °C for </w:t>
      </w:r>
      <w:proofErr w:type="spellStart"/>
      <w:r w:rsidRPr="00EE1FE7">
        <w:rPr>
          <w:rFonts w:asciiTheme="majorBidi" w:eastAsia="Times New Roman" w:hAnsiTheme="majorBidi" w:cstheme="majorBidi"/>
          <w:sz w:val="24"/>
          <w:szCs w:val="24"/>
        </w:rPr>
        <w:t>72h</w:t>
      </w:r>
      <w:proofErr w:type="spellEnd"/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 in a gentle shaking </w:t>
      </w:r>
      <w:r>
        <w:rPr>
          <w:rFonts w:asciiTheme="majorBidi" w:eastAsia="Times New Roman" w:hAnsiTheme="majorBidi" w:cstheme="majorBidi"/>
          <w:sz w:val="24"/>
          <w:szCs w:val="24"/>
        </w:rPr>
        <w:t>t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o obtain the appropriate molar ratios of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</w:rPr>
        <w:t>CAT:</w:t>
      </w:r>
      <w:proofErr w:type="gramStart"/>
      <w:r>
        <w:rPr>
          <w:rFonts w:asciiTheme="majorBidi" w:eastAsia="Times New Roman" w:hAnsiTheme="majorBidi" w:cstheme="majorBidi"/>
          <w:sz w:val="24"/>
          <w:szCs w:val="24"/>
        </w:rPr>
        <w:t>VEGF:</w:t>
      </w:r>
      <w:r w:rsidRPr="00F96097">
        <w:rPr>
          <w:rFonts w:asciiTheme="majorBidi" w:eastAsia="Times New Roman" w:hAnsiTheme="majorBidi" w:cstheme="majorBidi"/>
          <w:sz w:val="24"/>
          <w:szCs w:val="24"/>
        </w:rPr>
        <w:t>dextran</w:t>
      </w:r>
      <w:proofErr w:type="spellEnd"/>
      <w:proofErr w:type="gramEnd"/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. Then, the formation of </w:t>
      </w:r>
      <w:proofErr w:type="spellStart"/>
      <w:proofErr w:type="gramStart"/>
      <w:r>
        <w:rPr>
          <w:rFonts w:asciiTheme="majorBidi" w:eastAsia="Times New Roman" w:hAnsiTheme="majorBidi" w:cstheme="majorBidi"/>
          <w:sz w:val="24"/>
          <w:szCs w:val="24"/>
        </w:rPr>
        <w:t>CAT:VEGF</w:t>
      </w:r>
      <w:proofErr w:type="gramEnd"/>
      <w:r>
        <w:rPr>
          <w:rFonts w:asciiTheme="majorBidi" w:eastAsia="Times New Roman" w:hAnsiTheme="majorBidi" w:cstheme="majorBidi"/>
          <w:sz w:val="24"/>
          <w:szCs w:val="24"/>
        </w:rPr>
        <w:t>:</w:t>
      </w:r>
      <w:r w:rsidRPr="00F96097">
        <w:rPr>
          <w:rFonts w:asciiTheme="majorBidi" w:eastAsia="Times New Roman" w:hAnsiTheme="majorBidi" w:cstheme="majorBidi"/>
          <w:sz w:val="24"/>
          <w:szCs w:val="24"/>
        </w:rPr>
        <w:t>dextran</w:t>
      </w:r>
      <w:proofErr w:type="spellEnd"/>
      <w:r w:rsidRPr="00F96097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F96097">
        <w:rPr>
          <w:rFonts w:asciiTheme="majorBidi" w:eastAsia="Times New Roman" w:hAnsiTheme="majorBidi" w:cstheme="majorBidi"/>
          <w:sz w:val="24"/>
          <w:szCs w:val="24"/>
        </w:rPr>
        <w:lastRenderedPageBreak/>
        <w:t>conjugates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 was checked by using </w:t>
      </w:r>
      <w:r w:rsidRPr="00F96097">
        <w:rPr>
          <w:rFonts w:asciiTheme="majorBidi" w:eastAsia="Times New Roman" w:hAnsiTheme="majorBidi" w:cstheme="majorBidi"/>
          <w:sz w:val="24"/>
          <w:szCs w:val="24"/>
        </w:rPr>
        <w:t>Native</w:t>
      </w:r>
      <w:r w:rsidRPr="0063265B">
        <w:rPr>
          <w:rFonts w:asciiTheme="majorBidi" w:eastAsia="Times New Roman" w:hAnsiTheme="majorBidi" w:cstheme="majorBidi"/>
          <w:sz w:val="24"/>
          <w:szCs w:val="24"/>
        </w:rPr>
        <w:t xml:space="preserve">–PAGE 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(Fig. </w:t>
      </w:r>
      <w:proofErr w:type="spellStart"/>
      <w:r w:rsidRPr="00EE1FE7">
        <w:rPr>
          <w:rFonts w:asciiTheme="majorBidi" w:eastAsia="Times New Roman" w:hAnsiTheme="majorBidi" w:cstheme="majorBidi"/>
          <w:sz w:val="24"/>
          <w:szCs w:val="24"/>
        </w:rPr>
        <w:t>S2b</w:t>
      </w:r>
      <w:proofErr w:type="spellEnd"/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). The results showed that CAT and VEGF was conjugated to the dextran </w:t>
      </w:r>
      <w:r w:rsidR="009148DA" w:rsidRPr="009148DA">
        <w:rPr>
          <w:rFonts w:asciiTheme="majorBidi" w:eastAsia="Times New Roman" w:hAnsiTheme="majorBidi" w:cstheme="majorBidi"/>
          <w:sz w:val="24"/>
          <w:szCs w:val="24"/>
        </w:rPr>
        <w:t xml:space="preserve">with better efficiency 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at molar ratios of </w:t>
      </w:r>
      <w:r w:rsidR="00601660" w:rsidRPr="00601660">
        <w:rPr>
          <w:rFonts w:asciiTheme="majorBidi" w:eastAsia="Times New Roman" w:hAnsiTheme="majorBidi" w:cstheme="majorBidi"/>
          <w:sz w:val="24"/>
          <w:szCs w:val="24"/>
        </w:rPr>
        <w:t>80:16:4</w:t>
      </w:r>
      <w:r w:rsidR="00601660">
        <w:rPr>
          <w:rFonts w:asciiTheme="majorBidi" w:eastAsia="Times New Roman" w:hAnsiTheme="majorBidi" w:cstheme="majorBidi"/>
          <w:sz w:val="24"/>
          <w:szCs w:val="24"/>
        </w:rPr>
        <w:t xml:space="preserve"> or </w:t>
      </w:r>
      <w:r w:rsidR="00601660" w:rsidRPr="00601660">
        <w:rPr>
          <w:rFonts w:asciiTheme="majorBidi" w:eastAsia="Times New Roman" w:hAnsiTheme="majorBidi" w:cstheme="majorBidi"/>
          <w:sz w:val="24"/>
          <w:szCs w:val="24"/>
        </w:rPr>
        <w:t>actually the same</w:t>
      </w:r>
      <w:r w:rsidR="00601660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>20:4:</w:t>
      </w:r>
      <w:r w:rsidR="009148DA">
        <w:rPr>
          <w:rFonts w:asciiTheme="majorBidi" w:eastAsia="Times New Roman" w:hAnsiTheme="majorBidi" w:cstheme="majorBidi"/>
          <w:sz w:val="24"/>
          <w:szCs w:val="24"/>
        </w:rPr>
        <w:t>1</w:t>
      </w:r>
      <w:r w:rsidRPr="00EE1FE7">
        <w:rPr>
          <w:rFonts w:asciiTheme="majorBidi" w:eastAsia="Times New Roman" w:hAnsiTheme="majorBidi" w:cstheme="majorBidi"/>
          <w:sz w:val="24"/>
          <w:szCs w:val="24"/>
        </w:rPr>
        <w:t xml:space="preserve">. </w:t>
      </w:r>
    </w:p>
    <w:p w14:paraId="64493444" w14:textId="0F2CC979" w:rsidR="00A874B6" w:rsidRDefault="00237334" w:rsidP="00561A0E">
      <w:pPr>
        <w:autoSpaceDE w:val="0"/>
        <w:autoSpaceDN w:val="0"/>
        <w:adjustRightInd w:val="0"/>
        <w:spacing w:before="240" w:after="0" w:line="480" w:lineRule="auto"/>
        <w:jc w:val="center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noProof/>
          <w:sz w:val="24"/>
          <w:szCs w:val="24"/>
        </w:rPr>
        <w:drawing>
          <wp:inline distT="0" distB="0" distL="0" distR="0" wp14:anchorId="19556CA1" wp14:editId="7CCAC208">
            <wp:extent cx="4107488" cy="327867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363" cy="3289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F9E3E0" w14:textId="278728B9" w:rsidR="00581189" w:rsidRDefault="00A874B6" w:rsidP="00EE1FE7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Fig.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</w:rPr>
        <w:t>S2</w:t>
      </w:r>
      <w:proofErr w:type="spellEnd"/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(a)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 SDS</w:t>
      </w:r>
      <w:bookmarkStart w:id="0" w:name="_Hlk40278040"/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–PAGE </w:t>
      </w:r>
      <w:bookmarkEnd w:id="0"/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analysis of </w:t>
      </w:r>
      <w:r w:rsidR="00BA5AE5">
        <w:rPr>
          <w:rFonts w:asciiTheme="majorBidi" w:eastAsia="Times New Roman" w:hAnsiTheme="majorBidi" w:cstheme="majorBidi"/>
          <w:sz w:val="24"/>
          <w:szCs w:val="24"/>
        </w:rPr>
        <w:t>purified VEGF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>on a 12.5% gel, stained with Coomassie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Brilliant Blue R250. </w:t>
      </w:r>
      <w:r w:rsidR="00BA5AE5" w:rsidRPr="00A874B6">
        <w:rPr>
          <w:rFonts w:asciiTheme="majorBidi" w:eastAsia="Times New Roman" w:hAnsiTheme="majorBidi" w:cstheme="majorBidi"/>
          <w:sz w:val="24"/>
          <w:szCs w:val="24"/>
        </w:rPr>
        <w:t>L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ane </w:t>
      </w:r>
      <w:r w:rsidR="00BA5AE5">
        <w:rPr>
          <w:rFonts w:asciiTheme="majorBidi" w:eastAsia="Times New Roman" w:hAnsiTheme="majorBidi" w:cstheme="majorBidi"/>
          <w:sz w:val="24"/>
          <w:szCs w:val="24"/>
        </w:rPr>
        <w:t>1</w:t>
      </w:r>
      <w:r w:rsidR="00BF150E">
        <w:rPr>
          <w:rFonts w:asciiTheme="majorBidi" w:eastAsia="Times New Roman" w:hAnsiTheme="majorBidi" w:cstheme="majorBidi"/>
          <w:sz w:val="24"/>
          <w:szCs w:val="24"/>
        </w:rPr>
        <w:t>: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 xml:space="preserve"> eluted fraction from the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BA5AE5" w:rsidRPr="00BA5AE5">
        <w:rPr>
          <w:rFonts w:asciiTheme="majorBidi" w:eastAsia="Times New Roman" w:hAnsiTheme="majorBidi" w:cstheme="majorBidi"/>
          <w:sz w:val="24"/>
          <w:szCs w:val="24"/>
        </w:rPr>
        <w:t xml:space="preserve">Ni-NTA </w:t>
      </w:r>
      <w:r w:rsidR="00BA5AE5">
        <w:rPr>
          <w:rFonts w:asciiTheme="majorBidi" w:eastAsia="Times New Roman" w:hAnsiTheme="majorBidi" w:cstheme="majorBidi"/>
          <w:sz w:val="24"/>
          <w:szCs w:val="24"/>
        </w:rPr>
        <w:t xml:space="preserve">agarose 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>column</w:t>
      </w:r>
      <w:r w:rsidR="00BF150E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BA5AE5">
        <w:rPr>
          <w:rFonts w:asciiTheme="majorBidi" w:eastAsia="Times New Roman" w:hAnsiTheme="majorBidi" w:cstheme="majorBidi"/>
          <w:sz w:val="24"/>
          <w:szCs w:val="24"/>
        </w:rPr>
        <w:t>and</w:t>
      </w:r>
      <w:r w:rsidR="00BA5AE5" w:rsidRPr="00BA5AE5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BF150E" w:rsidRPr="00A874B6">
        <w:rPr>
          <w:rFonts w:asciiTheme="majorBidi" w:eastAsia="Times New Roman" w:hAnsiTheme="majorBidi" w:cstheme="majorBidi"/>
          <w:sz w:val="24"/>
          <w:szCs w:val="24"/>
        </w:rPr>
        <w:t>l</w:t>
      </w:r>
      <w:r w:rsidR="00BA5AE5" w:rsidRPr="00A874B6">
        <w:rPr>
          <w:rFonts w:asciiTheme="majorBidi" w:eastAsia="Times New Roman" w:hAnsiTheme="majorBidi" w:cstheme="majorBidi"/>
          <w:sz w:val="24"/>
          <w:szCs w:val="24"/>
        </w:rPr>
        <w:t>ane 2</w:t>
      </w:r>
      <w:r w:rsidR="00BF150E">
        <w:rPr>
          <w:rFonts w:asciiTheme="majorBidi" w:eastAsia="Times New Roman" w:hAnsiTheme="majorBidi" w:cstheme="majorBidi"/>
          <w:sz w:val="24"/>
          <w:szCs w:val="24"/>
        </w:rPr>
        <w:t>:</w:t>
      </w:r>
      <w:r w:rsidR="00BA5AE5" w:rsidRPr="00A874B6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BF150E">
        <w:rPr>
          <w:rFonts w:asciiTheme="majorBidi" w:eastAsia="Times New Roman" w:hAnsiTheme="majorBidi" w:cstheme="majorBidi"/>
          <w:sz w:val="24"/>
          <w:szCs w:val="24"/>
        </w:rPr>
        <w:t xml:space="preserve">protein </w:t>
      </w:r>
      <w:r w:rsidR="00BA5AE5" w:rsidRPr="00A874B6">
        <w:rPr>
          <w:rFonts w:asciiTheme="majorBidi" w:eastAsia="Times New Roman" w:hAnsiTheme="majorBidi" w:cstheme="majorBidi"/>
          <w:sz w:val="24"/>
          <w:szCs w:val="24"/>
        </w:rPr>
        <w:t>molecular weight marker</w:t>
      </w:r>
      <w:r w:rsidRPr="00A874B6">
        <w:rPr>
          <w:rFonts w:asciiTheme="majorBidi" w:eastAsia="Times New Roman" w:hAnsiTheme="majorBidi" w:cstheme="majorBidi"/>
          <w:sz w:val="24"/>
          <w:szCs w:val="24"/>
        </w:rPr>
        <w:t>.</w:t>
      </w:r>
      <w:r w:rsidR="00CE1C3D">
        <w:rPr>
          <w:rFonts w:asciiTheme="majorBidi" w:eastAsia="Times New Roman" w:hAnsiTheme="majorBidi" w:cstheme="majorBidi"/>
          <w:sz w:val="24"/>
          <w:szCs w:val="24"/>
        </w:rPr>
        <w:t xml:space="preserve"> (b) </w:t>
      </w:r>
      <w:r w:rsidR="00F96097" w:rsidRPr="00F96097">
        <w:rPr>
          <w:rFonts w:asciiTheme="majorBidi" w:eastAsia="Times New Roman" w:hAnsiTheme="majorBidi" w:cstheme="majorBidi"/>
          <w:sz w:val="24"/>
          <w:szCs w:val="24"/>
        </w:rPr>
        <w:t>Native</w:t>
      </w:r>
      <w:r w:rsidR="0063265B" w:rsidRPr="0063265B">
        <w:rPr>
          <w:rFonts w:asciiTheme="majorBidi" w:eastAsia="Times New Roman" w:hAnsiTheme="majorBidi" w:cstheme="majorBidi"/>
          <w:sz w:val="24"/>
          <w:szCs w:val="24"/>
        </w:rPr>
        <w:t xml:space="preserve">–PAGE </w:t>
      </w:r>
      <w:r w:rsidR="00F96097" w:rsidRPr="00F96097">
        <w:rPr>
          <w:rFonts w:asciiTheme="majorBidi" w:eastAsia="Times New Roman" w:hAnsiTheme="majorBidi" w:cstheme="majorBidi"/>
          <w:sz w:val="24"/>
          <w:szCs w:val="24"/>
        </w:rPr>
        <w:t xml:space="preserve">of </w:t>
      </w:r>
      <w:proofErr w:type="spellStart"/>
      <w:proofErr w:type="gramStart"/>
      <w:r w:rsidR="006B256D">
        <w:rPr>
          <w:rFonts w:asciiTheme="majorBidi" w:eastAsia="Times New Roman" w:hAnsiTheme="majorBidi" w:cstheme="majorBidi"/>
          <w:sz w:val="24"/>
          <w:szCs w:val="24"/>
        </w:rPr>
        <w:t>CAT</w:t>
      </w:r>
      <w:r w:rsidR="00CE1C3D">
        <w:rPr>
          <w:rFonts w:asciiTheme="majorBidi" w:eastAsia="Times New Roman" w:hAnsiTheme="majorBidi" w:cstheme="majorBidi"/>
          <w:sz w:val="24"/>
          <w:szCs w:val="24"/>
        </w:rPr>
        <w:t>:VEGF</w:t>
      </w:r>
      <w:proofErr w:type="gramEnd"/>
      <w:r w:rsidR="00CE1C3D">
        <w:rPr>
          <w:rFonts w:asciiTheme="majorBidi" w:eastAsia="Times New Roman" w:hAnsiTheme="majorBidi" w:cstheme="majorBidi"/>
          <w:sz w:val="24"/>
          <w:szCs w:val="24"/>
        </w:rPr>
        <w:t>:</w:t>
      </w:r>
      <w:r w:rsidR="00CE1C3D" w:rsidRPr="00F96097">
        <w:rPr>
          <w:rFonts w:asciiTheme="majorBidi" w:eastAsia="Times New Roman" w:hAnsiTheme="majorBidi" w:cstheme="majorBidi"/>
          <w:sz w:val="24"/>
          <w:szCs w:val="24"/>
        </w:rPr>
        <w:t>dextran</w:t>
      </w:r>
      <w:proofErr w:type="spellEnd"/>
      <w:r w:rsidR="00CE1C3D" w:rsidRPr="00F96097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F96097" w:rsidRPr="00F96097">
        <w:rPr>
          <w:rFonts w:asciiTheme="majorBidi" w:eastAsia="Times New Roman" w:hAnsiTheme="majorBidi" w:cstheme="majorBidi"/>
          <w:sz w:val="24"/>
          <w:szCs w:val="24"/>
        </w:rPr>
        <w:t xml:space="preserve">conjugates formation. </w:t>
      </w:r>
      <w:r w:rsidR="00581189" w:rsidRPr="00581189">
        <w:rPr>
          <w:rFonts w:asciiTheme="majorBidi" w:eastAsia="Times New Roman" w:hAnsiTheme="majorBidi" w:cstheme="majorBidi"/>
          <w:sz w:val="24"/>
          <w:szCs w:val="24"/>
        </w:rPr>
        <w:t>The</w:t>
      </w:r>
      <w:r w:rsidR="006B256D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581189" w:rsidRPr="00581189">
        <w:rPr>
          <w:rFonts w:asciiTheme="majorBidi" w:eastAsia="Times New Roman" w:hAnsiTheme="majorBidi" w:cstheme="majorBidi"/>
          <w:sz w:val="24"/>
          <w:szCs w:val="24"/>
        </w:rPr>
        <w:t xml:space="preserve">ratios corresponding to each lane are shown at the top of the </w:t>
      </w:r>
      <w:r w:rsidR="00581189">
        <w:rPr>
          <w:rFonts w:asciiTheme="majorBidi" w:eastAsia="Times New Roman" w:hAnsiTheme="majorBidi" w:cstheme="majorBidi"/>
          <w:sz w:val="24"/>
          <w:szCs w:val="24"/>
        </w:rPr>
        <w:t>F</w:t>
      </w:r>
      <w:r w:rsidR="00581189" w:rsidRPr="00581189">
        <w:rPr>
          <w:rFonts w:asciiTheme="majorBidi" w:eastAsia="Times New Roman" w:hAnsiTheme="majorBidi" w:cstheme="majorBidi"/>
          <w:sz w:val="24"/>
          <w:szCs w:val="24"/>
        </w:rPr>
        <w:t>ig.</w:t>
      </w:r>
    </w:p>
    <w:p w14:paraId="0731FA9B" w14:textId="77777777" w:rsidR="006E6CF0" w:rsidRDefault="006E6CF0" w:rsidP="00EE1FE7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45382549" w14:textId="2367C508" w:rsidR="00163597" w:rsidRPr="006E6CF0" w:rsidRDefault="006E6CF0" w:rsidP="006E6CF0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41FC6">
        <w:rPr>
          <w:rFonts w:asciiTheme="majorBidi" w:hAnsiTheme="majorBidi" w:cstheme="majorBidi"/>
          <w:b/>
          <w:bCs/>
          <w:sz w:val="24"/>
          <w:szCs w:val="24"/>
        </w:rPr>
        <w:t xml:space="preserve">VEGF detection using </w:t>
      </w:r>
      <w:r w:rsidRPr="00A41FC6"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CL-ELISA</w:t>
      </w:r>
    </w:p>
    <w:p w14:paraId="7D5F3A86" w14:textId="4539CEFA" w:rsidR="00163597" w:rsidRPr="00F925AA" w:rsidRDefault="00163597" w:rsidP="00163597">
      <w:pPr>
        <w:spacing w:after="0" w:line="480" w:lineRule="auto"/>
        <w:jc w:val="both"/>
        <w:rPr>
          <w:rStyle w:val="fontstyle01"/>
          <w:rFonts w:asciiTheme="majorBidi" w:hAnsiTheme="majorBidi" w:cstheme="majorBidi"/>
          <w:color w:val="auto"/>
          <w:sz w:val="24"/>
          <w:szCs w:val="24"/>
        </w:rPr>
      </w:pPr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A binding saturation curve was calculated, and the binding parameters revealed </w:t>
      </w:r>
      <w:proofErr w:type="spellStart"/>
      <w:r w:rsidR="0036766B"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>Kd</w:t>
      </w:r>
      <w:proofErr w:type="spellEnd"/>
      <w:r w:rsidR="0036766B"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 </w:t>
      </w:r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of 195 </w:t>
      </w:r>
      <w:proofErr w:type="spellStart"/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>pg</w:t>
      </w:r>
      <w:proofErr w:type="spellEnd"/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 mL</w:t>
      </w:r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  <w:vertAlign w:val="superscript"/>
        </w:rPr>
        <w:t>-1</w:t>
      </w:r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 for the CAT-VEGF conjugate.</w:t>
      </w:r>
    </w:p>
    <w:p w14:paraId="19F78F0D" w14:textId="0BAD8A35" w:rsidR="0036766B" w:rsidRDefault="0036766B" w:rsidP="0036766B">
      <w:pPr>
        <w:spacing w:after="0" w:line="480" w:lineRule="auto"/>
        <w:jc w:val="center"/>
        <w:rPr>
          <w:rStyle w:val="fontstyle01"/>
          <w:rFonts w:asciiTheme="majorBidi" w:hAnsiTheme="majorBidi" w:cstheme="majorBidi"/>
          <w:color w:val="FF0000"/>
          <w:sz w:val="24"/>
          <w:szCs w:val="24"/>
        </w:rPr>
      </w:pPr>
      <w:r w:rsidRPr="0036766B">
        <w:rPr>
          <w:noProof/>
        </w:rPr>
        <w:lastRenderedPageBreak/>
        <w:drawing>
          <wp:inline distT="0" distB="0" distL="0" distR="0" wp14:anchorId="0552AC28" wp14:editId="0EA243EF">
            <wp:extent cx="3692106" cy="254029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106" cy="254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FDFAC" w14:textId="3BC41278" w:rsidR="0036766B" w:rsidRPr="00F925AA" w:rsidRDefault="00F925AA" w:rsidP="0036766B">
      <w:pPr>
        <w:spacing w:line="480" w:lineRule="auto"/>
        <w:jc w:val="both"/>
        <w:rPr>
          <w:rStyle w:val="fontstyle31"/>
          <w:rFonts w:asciiTheme="majorBidi" w:hAnsiTheme="majorBidi" w:cstheme="majorBidi"/>
          <w:color w:val="auto"/>
          <w:sz w:val="24"/>
          <w:szCs w:val="24"/>
        </w:rPr>
      </w:pPr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Fig. </w:t>
      </w:r>
      <w:proofErr w:type="spellStart"/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>S3</w:t>
      </w:r>
      <w:proofErr w:type="spellEnd"/>
      <w:r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 </w:t>
      </w:r>
      <w:r w:rsidR="0036766B"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A dose-response curve of </w:t>
      </w:r>
      <w:r w:rsidR="0036766B" w:rsidRPr="00F925AA">
        <w:rPr>
          <w:rFonts w:asciiTheme="majorBidi" w:eastAsia="PMingLiU" w:hAnsiTheme="majorBidi" w:cstheme="majorBidi"/>
          <w:noProof/>
          <w:sz w:val="24"/>
          <w:szCs w:val="24"/>
        </w:rPr>
        <w:t>CdTe QD/H</w:t>
      </w:r>
      <w:r w:rsidR="0036766B" w:rsidRPr="00F925AA">
        <w:rPr>
          <w:rFonts w:asciiTheme="majorBidi" w:eastAsia="PMingLiU" w:hAnsiTheme="majorBidi" w:cstheme="majorBidi"/>
          <w:noProof/>
          <w:sz w:val="24"/>
          <w:szCs w:val="24"/>
          <w:vertAlign w:val="subscript"/>
        </w:rPr>
        <w:t>2</w:t>
      </w:r>
      <w:r w:rsidR="0036766B" w:rsidRPr="00F925AA">
        <w:rPr>
          <w:rFonts w:asciiTheme="majorBidi" w:eastAsia="PMingLiU" w:hAnsiTheme="majorBidi" w:cstheme="majorBidi"/>
          <w:noProof/>
          <w:sz w:val="24"/>
          <w:szCs w:val="24"/>
        </w:rPr>
        <w:t>O</w:t>
      </w:r>
      <w:r w:rsidR="0036766B" w:rsidRPr="00F925AA">
        <w:rPr>
          <w:rFonts w:asciiTheme="majorBidi" w:eastAsia="PMingLiU" w:hAnsiTheme="majorBidi" w:cstheme="majorBidi"/>
          <w:noProof/>
          <w:sz w:val="24"/>
          <w:szCs w:val="24"/>
          <w:vertAlign w:val="subscript"/>
        </w:rPr>
        <w:t>2</w:t>
      </w:r>
      <w:r w:rsidR="0036766B" w:rsidRPr="00F925AA">
        <w:rPr>
          <w:rFonts w:asciiTheme="majorBidi" w:eastAsia="PMingLiU" w:hAnsiTheme="majorBidi" w:cstheme="majorBidi"/>
          <w:noProof/>
          <w:sz w:val="24"/>
          <w:szCs w:val="24"/>
        </w:rPr>
        <w:t xml:space="preserve"> CL</w:t>
      </w:r>
      <w:r w:rsidR="006E6CF0">
        <w:rPr>
          <w:rFonts w:asciiTheme="majorBidi" w:eastAsia="PMingLiU" w:hAnsiTheme="majorBidi" w:cstheme="majorBidi"/>
          <w:noProof/>
          <w:sz w:val="24"/>
          <w:szCs w:val="24"/>
        </w:rPr>
        <w:t>-ELISA</w:t>
      </w:r>
      <w:r w:rsidR="0036766B" w:rsidRPr="00F925AA">
        <w:rPr>
          <w:rFonts w:asciiTheme="majorBidi" w:eastAsia="PMingLiU" w:hAnsiTheme="majorBidi" w:cstheme="majorBidi"/>
          <w:noProof/>
          <w:sz w:val="24"/>
          <w:szCs w:val="24"/>
        </w:rPr>
        <w:t xml:space="preserve"> </w:t>
      </w:r>
      <w:r w:rsidR="0036766B" w:rsidRPr="00F925AA">
        <w:rPr>
          <w:rStyle w:val="fontstyle01"/>
          <w:rFonts w:asciiTheme="majorBidi" w:hAnsiTheme="majorBidi" w:cstheme="majorBidi"/>
          <w:color w:val="auto"/>
          <w:sz w:val="24"/>
          <w:szCs w:val="24"/>
        </w:rPr>
        <w:t xml:space="preserve">against different concentrations of VEGF. </w:t>
      </w:r>
      <w:r w:rsidR="0036766B" w:rsidRPr="00F925AA">
        <w:rPr>
          <w:rStyle w:val="fontstyle31"/>
          <w:rFonts w:asciiTheme="majorBidi" w:hAnsiTheme="majorBidi" w:cstheme="majorBidi"/>
          <w:color w:val="auto"/>
          <w:sz w:val="24"/>
          <w:szCs w:val="24"/>
        </w:rPr>
        <w:t>Qua</w:t>
      </w:r>
      <w:r>
        <w:rPr>
          <w:rStyle w:val="fontstyle31"/>
          <w:rFonts w:asciiTheme="majorBidi" w:hAnsiTheme="majorBidi" w:cstheme="majorBidi"/>
          <w:color w:val="auto"/>
          <w:sz w:val="24"/>
          <w:szCs w:val="24"/>
        </w:rPr>
        <w:t>nt</w:t>
      </w:r>
      <w:r w:rsidR="0036766B" w:rsidRPr="00F925AA">
        <w:rPr>
          <w:rStyle w:val="fontstyle31"/>
          <w:rFonts w:asciiTheme="majorBidi" w:hAnsiTheme="majorBidi" w:cstheme="majorBidi"/>
          <w:color w:val="auto"/>
          <w:sz w:val="24"/>
          <w:szCs w:val="24"/>
        </w:rPr>
        <w:t xml:space="preserve">itative estimation of </w:t>
      </w:r>
      <w:proofErr w:type="spellStart"/>
      <w:r w:rsidR="0036766B" w:rsidRPr="00F925AA">
        <w:rPr>
          <w:rStyle w:val="fontstyle31"/>
          <w:rFonts w:asciiTheme="majorBidi" w:hAnsiTheme="majorBidi" w:cstheme="majorBidi"/>
          <w:color w:val="auto"/>
          <w:sz w:val="24"/>
          <w:szCs w:val="24"/>
        </w:rPr>
        <w:t>Kd</w:t>
      </w:r>
      <w:proofErr w:type="spellEnd"/>
      <w:r w:rsidR="0036766B" w:rsidRPr="00F925AA">
        <w:rPr>
          <w:rStyle w:val="fontstyle31"/>
          <w:rFonts w:asciiTheme="majorBidi" w:hAnsiTheme="majorBidi" w:cstheme="majorBidi"/>
          <w:color w:val="auto"/>
          <w:sz w:val="24"/>
          <w:szCs w:val="24"/>
        </w:rPr>
        <w:t xml:space="preserve"> value was obtained by non-linear curve fitting (one site binding model) of the data using GraphPad Prism</w:t>
      </w:r>
    </w:p>
    <w:p w14:paraId="1F80880B" w14:textId="77777777" w:rsidR="0036766B" w:rsidRPr="00A82430" w:rsidRDefault="0036766B" w:rsidP="00163597">
      <w:pPr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</w:p>
    <w:p w14:paraId="6143B40D" w14:textId="77777777" w:rsidR="00163597" w:rsidRPr="00A874B6" w:rsidRDefault="00163597" w:rsidP="00EE1FE7">
      <w:pPr>
        <w:autoSpaceDE w:val="0"/>
        <w:autoSpaceDN w:val="0"/>
        <w:adjustRightInd w:val="0"/>
        <w:spacing w:before="240"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sectPr w:rsidR="00163597" w:rsidRPr="00A874B6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C79646" w14:textId="77777777" w:rsidR="002A5FA3" w:rsidRDefault="002A5FA3" w:rsidP="0005659B">
      <w:pPr>
        <w:spacing w:after="0" w:line="240" w:lineRule="auto"/>
      </w:pPr>
      <w:r>
        <w:separator/>
      </w:r>
    </w:p>
  </w:endnote>
  <w:endnote w:type="continuationSeparator" w:id="0">
    <w:p w14:paraId="0BDA9628" w14:textId="77777777" w:rsidR="002A5FA3" w:rsidRDefault="002A5FA3" w:rsidP="00056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1ef757c0">
    <w:altName w:val="Cambria"/>
    <w:panose1 w:val="00000000000000000000"/>
    <w:charset w:val="00"/>
    <w:family w:val="roman"/>
    <w:notTrueType/>
    <w:pitch w:val="default"/>
  </w:font>
  <w:font w:name="AdvOTb65e897d.B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078191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4D7256" w14:textId="77777777" w:rsidR="0005659B" w:rsidRDefault="000565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2B4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12842CF" w14:textId="77777777" w:rsidR="0005659B" w:rsidRDefault="000565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1C49C0" w14:textId="77777777" w:rsidR="002A5FA3" w:rsidRDefault="002A5FA3" w:rsidP="0005659B">
      <w:pPr>
        <w:spacing w:after="0" w:line="240" w:lineRule="auto"/>
      </w:pPr>
      <w:r>
        <w:separator/>
      </w:r>
    </w:p>
  </w:footnote>
  <w:footnote w:type="continuationSeparator" w:id="0">
    <w:p w14:paraId="09D71377" w14:textId="77777777" w:rsidR="002A5FA3" w:rsidRDefault="002A5FA3" w:rsidP="000565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67D"/>
    <w:rsid w:val="00016EF9"/>
    <w:rsid w:val="0005659B"/>
    <w:rsid w:val="00067A0C"/>
    <w:rsid w:val="00067AD7"/>
    <w:rsid w:val="000716FB"/>
    <w:rsid w:val="000776A6"/>
    <w:rsid w:val="000C5469"/>
    <w:rsid w:val="00114A3C"/>
    <w:rsid w:val="0012680B"/>
    <w:rsid w:val="00163597"/>
    <w:rsid w:val="00170E5F"/>
    <w:rsid w:val="00217C6D"/>
    <w:rsid w:val="00237334"/>
    <w:rsid w:val="00241C70"/>
    <w:rsid w:val="002779B2"/>
    <w:rsid w:val="00293FC9"/>
    <w:rsid w:val="002971FB"/>
    <w:rsid w:val="002A5FA3"/>
    <w:rsid w:val="002C2799"/>
    <w:rsid w:val="00304F47"/>
    <w:rsid w:val="00365AAA"/>
    <w:rsid w:val="0036766B"/>
    <w:rsid w:val="0037391A"/>
    <w:rsid w:val="00395062"/>
    <w:rsid w:val="00465525"/>
    <w:rsid w:val="00475613"/>
    <w:rsid w:val="004F3530"/>
    <w:rsid w:val="005113F2"/>
    <w:rsid w:val="00524199"/>
    <w:rsid w:val="005474B5"/>
    <w:rsid w:val="00561A0E"/>
    <w:rsid w:val="00581189"/>
    <w:rsid w:val="005B2253"/>
    <w:rsid w:val="00601660"/>
    <w:rsid w:val="0063265B"/>
    <w:rsid w:val="00652B2E"/>
    <w:rsid w:val="00653D83"/>
    <w:rsid w:val="00676468"/>
    <w:rsid w:val="00684502"/>
    <w:rsid w:val="00685C41"/>
    <w:rsid w:val="00693AB4"/>
    <w:rsid w:val="006B256D"/>
    <w:rsid w:val="006C4A17"/>
    <w:rsid w:val="006E6CF0"/>
    <w:rsid w:val="007670AC"/>
    <w:rsid w:val="00784F26"/>
    <w:rsid w:val="007B3C57"/>
    <w:rsid w:val="007C3C87"/>
    <w:rsid w:val="007D3155"/>
    <w:rsid w:val="007F133C"/>
    <w:rsid w:val="00833ACD"/>
    <w:rsid w:val="00874B24"/>
    <w:rsid w:val="008B6A58"/>
    <w:rsid w:val="009011B6"/>
    <w:rsid w:val="009148DA"/>
    <w:rsid w:val="00917318"/>
    <w:rsid w:val="00925A17"/>
    <w:rsid w:val="0094607F"/>
    <w:rsid w:val="0097548F"/>
    <w:rsid w:val="009946BB"/>
    <w:rsid w:val="009B1A0B"/>
    <w:rsid w:val="00A52384"/>
    <w:rsid w:val="00A61178"/>
    <w:rsid w:val="00A64109"/>
    <w:rsid w:val="00A82430"/>
    <w:rsid w:val="00A874B6"/>
    <w:rsid w:val="00AA7A42"/>
    <w:rsid w:val="00AD78FC"/>
    <w:rsid w:val="00B0001A"/>
    <w:rsid w:val="00B25DBA"/>
    <w:rsid w:val="00BA5AE5"/>
    <w:rsid w:val="00BE1787"/>
    <w:rsid w:val="00BF150E"/>
    <w:rsid w:val="00BF1876"/>
    <w:rsid w:val="00C2059E"/>
    <w:rsid w:val="00C25392"/>
    <w:rsid w:val="00C30F87"/>
    <w:rsid w:val="00C40205"/>
    <w:rsid w:val="00C45446"/>
    <w:rsid w:val="00C90ADC"/>
    <w:rsid w:val="00C930E9"/>
    <w:rsid w:val="00C93B42"/>
    <w:rsid w:val="00C97890"/>
    <w:rsid w:val="00CB295F"/>
    <w:rsid w:val="00CE1C3D"/>
    <w:rsid w:val="00D4542F"/>
    <w:rsid w:val="00D62B40"/>
    <w:rsid w:val="00D66CED"/>
    <w:rsid w:val="00D7155C"/>
    <w:rsid w:val="00DA42DE"/>
    <w:rsid w:val="00DF4775"/>
    <w:rsid w:val="00E4003F"/>
    <w:rsid w:val="00E6567D"/>
    <w:rsid w:val="00E757F8"/>
    <w:rsid w:val="00E846D6"/>
    <w:rsid w:val="00ED3655"/>
    <w:rsid w:val="00EE1FE7"/>
    <w:rsid w:val="00F43FD4"/>
    <w:rsid w:val="00F450E5"/>
    <w:rsid w:val="00F4578F"/>
    <w:rsid w:val="00F6428D"/>
    <w:rsid w:val="00F66ECA"/>
    <w:rsid w:val="00F925AA"/>
    <w:rsid w:val="00F96097"/>
    <w:rsid w:val="00FB01DA"/>
    <w:rsid w:val="00FD2C12"/>
    <w:rsid w:val="00FD72FA"/>
    <w:rsid w:val="00FE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CF085"/>
  <w15:docId w15:val="{0F889B9D-9BF5-4184-B4CC-B21B6817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4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B24"/>
    <w:rPr>
      <w:rFonts w:ascii="Tahoma" w:hAnsi="Tahoma" w:cs="Tahoma"/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CB295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56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659B"/>
  </w:style>
  <w:style w:type="paragraph" w:styleId="Footer">
    <w:name w:val="footer"/>
    <w:basedOn w:val="Normal"/>
    <w:link w:val="FooterChar"/>
    <w:uiPriority w:val="99"/>
    <w:unhideWhenUsed/>
    <w:rsid w:val="00056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59B"/>
  </w:style>
  <w:style w:type="character" w:customStyle="1" w:styleId="fontstyle01">
    <w:name w:val="fontstyle01"/>
    <w:basedOn w:val="DefaultParagraphFont"/>
    <w:rsid w:val="00685C41"/>
    <w:rPr>
      <w:rFonts w:ascii="AdvOT1ef757c0" w:hAnsi="AdvOT1ef757c0" w:hint="default"/>
      <w:b w:val="0"/>
      <w:bCs w:val="0"/>
      <w:i w:val="0"/>
      <w:iCs w:val="0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85C41"/>
    <w:rPr>
      <w:color w:val="0563C1" w:themeColor="hyperlink"/>
      <w:u w:val="single"/>
    </w:rPr>
  </w:style>
  <w:style w:type="character" w:customStyle="1" w:styleId="fontstyle31">
    <w:name w:val="fontstyle31"/>
    <w:basedOn w:val="DefaultParagraphFont"/>
    <w:rsid w:val="0036766B"/>
    <w:rPr>
      <w:rFonts w:ascii="AdvOTb65e897d.B" w:hAnsi="AdvOTb65e897d.B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ajedi_r@modares.ac.i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17A7D-D4ED-4F61-93A2-B40D2BC4F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fahimeh ghavami</dc:creator>
  <cp:keywords/>
  <dc:description/>
  <cp:lastModifiedBy>fahimeh ghavami</cp:lastModifiedBy>
  <cp:revision>2</cp:revision>
  <dcterms:created xsi:type="dcterms:W3CDTF">2020-06-01T18:49:00Z</dcterms:created>
  <dcterms:modified xsi:type="dcterms:W3CDTF">2020-06-01T18:49:00Z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0dbd57fa-5493-3134-9a24-162daf83e441</vt:lpwstr>
  </property>
  <property fmtid="{D5CDD505-2E9C-101B-9397-08002B2CF9AE}" pid="4" name="Mendeley Citation Style_1">
    <vt:lpwstr>http://www.zotero.org/styles/microchimica-acta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http://www.zotero.org/styles/analytica-chimica-acta</vt:lpwstr>
  </property>
  <property fmtid="{D5CDD505-2E9C-101B-9397-08002B2CF9AE}" pid="10" name="Mendeley Recent Style Name 2_1">
    <vt:lpwstr>Analytica Chimica Acta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http://www.zotero.org/styles/microchimica-acta</vt:lpwstr>
  </property>
  <property fmtid="{D5CDD505-2E9C-101B-9397-08002B2CF9AE}" pid="18" name="Mendeley Recent Style Name 6_1">
    <vt:lpwstr>Microchimica Acta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7th edition</vt:lpwstr>
  </property>
  <property fmtid="{D5CDD505-2E9C-101B-9397-08002B2CF9AE}" pid="23" name="Mendeley Recent Style Id 9_1">
    <vt:lpwstr>http://www.zotero.org/styles/talanta</vt:lpwstr>
  </property>
  <property fmtid="{D5CDD505-2E9C-101B-9397-08002B2CF9AE}" pid="24" name="Mendeley Recent Style Name 9_1">
    <vt:lpwstr>Talanta</vt:lpwstr>
  </property>
</Properties>
</file>