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EF74B" w14:textId="197DCAF8" w:rsidR="00FE08ED" w:rsidRDefault="00FA73F7">
      <w:r>
        <w:t>Supplementary material 2: Trial funding sources</w:t>
      </w:r>
      <w:r w:rsidR="008A47EA">
        <w:t xml:space="preserve"> and nested studies</w:t>
      </w:r>
    </w:p>
    <w:p w14:paraId="6C1FFB70" w14:textId="21FDDC65" w:rsidR="00FA73F7" w:rsidRDefault="00FA73F7"/>
    <w:p w14:paraId="662E32E9" w14:textId="168607D2" w:rsidR="008473A3" w:rsidRDefault="00FA73F7" w:rsidP="008473A3">
      <w:pPr>
        <w:spacing w:before="240" w:after="240" w:line="480" w:lineRule="auto"/>
        <w:jc w:val="both"/>
      </w:pPr>
      <w:r>
        <w:t>Funding sources for the trials, where reported, was reviewed. In 28% of papers these data were not available. Overall, 38% of trials were government funded, 9% were funded by non-governmental organis</w:t>
      </w:r>
      <w:r w:rsidRPr="00961139">
        <w:t>ation</w:t>
      </w:r>
      <w:r>
        <w:t xml:space="preserve">s (NGO), 7% industry or charity-funded, 6% academic funded and 3% had no specific funding source. When reviewed by country, government funding was the main source in all but the Middle East or multi-country studies, accounting for 57% of the funding in North America, compared with only 19% in Africa and 2% in the Middle East. Forty-four per cent of multi-country studies were funded by industry. Charitable funding ranged from 17% in Africa to 0% in the Middle East. </w:t>
      </w:r>
    </w:p>
    <w:p w14:paraId="3C940B65" w14:textId="77777777" w:rsidR="008473A3" w:rsidRDefault="008473A3" w:rsidP="008473A3">
      <w:pPr>
        <w:pStyle w:val="Heading3"/>
      </w:pPr>
    </w:p>
    <w:p w14:paraId="674E48B9" w14:textId="77777777" w:rsidR="008473A3" w:rsidRDefault="008473A3">
      <w:pPr>
        <w:rPr>
          <w:rFonts w:asciiTheme="majorHAnsi" w:eastAsia="Arial" w:hAnsiTheme="majorHAnsi" w:cs="Arial"/>
          <w:b/>
          <w:szCs w:val="28"/>
          <w:lang w:eastAsia="en-GB"/>
        </w:rPr>
      </w:pPr>
      <w:r>
        <w:br w:type="page"/>
      </w:r>
    </w:p>
    <w:p w14:paraId="4F1A4147" w14:textId="2EE6CCDF" w:rsidR="008473A3" w:rsidRDefault="008473A3" w:rsidP="008473A3">
      <w:pPr>
        <w:pStyle w:val="Heading3"/>
      </w:pPr>
      <w:r>
        <w:lastRenderedPageBreak/>
        <w:t>Nested studies within trials</w:t>
      </w:r>
    </w:p>
    <w:p w14:paraId="3D472C3E" w14:textId="77777777" w:rsidR="008473A3" w:rsidRDefault="008473A3" w:rsidP="008473A3">
      <w:pPr>
        <w:spacing w:line="480" w:lineRule="auto"/>
        <w:jc w:val="both"/>
      </w:pPr>
      <w:r>
        <w:t>Nested studies within trials were identified separately. An overview of key features of these studies is provided in Table 5. The top 3 interventions tested in these nested studies were biomarkers (18%), pharmacological agents (18%) and imaging (14%).</w:t>
      </w:r>
    </w:p>
    <w:p w14:paraId="6E790C21" w14:textId="6064E4E6" w:rsidR="008473A3" w:rsidRPr="00EA6FFC" w:rsidRDefault="008473A3" w:rsidP="008473A3">
      <w:pPr>
        <w:pStyle w:val="Caption"/>
        <w:keepNext/>
        <w:rPr>
          <w:i w:val="0"/>
          <w:color w:val="auto"/>
        </w:rPr>
      </w:pPr>
      <w:r w:rsidRPr="00EA6FFC">
        <w:rPr>
          <w:i w:val="0"/>
          <w:color w:val="auto"/>
        </w:rPr>
        <w:t xml:space="preserve">Table </w:t>
      </w:r>
      <w:r w:rsidR="000F2239">
        <w:rPr>
          <w:i w:val="0"/>
          <w:color w:val="auto"/>
        </w:rPr>
        <w:t>1</w:t>
      </w:r>
      <w:r w:rsidRPr="00EA6FFC">
        <w:rPr>
          <w:i w:val="0"/>
          <w:color w:val="auto"/>
        </w:rPr>
        <w:t>: Summary of nested studies within screening, prevention and early detection trials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68"/>
        <w:gridCol w:w="1027"/>
        <w:gridCol w:w="1121"/>
      </w:tblGrid>
      <w:tr w:rsidR="008473A3" w:rsidRPr="000E3DBB" w14:paraId="33D43DCD" w14:textId="77777777" w:rsidTr="009475D0">
        <w:trPr>
          <w:trHeight w:val="610"/>
        </w:trPr>
        <w:tc>
          <w:tcPr>
            <w:tcW w:w="6871" w:type="dxa"/>
            <w:tcBorders>
              <w:bottom w:val="single" w:sz="4" w:space="0" w:color="auto"/>
            </w:tcBorders>
            <w:noWrap/>
            <w:hideMark/>
          </w:tcPr>
          <w:p w14:paraId="34D34460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27F2F06B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noWrap/>
            <w:hideMark/>
          </w:tcPr>
          <w:p w14:paraId="2DFDEEAC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Number</w:t>
            </w:r>
          </w:p>
          <w:p w14:paraId="01BA0000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N= 623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noWrap/>
            <w:hideMark/>
          </w:tcPr>
          <w:p w14:paraId="579EA65D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Proportion</w:t>
            </w:r>
          </w:p>
          <w:p w14:paraId="7C6117A0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%</w:t>
            </w:r>
          </w:p>
        </w:tc>
      </w:tr>
      <w:tr w:rsidR="008473A3" w:rsidRPr="000E3DBB" w14:paraId="7586EA9C" w14:textId="77777777" w:rsidTr="009475D0">
        <w:trPr>
          <w:trHeight w:val="300"/>
        </w:trPr>
        <w:tc>
          <w:tcPr>
            <w:tcW w:w="6871" w:type="dxa"/>
            <w:tcBorders>
              <w:bottom w:val="nil"/>
            </w:tcBorders>
            <w:shd w:val="clear" w:color="auto" w:fill="D9D9D9" w:themeFill="background1" w:themeFillShade="D9"/>
            <w:noWrap/>
            <w:hideMark/>
          </w:tcPr>
          <w:p w14:paraId="7053B1DE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027" w:type="dxa"/>
            <w:tcBorders>
              <w:bottom w:val="nil"/>
            </w:tcBorders>
            <w:shd w:val="clear" w:color="auto" w:fill="D9D9D9" w:themeFill="background1" w:themeFillShade="D9"/>
            <w:noWrap/>
            <w:hideMark/>
          </w:tcPr>
          <w:p w14:paraId="55DB8E07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nil"/>
            </w:tcBorders>
            <w:shd w:val="clear" w:color="auto" w:fill="D9D9D9" w:themeFill="background1" w:themeFillShade="D9"/>
            <w:noWrap/>
            <w:hideMark/>
          </w:tcPr>
          <w:p w14:paraId="62E49076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473A3" w:rsidRPr="000E3DBB" w14:paraId="5C2B888C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53E36A84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Screening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567A2FEE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354</w:t>
            </w:r>
          </w:p>
        </w:tc>
        <w:tc>
          <w:tcPr>
            <w:tcW w:w="112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288D9F78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57%</w:t>
            </w:r>
          </w:p>
        </w:tc>
      </w:tr>
      <w:tr w:rsidR="008473A3" w:rsidRPr="000E3DBB" w14:paraId="1A6E1018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0D22476B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Prevention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771A7E34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198</w:t>
            </w:r>
          </w:p>
        </w:tc>
        <w:tc>
          <w:tcPr>
            <w:tcW w:w="112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4E6882C8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32%</w:t>
            </w:r>
          </w:p>
        </w:tc>
      </w:tr>
      <w:tr w:rsidR="008473A3" w:rsidRPr="000E3DBB" w14:paraId="70BBFD17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0B6C2F9B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Early diagnosis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506AFA57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48</w:t>
            </w:r>
          </w:p>
        </w:tc>
        <w:tc>
          <w:tcPr>
            <w:tcW w:w="112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3312BBD1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8%</w:t>
            </w:r>
          </w:p>
        </w:tc>
      </w:tr>
      <w:tr w:rsidR="008473A3" w:rsidRPr="000E3DBB" w14:paraId="0EED9252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6E95616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Mix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ed</w:t>
            </w:r>
          </w:p>
        </w:tc>
        <w:tc>
          <w:tcPr>
            <w:tcW w:w="102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0987836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23</w:t>
            </w:r>
          </w:p>
        </w:tc>
        <w:tc>
          <w:tcPr>
            <w:tcW w:w="112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44890F3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4%</w:t>
            </w:r>
          </w:p>
        </w:tc>
      </w:tr>
      <w:tr w:rsidR="008473A3" w:rsidRPr="000E3DBB" w14:paraId="2A8E1C56" w14:textId="77777777" w:rsidTr="009475D0">
        <w:trPr>
          <w:trHeight w:val="300"/>
        </w:trPr>
        <w:tc>
          <w:tcPr>
            <w:tcW w:w="6871" w:type="dxa"/>
            <w:tcBorders>
              <w:bottom w:val="nil"/>
            </w:tcBorders>
            <w:noWrap/>
            <w:hideMark/>
          </w:tcPr>
          <w:p w14:paraId="4B1317AC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Cancer type (top 5)</w:t>
            </w:r>
          </w:p>
        </w:tc>
        <w:tc>
          <w:tcPr>
            <w:tcW w:w="1027" w:type="dxa"/>
            <w:tcBorders>
              <w:bottom w:val="nil"/>
            </w:tcBorders>
            <w:noWrap/>
            <w:hideMark/>
          </w:tcPr>
          <w:p w14:paraId="3680110E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nil"/>
            </w:tcBorders>
            <w:noWrap/>
            <w:hideMark/>
          </w:tcPr>
          <w:p w14:paraId="6A1B0B51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473A3" w:rsidRPr="000E3DBB" w14:paraId="1E26B025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nil"/>
            </w:tcBorders>
            <w:noWrap/>
            <w:hideMark/>
          </w:tcPr>
          <w:p w14:paraId="28E1D706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Urology</w:t>
            </w:r>
          </w:p>
        </w:tc>
        <w:tc>
          <w:tcPr>
            <w:tcW w:w="1027" w:type="dxa"/>
            <w:tcBorders>
              <w:top w:val="nil"/>
              <w:bottom w:val="nil"/>
            </w:tcBorders>
            <w:noWrap/>
            <w:hideMark/>
          </w:tcPr>
          <w:p w14:paraId="7B02DB77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140</w:t>
            </w:r>
          </w:p>
        </w:tc>
        <w:tc>
          <w:tcPr>
            <w:tcW w:w="1121" w:type="dxa"/>
            <w:tcBorders>
              <w:top w:val="nil"/>
              <w:bottom w:val="nil"/>
            </w:tcBorders>
            <w:noWrap/>
            <w:hideMark/>
          </w:tcPr>
          <w:p w14:paraId="37AA5FB7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22%</w:t>
            </w:r>
          </w:p>
        </w:tc>
      </w:tr>
      <w:tr w:rsidR="008473A3" w:rsidRPr="000E3DBB" w14:paraId="2923FCAA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nil"/>
            </w:tcBorders>
            <w:noWrap/>
            <w:hideMark/>
          </w:tcPr>
          <w:p w14:paraId="4D404BEA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Colorectal</w:t>
            </w:r>
          </w:p>
        </w:tc>
        <w:tc>
          <w:tcPr>
            <w:tcW w:w="1027" w:type="dxa"/>
            <w:tcBorders>
              <w:top w:val="nil"/>
              <w:bottom w:val="nil"/>
            </w:tcBorders>
            <w:noWrap/>
            <w:hideMark/>
          </w:tcPr>
          <w:p w14:paraId="36AD2CFF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121</w:t>
            </w:r>
          </w:p>
        </w:tc>
        <w:tc>
          <w:tcPr>
            <w:tcW w:w="1121" w:type="dxa"/>
            <w:tcBorders>
              <w:top w:val="nil"/>
              <w:bottom w:val="nil"/>
            </w:tcBorders>
            <w:noWrap/>
            <w:hideMark/>
          </w:tcPr>
          <w:p w14:paraId="2CA3F613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19%</w:t>
            </w:r>
          </w:p>
        </w:tc>
      </w:tr>
      <w:tr w:rsidR="008473A3" w:rsidRPr="000E3DBB" w14:paraId="0FE0F4ED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nil"/>
            </w:tcBorders>
            <w:noWrap/>
            <w:hideMark/>
          </w:tcPr>
          <w:p w14:paraId="64A0BD5A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Lung</w:t>
            </w:r>
          </w:p>
        </w:tc>
        <w:tc>
          <w:tcPr>
            <w:tcW w:w="1027" w:type="dxa"/>
            <w:tcBorders>
              <w:top w:val="nil"/>
              <w:bottom w:val="nil"/>
            </w:tcBorders>
            <w:noWrap/>
            <w:hideMark/>
          </w:tcPr>
          <w:p w14:paraId="058D1D5C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117</w:t>
            </w:r>
          </w:p>
        </w:tc>
        <w:tc>
          <w:tcPr>
            <w:tcW w:w="1121" w:type="dxa"/>
            <w:tcBorders>
              <w:top w:val="nil"/>
              <w:bottom w:val="nil"/>
            </w:tcBorders>
            <w:noWrap/>
            <w:hideMark/>
          </w:tcPr>
          <w:p w14:paraId="11AC08F9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19%</w:t>
            </w:r>
          </w:p>
        </w:tc>
      </w:tr>
      <w:tr w:rsidR="008473A3" w:rsidRPr="000E3DBB" w14:paraId="0EA70A1A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nil"/>
            </w:tcBorders>
            <w:noWrap/>
            <w:hideMark/>
          </w:tcPr>
          <w:p w14:paraId="4420F1FA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Gynae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cological</w:t>
            </w:r>
          </w:p>
        </w:tc>
        <w:tc>
          <w:tcPr>
            <w:tcW w:w="1027" w:type="dxa"/>
            <w:tcBorders>
              <w:top w:val="nil"/>
              <w:bottom w:val="nil"/>
            </w:tcBorders>
            <w:noWrap/>
            <w:hideMark/>
          </w:tcPr>
          <w:p w14:paraId="3EEFE168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105</w:t>
            </w:r>
          </w:p>
        </w:tc>
        <w:tc>
          <w:tcPr>
            <w:tcW w:w="1121" w:type="dxa"/>
            <w:tcBorders>
              <w:top w:val="nil"/>
              <w:bottom w:val="nil"/>
            </w:tcBorders>
            <w:noWrap/>
            <w:hideMark/>
          </w:tcPr>
          <w:p w14:paraId="13A7279A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17%</w:t>
            </w:r>
          </w:p>
        </w:tc>
      </w:tr>
      <w:tr w:rsidR="008473A3" w:rsidRPr="000E3DBB" w14:paraId="1433857A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93B420A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Breast</w:t>
            </w:r>
          </w:p>
        </w:tc>
        <w:tc>
          <w:tcPr>
            <w:tcW w:w="102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161551F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61</w:t>
            </w:r>
          </w:p>
        </w:tc>
        <w:tc>
          <w:tcPr>
            <w:tcW w:w="112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E0B57C8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10%</w:t>
            </w:r>
          </w:p>
        </w:tc>
      </w:tr>
      <w:tr w:rsidR="008473A3" w:rsidRPr="000E3DBB" w14:paraId="731852A9" w14:textId="77777777" w:rsidTr="009475D0">
        <w:trPr>
          <w:trHeight w:val="300"/>
        </w:trPr>
        <w:tc>
          <w:tcPr>
            <w:tcW w:w="6871" w:type="dxa"/>
            <w:tcBorders>
              <w:bottom w:val="nil"/>
            </w:tcBorders>
            <w:shd w:val="clear" w:color="auto" w:fill="D9D9D9" w:themeFill="background1" w:themeFillShade="D9"/>
            <w:noWrap/>
            <w:hideMark/>
          </w:tcPr>
          <w:p w14:paraId="17944981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Trials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with studies nested within</w:t>
            </w:r>
            <w:r w:rsidRPr="000E3DB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(top 6)</w:t>
            </w:r>
          </w:p>
        </w:tc>
        <w:tc>
          <w:tcPr>
            <w:tcW w:w="1027" w:type="dxa"/>
            <w:tcBorders>
              <w:bottom w:val="nil"/>
            </w:tcBorders>
            <w:shd w:val="clear" w:color="auto" w:fill="D9D9D9" w:themeFill="background1" w:themeFillShade="D9"/>
            <w:noWrap/>
            <w:hideMark/>
          </w:tcPr>
          <w:p w14:paraId="2ED48579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nil"/>
            </w:tcBorders>
            <w:shd w:val="clear" w:color="auto" w:fill="D9D9D9" w:themeFill="background1" w:themeFillShade="D9"/>
            <w:noWrap/>
            <w:hideMark/>
          </w:tcPr>
          <w:p w14:paraId="2A1141DC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473A3" w:rsidRPr="000E3DBB" w14:paraId="26621F6B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07281103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Prostate, Lung, Colorectal and Ovarian (PLCO) Cancer Screening Trial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27215E0F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98</w:t>
            </w:r>
          </w:p>
        </w:tc>
        <w:tc>
          <w:tcPr>
            <w:tcW w:w="112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4622213E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16%</w:t>
            </w:r>
          </w:p>
        </w:tc>
      </w:tr>
      <w:tr w:rsidR="008473A3" w:rsidRPr="000E3DBB" w14:paraId="57A8172E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1D5C01D2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The National Lung Screening Trial (NLST)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6DBEA6BC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37</w:t>
            </w:r>
          </w:p>
        </w:tc>
        <w:tc>
          <w:tcPr>
            <w:tcW w:w="112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460F6525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6%</w:t>
            </w:r>
          </w:p>
        </w:tc>
      </w:tr>
      <w:tr w:rsidR="008473A3" w:rsidRPr="000E3DBB" w14:paraId="4E0F8FE8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668E1846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The European Randomized Study of Screening for Prostate Cancer (ERSPC)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74462A17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32</w:t>
            </w:r>
          </w:p>
        </w:tc>
        <w:tc>
          <w:tcPr>
            <w:tcW w:w="112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42C9AD71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5%</w:t>
            </w:r>
          </w:p>
        </w:tc>
      </w:tr>
      <w:tr w:rsidR="008473A3" w:rsidRPr="000E3DBB" w14:paraId="7CF04D47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4610988A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Prostate Cancer Prevention Trial (PCPT)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05B8B722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27</w:t>
            </w:r>
          </w:p>
        </w:tc>
        <w:tc>
          <w:tcPr>
            <w:tcW w:w="112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1A565464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4%</w:t>
            </w:r>
          </w:p>
        </w:tc>
      </w:tr>
      <w:tr w:rsidR="008473A3" w:rsidRPr="000E3DBB" w14:paraId="2031591F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29D18B8A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Dutch-Belgian Lung Cancer Screening trial (NELSON)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66E2F297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24</w:t>
            </w:r>
          </w:p>
        </w:tc>
        <w:tc>
          <w:tcPr>
            <w:tcW w:w="1121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hideMark/>
          </w:tcPr>
          <w:p w14:paraId="2B81734F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4%</w:t>
            </w:r>
          </w:p>
        </w:tc>
      </w:tr>
      <w:tr w:rsidR="008473A3" w:rsidRPr="000E3DBB" w14:paraId="72F9DC8C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034AF50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Alpha-Tocopherol, Beta-Carotene Cancer Prevention (ATBC) Study</w:t>
            </w:r>
          </w:p>
        </w:tc>
        <w:tc>
          <w:tcPr>
            <w:tcW w:w="102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0365A9E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18</w:t>
            </w:r>
          </w:p>
        </w:tc>
        <w:tc>
          <w:tcPr>
            <w:tcW w:w="112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03F2EF8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3%</w:t>
            </w:r>
          </w:p>
        </w:tc>
      </w:tr>
      <w:tr w:rsidR="008473A3" w:rsidRPr="000E3DBB" w14:paraId="0BABD02B" w14:textId="77777777" w:rsidTr="009475D0">
        <w:trPr>
          <w:trHeight w:val="300"/>
        </w:trPr>
        <w:tc>
          <w:tcPr>
            <w:tcW w:w="6871" w:type="dxa"/>
            <w:tcBorders>
              <w:bottom w:val="nil"/>
            </w:tcBorders>
            <w:noWrap/>
            <w:hideMark/>
          </w:tcPr>
          <w:p w14:paraId="768EDBBF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Geographic area (top 5)</w:t>
            </w:r>
          </w:p>
        </w:tc>
        <w:tc>
          <w:tcPr>
            <w:tcW w:w="1027" w:type="dxa"/>
            <w:tcBorders>
              <w:bottom w:val="nil"/>
            </w:tcBorders>
            <w:noWrap/>
            <w:hideMark/>
          </w:tcPr>
          <w:p w14:paraId="61911603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nil"/>
            </w:tcBorders>
            <w:noWrap/>
            <w:hideMark/>
          </w:tcPr>
          <w:p w14:paraId="16065306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473A3" w:rsidRPr="000E3DBB" w14:paraId="471E5550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nil"/>
            </w:tcBorders>
            <w:noWrap/>
            <w:hideMark/>
          </w:tcPr>
          <w:p w14:paraId="595DC3EE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North America</w:t>
            </w:r>
          </w:p>
        </w:tc>
        <w:tc>
          <w:tcPr>
            <w:tcW w:w="1027" w:type="dxa"/>
            <w:tcBorders>
              <w:top w:val="nil"/>
              <w:bottom w:val="nil"/>
            </w:tcBorders>
            <w:noWrap/>
            <w:hideMark/>
          </w:tcPr>
          <w:p w14:paraId="7D327825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331</w:t>
            </w:r>
          </w:p>
        </w:tc>
        <w:tc>
          <w:tcPr>
            <w:tcW w:w="1121" w:type="dxa"/>
            <w:tcBorders>
              <w:top w:val="nil"/>
              <w:bottom w:val="nil"/>
            </w:tcBorders>
            <w:noWrap/>
            <w:hideMark/>
          </w:tcPr>
          <w:p w14:paraId="143818DB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53%</w:t>
            </w:r>
          </w:p>
        </w:tc>
      </w:tr>
      <w:tr w:rsidR="008473A3" w:rsidRPr="000E3DBB" w14:paraId="3BC63579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nil"/>
            </w:tcBorders>
            <w:noWrap/>
            <w:hideMark/>
          </w:tcPr>
          <w:p w14:paraId="71BBAA09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Europe</w:t>
            </w:r>
          </w:p>
        </w:tc>
        <w:tc>
          <w:tcPr>
            <w:tcW w:w="1027" w:type="dxa"/>
            <w:tcBorders>
              <w:top w:val="nil"/>
              <w:bottom w:val="nil"/>
            </w:tcBorders>
            <w:noWrap/>
            <w:hideMark/>
          </w:tcPr>
          <w:p w14:paraId="47772284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221</w:t>
            </w:r>
          </w:p>
        </w:tc>
        <w:tc>
          <w:tcPr>
            <w:tcW w:w="1121" w:type="dxa"/>
            <w:tcBorders>
              <w:top w:val="nil"/>
              <w:bottom w:val="nil"/>
            </w:tcBorders>
            <w:noWrap/>
            <w:hideMark/>
          </w:tcPr>
          <w:p w14:paraId="4073F68C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35%</w:t>
            </w:r>
          </w:p>
        </w:tc>
      </w:tr>
      <w:tr w:rsidR="008473A3" w:rsidRPr="000E3DBB" w14:paraId="18A8D87D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nil"/>
            </w:tcBorders>
            <w:noWrap/>
            <w:hideMark/>
          </w:tcPr>
          <w:p w14:paraId="3DFE29EA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Multi-country</w:t>
            </w:r>
          </w:p>
        </w:tc>
        <w:tc>
          <w:tcPr>
            <w:tcW w:w="1027" w:type="dxa"/>
            <w:tcBorders>
              <w:top w:val="nil"/>
              <w:bottom w:val="nil"/>
            </w:tcBorders>
            <w:noWrap/>
            <w:hideMark/>
          </w:tcPr>
          <w:p w14:paraId="5A9AD05F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27</w:t>
            </w:r>
          </w:p>
        </w:tc>
        <w:tc>
          <w:tcPr>
            <w:tcW w:w="1121" w:type="dxa"/>
            <w:tcBorders>
              <w:top w:val="nil"/>
              <w:bottom w:val="nil"/>
            </w:tcBorders>
            <w:noWrap/>
            <w:hideMark/>
          </w:tcPr>
          <w:p w14:paraId="0038A89A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4%</w:t>
            </w:r>
          </w:p>
        </w:tc>
      </w:tr>
      <w:tr w:rsidR="008473A3" w:rsidRPr="000E3DBB" w14:paraId="2C5E6E06" w14:textId="77777777" w:rsidTr="009475D0">
        <w:trPr>
          <w:trHeight w:val="300"/>
        </w:trPr>
        <w:tc>
          <w:tcPr>
            <w:tcW w:w="6871" w:type="dxa"/>
            <w:tcBorders>
              <w:top w:val="nil"/>
              <w:bottom w:val="nil"/>
            </w:tcBorders>
            <w:noWrap/>
            <w:hideMark/>
          </w:tcPr>
          <w:p w14:paraId="20860443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Asia</w:t>
            </w:r>
          </w:p>
        </w:tc>
        <w:tc>
          <w:tcPr>
            <w:tcW w:w="1027" w:type="dxa"/>
            <w:tcBorders>
              <w:top w:val="nil"/>
              <w:bottom w:val="nil"/>
            </w:tcBorders>
            <w:noWrap/>
            <w:hideMark/>
          </w:tcPr>
          <w:p w14:paraId="505E3FCF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20</w:t>
            </w:r>
          </w:p>
        </w:tc>
        <w:tc>
          <w:tcPr>
            <w:tcW w:w="1121" w:type="dxa"/>
            <w:tcBorders>
              <w:top w:val="nil"/>
              <w:bottom w:val="nil"/>
            </w:tcBorders>
            <w:noWrap/>
            <w:hideMark/>
          </w:tcPr>
          <w:p w14:paraId="4AC2C077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3%</w:t>
            </w:r>
          </w:p>
        </w:tc>
      </w:tr>
      <w:tr w:rsidR="008473A3" w:rsidRPr="000E3DBB" w14:paraId="1691733B" w14:textId="77777777" w:rsidTr="009475D0">
        <w:trPr>
          <w:trHeight w:val="300"/>
        </w:trPr>
        <w:tc>
          <w:tcPr>
            <w:tcW w:w="6871" w:type="dxa"/>
            <w:tcBorders>
              <w:top w:val="nil"/>
            </w:tcBorders>
            <w:noWrap/>
            <w:hideMark/>
          </w:tcPr>
          <w:p w14:paraId="3DAF9906" w14:textId="77777777" w:rsidR="008473A3" w:rsidRPr="000E3DBB" w:rsidRDefault="008473A3" w:rsidP="009475D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South America</w:t>
            </w:r>
          </w:p>
        </w:tc>
        <w:tc>
          <w:tcPr>
            <w:tcW w:w="1027" w:type="dxa"/>
            <w:tcBorders>
              <w:top w:val="nil"/>
            </w:tcBorders>
            <w:noWrap/>
            <w:hideMark/>
          </w:tcPr>
          <w:p w14:paraId="148E418A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</w:tcBorders>
            <w:noWrap/>
            <w:hideMark/>
          </w:tcPr>
          <w:p w14:paraId="3075141D" w14:textId="77777777" w:rsidR="008473A3" w:rsidRPr="000E3DBB" w:rsidRDefault="008473A3" w:rsidP="009475D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3DBB">
              <w:rPr>
                <w:rFonts w:asciiTheme="majorHAnsi" w:hAnsiTheme="majorHAnsi" w:cstheme="majorHAnsi"/>
                <w:sz w:val="20"/>
                <w:szCs w:val="20"/>
              </w:rPr>
              <w:t>2%</w:t>
            </w:r>
          </w:p>
        </w:tc>
      </w:tr>
    </w:tbl>
    <w:p w14:paraId="64FE57FA" w14:textId="77777777" w:rsidR="008473A3" w:rsidRPr="00955A32" w:rsidRDefault="008473A3" w:rsidP="008473A3">
      <w:pPr>
        <w:spacing w:line="480" w:lineRule="auto"/>
        <w:jc w:val="both"/>
      </w:pPr>
    </w:p>
    <w:p w14:paraId="0C81FED8" w14:textId="77777777" w:rsidR="008473A3" w:rsidRPr="00955A32" w:rsidRDefault="008473A3" w:rsidP="008473A3"/>
    <w:p w14:paraId="5EACE789" w14:textId="77777777" w:rsidR="008A47EA" w:rsidRDefault="008A47EA" w:rsidP="00FA73F7">
      <w:pPr>
        <w:spacing w:before="240" w:after="240" w:line="480" w:lineRule="auto"/>
        <w:jc w:val="both"/>
      </w:pPr>
    </w:p>
    <w:p w14:paraId="22FCC6F7" w14:textId="77777777" w:rsidR="00FA73F7" w:rsidRDefault="00FA73F7"/>
    <w:sectPr w:rsidR="00FA73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3F7"/>
    <w:rsid w:val="0008246B"/>
    <w:rsid w:val="000A3ECF"/>
    <w:rsid w:val="000F2239"/>
    <w:rsid w:val="001A54EC"/>
    <w:rsid w:val="003A5855"/>
    <w:rsid w:val="003A6E54"/>
    <w:rsid w:val="003C0239"/>
    <w:rsid w:val="00494D99"/>
    <w:rsid w:val="00556B0C"/>
    <w:rsid w:val="005B7F14"/>
    <w:rsid w:val="00667192"/>
    <w:rsid w:val="00674DD5"/>
    <w:rsid w:val="006C7131"/>
    <w:rsid w:val="0071233E"/>
    <w:rsid w:val="0073425B"/>
    <w:rsid w:val="00781DB2"/>
    <w:rsid w:val="007A2ADE"/>
    <w:rsid w:val="008473A3"/>
    <w:rsid w:val="008A47EA"/>
    <w:rsid w:val="008D3AC1"/>
    <w:rsid w:val="008D65DA"/>
    <w:rsid w:val="00D03DB1"/>
    <w:rsid w:val="00D40E05"/>
    <w:rsid w:val="00D426A7"/>
    <w:rsid w:val="00D44733"/>
    <w:rsid w:val="00F544A3"/>
    <w:rsid w:val="00FA73F7"/>
    <w:rsid w:val="00FE08ED"/>
    <w:rsid w:val="00FE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8588C5"/>
  <w15:chartTrackingRefBased/>
  <w15:docId w15:val="{87B9C899-0952-C84E-83DE-31FF8E05B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rsid w:val="008473A3"/>
    <w:pPr>
      <w:keepNext/>
      <w:keepLines/>
      <w:spacing w:before="320" w:after="80" w:line="276" w:lineRule="auto"/>
      <w:outlineLvl w:val="2"/>
    </w:pPr>
    <w:rPr>
      <w:rFonts w:asciiTheme="majorHAnsi" w:eastAsia="Arial" w:hAnsiTheme="majorHAnsi" w:cs="Arial"/>
      <w:b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473A3"/>
    <w:rPr>
      <w:rFonts w:asciiTheme="majorHAnsi" w:eastAsia="Arial" w:hAnsiTheme="majorHAnsi" w:cs="Arial"/>
      <w:b/>
      <w:szCs w:val="28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8473A3"/>
    <w:pPr>
      <w:spacing w:after="200"/>
    </w:pPr>
    <w:rPr>
      <w:rFonts w:ascii="Calibri" w:eastAsia="Arial" w:hAnsi="Calibri" w:cs="Arial"/>
      <w:i/>
      <w:iCs/>
      <w:color w:val="44546A" w:themeColor="text2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8473A3"/>
    <w:rPr>
      <w:rFonts w:ascii="Arial" w:eastAsia="Arial" w:hAnsi="Arial" w:cs="Arial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Odowd</dc:creator>
  <cp:keywords/>
  <dc:description/>
  <cp:lastModifiedBy>Emma Odowd</cp:lastModifiedBy>
  <cp:revision>4</cp:revision>
  <dcterms:created xsi:type="dcterms:W3CDTF">2022-06-23T15:32:00Z</dcterms:created>
  <dcterms:modified xsi:type="dcterms:W3CDTF">2022-06-23T15:58:00Z</dcterms:modified>
</cp:coreProperties>
</file>