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C9A45" w14:textId="6197CECE" w:rsidR="002D3500" w:rsidRPr="002D3500" w:rsidRDefault="002D3500" w:rsidP="002D3500">
      <w:pPr>
        <w:jc w:val="center"/>
        <w:rPr>
          <w:rFonts w:cstheme="minorHAnsi"/>
          <w:b/>
          <w:bCs/>
          <w:color w:val="000000" w:themeColor="text1"/>
          <w:sz w:val="28"/>
          <w:szCs w:val="28"/>
          <w:lang w:val="en-US"/>
        </w:rPr>
      </w:pPr>
      <w:bookmarkStart w:id="0" w:name="_Hlk116577011"/>
      <w:bookmarkEnd w:id="0"/>
      <w:r w:rsidRPr="002D3500">
        <w:rPr>
          <w:rFonts w:cstheme="minorHAnsi"/>
          <w:b/>
          <w:bCs/>
          <w:color w:val="000000" w:themeColor="text1"/>
          <w:sz w:val="28"/>
          <w:szCs w:val="28"/>
          <w:lang w:val="en-US"/>
        </w:rPr>
        <w:t xml:space="preserve">Exciton splitting in 2D layered metal-halide </w:t>
      </w:r>
      <w:proofErr w:type="gramStart"/>
      <w:r w:rsidRPr="002D3500">
        <w:rPr>
          <w:rFonts w:cstheme="minorHAnsi"/>
          <w:b/>
          <w:bCs/>
          <w:color w:val="000000" w:themeColor="text1"/>
          <w:sz w:val="28"/>
          <w:szCs w:val="28"/>
          <w:lang w:val="en-US"/>
        </w:rPr>
        <w:t>perovskites  SUPPORTING</w:t>
      </w:r>
      <w:proofErr w:type="gramEnd"/>
      <w:r w:rsidRPr="002D3500">
        <w:rPr>
          <w:rFonts w:cstheme="minorHAnsi"/>
          <w:b/>
          <w:bCs/>
          <w:color w:val="000000" w:themeColor="text1"/>
          <w:sz w:val="28"/>
          <w:szCs w:val="28"/>
          <w:lang w:val="en-US"/>
        </w:rPr>
        <w:t xml:space="preserve"> INFORMATION</w:t>
      </w:r>
      <w:r>
        <w:rPr>
          <w:rFonts w:cstheme="minorHAnsi"/>
          <w:b/>
          <w:bCs/>
          <w:color w:val="000000" w:themeColor="text1"/>
          <w:sz w:val="28"/>
          <w:szCs w:val="28"/>
          <w:lang w:val="en-US"/>
        </w:rPr>
        <w:br/>
      </w:r>
    </w:p>
    <w:p w14:paraId="34B854F0" w14:textId="65F6C4DF" w:rsidR="002D3500" w:rsidRPr="002D3500" w:rsidRDefault="002D3500" w:rsidP="002D3500">
      <w:pPr>
        <w:jc w:val="both"/>
        <w:rPr>
          <w:i/>
          <w:color w:val="000000" w:themeColor="text1"/>
          <w:lang w:val="it-IT"/>
        </w:rPr>
      </w:pPr>
      <w:r w:rsidRPr="002D3500">
        <w:rPr>
          <w:bCs/>
          <w:color w:val="000000" w:themeColor="text1"/>
          <w:lang w:val="it-IT"/>
        </w:rPr>
        <w:t>Angelica Simbula</w:t>
      </w:r>
      <w:proofErr w:type="gramStart"/>
      <w:r w:rsidRPr="002D3500">
        <w:rPr>
          <w:color w:val="000000" w:themeColor="text1"/>
          <w:vertAlign w:val="superscript"/>
          <w:lang w:val="it-IT"/>
        </w:rPr>
        <w:t>1,*</w:t>
      </w:r>
      <w:proofErr w:type="gramEnd"/>
      <w:r w:rsidRPr="002D3500">
        <w:rPr>
          <w:color w:val="000000" w:themeColor="text1"/>
          <w:lang w:val="it-IT"/>
        </w:rPr>
        <w:t xml:space="preserve">, </w:t>
      </w:r>
      <w:proofErr w:type="spellStart"/>
      <w:r w:rsidRPr="002D3500">
        <w:rPr>
          <w:bCs/>
          <w:color w:val="000000" w:themeColor="text1"/>
          <w:lang w:val="it-IT"/>
        </w:rPr>
        <w:t>Luyan</w:t>
      </w:r>
      <w:proofErr w:type="spellEnd"/>
      <w:r w:rsidRPr="002D3500">
        <w:rPr>
          <w:bCs/>
          <w:color w:val="000000" w:themeColor="text1"/>
          <w:lang w:val="it-IT"/>
        </w:rPr>
        <w:t xml:space="preserve"> Wu</w:t>
      </w:r>
      <w:r w:rsidRPr="002D3500">
        <w:rPr>
          <w:color w:val="000000" w:themeColor="text1"/>
          <w:vertAlign w:val="superscript"/>
          <w:lang w:val="it-IT"/>
        </w:rPr>
        <w:t>1</w:t>
      </w:r>
      <w:r w:rsidRPr="002D3500">
        <w:rPr>
          <w:bCs/>
          <w:color w:val="000000" w:themeColor="text1"/>
          <w:lang w:val="it-IT"/>
        </w:rPr>
        <w:t xml:space="preserve">, </w:t>
      </w:r>
      <w:r w:rsidRPr="002D3500">
        <w:rPr>
          <w:color w:val="000000" w:themeColor="text1"/>
          <w:lang w:val="it-IT"/>
        </w:rPr>
        <w:t>Federico Pitzalis</w:t>
      </w:r>
      <w:r w:rsidRPr="002D3500">
        <w:rPr>
          <w:color w:val="000000" w:themeColor="text1"/>
          <w:vertAlign w:val="superscript"/>
          <w:lang w:val="it-IT"/>
        </w:rPr>
        <w:t>1</w:t>
      </w:r>
      <w:r w:rsidRPr="002D3500">
        <w:rPr>
          <w:bCs/>
          <w:color w:val="000000" w:themeColor="text1"/>
          <w:lang w:val="it-IT"/>
        </w:rPr>
        <w:t xml:space="preserve">, </w:t>
      </w:r>
      <w:r w:rsidRPr="002D3500">
        <w:rPr>
          <w:color w:val="000000" w:themeColor="text1"/>
          <w:lang w:val="it-IT"/>
        </w:rPr>
        <w:t>Riccardo Pau</w:t>
      </w:r>
      <w:r w:rsidRPr="002D3500">
        <w:rPr>
          <w:color w:val="000000" w:themeColor="text1"/>
          <w:vertAlign w:val="superscript"/>
          <w:lang w:val="it-IT"/>
        </w:rPr>
        <w:t>1,2</w:t>
      </w:r>
      <w:r w:rsidRPr="002D3500">
        <w:rPr>
          <w:color w:val="000000" w:themeColor="text1"/>
          <w:lang w:val="it-IT"/>
        </w:rPr>
        <w:t>, Stefano Lai</w:t>
      </w:r>
      <w:r w:rsidRPr="002D3500">
        <w:rPr>
          <w:color w:val="000000" w:themeColor="text1"/>
          <w:vertAlign w:val="superscript"/>
          <w:lang w:val="it-IT"/>
        </w:rPr>
        <w:t>1</w:t>
      </w:r>
      <w:r w:rsidRPr="002D3500">
        <w:rPr>
          <w:bCs/>
          <w:color w:val="000000" w:themeColor="text1"/>
          <w:lang w:val="it-IT"/>
        </w:rPr>
        <w:t xml:space="preserve">, </w:t>
      </w:r>
      <w:proofErr w:type="spellStart"/>
      <w:r w:rsidRPr="002D3500">
        <w:rPr>
          <w:color w:val="000000" w:themeColor="text1"/>
          <w:lang w:val="it-IT"/>
        </w:rPr>
        <w:t>Fang</w:t>
      </w:r>
      <w:proofErr w:type="spellEnd"/>
      <w:r w:rsidRPr="002D3500">
        <w:rPr>
          <w:color w:val="000000" w:themeColor="text1"/>
          <w:lang w:val="it-IT"/>
        </w:rPr>
        <w:t xml:space="preserve"> Liu</w:t>
      </w:r>
      <w:r w:rsidRPr="002D3500">
        <w:rPr>
          <w:color w:val="000000" w:themeColor="text1"/>
          <w:vertAlign w:val="superscript"/>
          <w:lang w:val="it-IT"/>
        </w:rPr>
        <w:t>3</w:t>
      </w:r>
      <w:r w:rsidRPr="002D3500">
        <w:rPr>
          <w:color w:val="000000" w:themeColor="text1"/>
          <w:lang w:val="it-IT"/>
        </w:rPr>
        <w:t>, Selene Matta</w:t>
      </w:r>
      <w:r w:rsidRPr="002D3500">
        <w:rPr>
          <w:color w:val="000000" w:themeColor="text1"/>
          <w:vertAlign w:val="superscript"/>
          <w:lang w:val="it-IT"/>
        </w:rPr>
        <w:t>1</w:t>
      </w:r>
      <w:r w:rsidRPr="002D3500">
        <w:rPr>
          <w:color w:val="000000" w:themeColor="text1"/>
          <w:lang w:val="it-IT"/>
        </w:rPr>
        <w:t>, Daniela Marongiu</w:t>
      </w:r>
      <w:r w:rsidRPr="002D3500">
        <w:rPr>
          <w:color w:val="000000" w:themeColor="text1"/>
          <w:vertAlign w:val="superscript"/>
          <w:lang w:val="it-IT"/>
        </w:rPr>
        <w:t>1</w:t>
      </w:r>
      <w:r w:rsidRPr="002D3500">
        <w:rPr>
          <w:color w:val="000000" w:themeColor="text1"/>
          <w:lang w:val="it-IT"/>
        </w:rPr>
        <w:t>, Francesco Quochi</w:t>
      </w:r>
      <w:r w:rsidRPr="002D3500">
        <w:rPr>
          <w:color w:val="000000" w:themeColor="text1"/>
          <w:vertAlign w:val="superscript"/>
          <w:lang w:val="it-IT"/>
        </w:rPr>
        <w:t>1</w:t>
      </w:r>
      <w:r w:rsidRPr="002D3500">
        <w:rPr>
          <w:color w:val="000000" w:themeColor="text1"/>
          <w:lang w:val="it-IT"/>
        </w:rPr>
        <w:t>, Michele Saba</w:t>
      </w:r>
      <w:r w:rsidRPr="002D3500">
        <w:rPr>
          <w:color w:val="000000" w:themeColor="text1"/>
          <w:vertAlign w:val="superscript"/>
          <w:lang w:val="it-IT"/>
        </w:rPr>
        <w:t>1,*</w:t>
      </w:r>
      <w:r w:rsidRPr="002D3500">
        <w:rPr>
          <w:color w:val="000000" w:themeColor="text1"/>
          <w:lang w:val="it-IT"/>
        </w:rPr>
        <w:t>, Andrea Mura</w:t>
      </w:r>
      <w:r w:rsidRPr="002D3500">
        <w:rPr>
          <w:color w:val="000000" w:themeColor="text1"/>
          <w:vertAlign w:val="superscript"/>
          <w:lang w:val="it-IT"/>
        </w:rPr>
        <w:t>1</w:t>
      </w:r>
      <w:r w:rsidRPr="002D3500">
        <w:rPr>
          <w:color w:val="000000" w:themeColor="text1"/>
          <w:lang w:val="it-IT"/>
        </w:rPr>
        <w:t>, Giovanni Bongiovanni</w:t>
      </w:r>
      <w:r w:rsidRPr="002D3500">
        <w:rPr>
          <w:color w:val="000000" w:themeColor="text1"/>
          <w:vertAlign w:val="superscript"/>
          <w:lang w:val="it-IT"/>
        </w:rPr>
        <w:t>1</w:t>
      </w:r>
      <w:r w:rsidRPr="002D3500">
        <w:rPr>
          <w:color w:val="000000" w:themeColor="text1"/>
          <w:lang w:val="it-IT"/>
        </w:rPr>
        <w:t xml:space="preserve"> </w:t>
      </w:r>
    </w:p>
    <w:p w14:paraId="61208421" w14:textId="6A7BA04E" w:rsidR="002D3500" w:rsidRPr="002D3500" w:rsidRDefault="002D3500" w:rsidP="002D3500">
      <w:pPr>
        <w:pStyle w:val="Addresses"/>
        <w:spacing w:line="259" w:lineRule="auto"/>
        <w:jc w:val="both"/>
        <w:rPr>
          <w:rFonts w:ascii="Calibri" w:hAnsi="Calibri" w:cs="Calibri"/>
          <w:color w:val="000000" w:themeColor="text1"/>
          <w:sz w:val="22"/>
          <w:szCs w:val="22"/>
          <w:lang w:val="it-IT"/>
        </w:rPr>
      </w:pPr>
      <w:r w:rsidRPr="002D3500">
        <w:rPr>
          <w:rFonts w:ascii="Calibri" w:hAnsi="Calibri" w:cs="Calibri"/>
          <w:color w:val="000000" w:themeColor="text1"/>
          <w:sz w:val="22"/>
          <w:szCs w:val="22"/>
          <w:vertAlign w:val="superscript"/>
          <w:lang w:val="it-IT"/>
        </w:rPr>
        <w:t>1</w:t>
      </w:r>
      <w:r w:rsidRPr="002D3500">
        <w:rPr>
          <w:rFonts w:ascii="Calibri" w:hAnsi="Calibri" w:cs="Calibri"/>
          <w:color w:val="000000" w:themeColor="text1"/>
          <w:sz w:val="22"/>
          <w:szCs w:val="22"/>
          <w:lang w:val="it-IT"/>
        </w:rPr>
        <w:t xml:space="preserve">Dipartimento di Fisica, Università degli Studi di Cagliari, Monserrato (CA), I-09042, </w:t>
      </w:r>
      <w:proofErr w:type="spellStart"/>
      <w:r w:rsidRPr="002D3500">
        <w:rPr>
          <w:rFonts w:ascii="Calibri" w:hAnsi="Calibri" w:cs="Calibri"/>
          <w:color w:val="000000" w:themeColor="text1"/>
          <w:sz w:val="22"/>
          <w:szCs w:val="22"/>
          <w:lang w:val="it-IT"/>
        </w:rPr>
        <w:t>Italy</w:t>
      </w:r>
      <w:proofErr w:type="spellEnd"/>
      <w:r w:rsidRPr="002D3500">
        <w:rPr>
          <w:rFonts w:ascii="Calibri" w:hAnsi="Calibri" w:cs="Calibri"/>
          <w:color w:val="000000" w:themeColor="text1"/>
          <w:sz w:val="22"/>
          <w:szCs w:val="22"/>
          <w:lang w:val="it-IT"/>
        </w:rPr>
        <w:t xml:space="preserve"> </w:t>
      </w:r>
    </w:p>
    <w:p w14:paraId="55287508" w14:textId="23C1B903" w:rsidR="002D3500" w:rsidRPr="002D3500" w:rsidRDefault="002D3500" w:rsidP="002D3500">
      <w:pPr>
        <w:pStyle w:val="Addresses"/>
        <w:spacing w:line="259" w:lineRule="auto"/>
        <w:jc w:val="both"/>
        <w:rPr>
          <w:rFonts w:ascii="Calibri" w:hAnsi="Calibri" w:cs="Calibri"/>
          <w:color w:val="000000" w:themeColor="text1"/>
          <w:sz w:val="22"/>
          <w:szCs w:val="22"/>
        </w:rPr>
      </w:pPr>
      <w:r w:rsidRPr="002D3500">
        <w:rPr>
          <w:rFonts w:ascii="Calibri" w:hAnsi="Calibri" w:cs="Calibri"/>
          <w:color w:val="000000" w:themeColor="text1"/>
          <w:sz w:val="22"/>
          <w:szCs w:val="22"/>
          <w:vertAlign w:val="superscript"/>
        </w:rPr>
        <w:t>2</w:t>
      </w:r>
      <w:r w:rsidRPr="002D3500">
        <w:rPr>
          <w:rFonts w:ascii="Calibri" w:hAnsi="Calibri" w:cs="Calibri"/>
          <w:color w:val="000000" w:themeColor="text1"/>
          <w:sz w:val="22"/>
          <w:szCs w:val="22"/>
        </w:rPr>
        <w:t xml:space="preserve"> Zernike Institute for Advanced Materials, University of Groningen, </w:t>
      </w:r>
      <w:proofErr w:type="spellStart"/>
      <w:r w:rsidRPr="002D3500">
        <w:rPr>
          <w:rFonts w:ascii="Calibri" w:hAnsi="Calibri" w:cs="Calibri"/>
          <w:color w:val="000000" w:themeColor="text1"/>
          <w:sz w:val="22"/>
          <w:szCs w:val="22"/>
        </w:rPr>
        <w:t>Nijenborgh</w:t>
      </w:r>
      <w:proofErr w:type="spellEnd"/>
      <w:r w:rsidRPr="002D3500">
        <w:rPr>
          <w:rFonts w:ascii="Calibri" w:hAnsi="Calibri" w:cs="Calibri"/>
          <w:color w:val="000000" w:themeColor="text1"/>
          <w:sz w:val="22"/>
          <w:szCs w:val="22"/>
        </w:rPr>
        <w:t xml:space="preserve"> 4,09747 AG Groningen, The Netherlands</w:t>
      </w:r>
    </w:p>
    <w:p w14:paraId="0C1E9265" w14:textId="59ADE254" w:rsidR="002D3500" w:rsidRDefault="002D3500" w:rsidP="002D3500">
      <w:pPr>
        <w:pStyle w:val="Addresses"/>
        <w:spacing w:line="259" w:lineRule="auto"/>
        <w:jc w:val="both"/>
        <w:rPr>
          <w:rFonts w:ascii="Calibri" w:hAnsi="Calibri" w:cs="Calibri"/>
          <w:color w:val="000000" w:themeColor="text1"/>
          <w:sz w:val="22"/>
          <w:szCs w:val="22"/>
        </w:rPr>
      </w:pPr>
      <w:r w:rsidRPr="002D3500">
        <w:rPr>
          <w:color w:val="000000" w:themeColor="text1"/>
          <w:sz w:val="22"/>
          <w:szCs w:val="22"/>
          <w:vertAlign w:val="superscript"/>
          <w:lang w:val="en-GB"/>
        </w:rPr>
        <w:t xml:space="preserve">3 </w:t>
      </w:r>
      <w:r w:rsidRPr="002D3500">
        <w:rPr>
          <w:rFonts w:ascii="Calibri" w:hAnsi="Calibri" w:cs="Calibri"/>
          <w:color w:val="000000" w:themeColor="text1"/>
          <w:sz w:val="22"/>
          <w:szCs w:val="22"/>
        </w:rPr>
        <w:t xml:space="preserve">School of Environmental Science and Engineering, Frontiers Science Center for Transformative </w:t>
      </w:r>
      <w:proofErr w:type="gramStart"/>
      <w:r w:rsidRPr="002D3500">
        <w:rPr>
          <w:rFonts w:ascii="Calibri" w:hAnsi="Calibri" w:cs="Calibri"/>
          <w:color w:val="000000" w:themeColor="text1"/>
          <w:sz w:val="22"/>
          <w:szCs w:val="22"/>
        </w:rPr>
        <w:t xml:space="preserve">Molecules,  </w:t>
      </w:r>
      <w:proofErr w:type="spellStart"/>
      <w:r w:rsidRPr="002D3500">
        <w:rPr>
          <w:rFonts w:ascii="Calibri" w:hAnsi="Calibri" w:cs="Calibri"/>
          <w:color w:val="000000" w:themeColor="text1"/>
          <w:sz w:val="22"/>
          <w:szCs w:val="22"/>
        </w:rPr>
        <w:t>Shangai</w:t>
      </w:r>
      <w:proofErr w:type="spellEnd"/>
      <w:proofErr w:type="gramEnd"/>
      <w:r w:rsidRPr="002D3500">
        <w:rPr>
          <w:rFonts w:ascii="Calibri" w:hAnsi="Calibri" w:cs="Calibri"/>
          <w:color w:val="000000" w:themeColor="text1"/>
          <w:sz w:val="22"/>
          <w:szCs w:val="22"/>
        </w:rPr>
        <w:t xml:space="preserve"> Jiao Tong University, </w:t>
      </w:r>
      <w:proofErr w:type="spellStart"/>
      <w:r w:rsidRPr="002D3500">
        <w:rPr>
          <w:rFonts w:ascii="Calibri" w:hAnsi="Calibri" w:cs="Calibri"/>
          <w:color w:val="000000" w:themeColor="text1"/>
          <w:sz w:val="22"/>
          <w:szCs w:val="22"/>
        </w:rPr>
        <w:t>Shangai</w:t>
      </w:r>
      <w:proofErr w:type="spellEnd"/>
      <w:r w:rsidRPr="002D3500">
        <w:rPr>
          <w:rFonts w:ascii="Calibri" w:hAnsi="Calibri" w:cs="Calibri"/>
          <w:color w:val="000000" w:themeColor="text1"/>
          <w:sz w:val="22"/>
          <w:szCs w:val="22"/>
        </w:rPr>
        <w:t xml:space="preserve"> 200240, China</w:t>
      </w:r>
    </w:p>
    <w:p w14:paraId="7ED0A46D" w14:textId="2540E9BA" w:rsidR="002D3500" w:rsidRDefault="002D3500" w:rsidP="002D3500">
      <w:pPr>
        <w:pStyle w:val="Addresses"/>
        <w:spacing w:line="259" w:lineRule="auto"/>
        <w:jc w:val="both"/>
        <w:rPr>
          <w:rFonts w:ascii="Calibri" w:hAnsi="Calibri" w:cs="Calibri"/>
          <w:color w:val="000000" w:themeColor="text1"/>
          <w:sz w:val="22"/>
          <w:szCs w:val="22"/>
        </w:rPr>
      </w:pPr>
    </w:p>
    <w:p w14:paraId="46534F6C" w14:textId="17E58C5B" w:rsidR="002D3500" w:rsidRDefault="002D3500" w:rsidP="002D3500">
      <w:pPr>
        <w:pStyle w:val="Addresses"/>
        <w:spacing w:line="259" w:lineRule="auto"/>
        <w:jc w:val="both"/>
        <w:rPr>
          <w:rFonts w:ascii="Calibri" w:hAnsi="Calibri" w:cs="Calibri"/>
          <w:color w:val="000000" w:themeColor="text1"/>
          <w:sz w:val="22"/>
          <w:szCs w:val="22"/>
        </w:rPr>
      </w:pPr>
    </w:p>
    <w:p w14:paraId="5C463887" w14:textId="77777777" w:rsidR="002D3500" w:rsidRDefault="002D3500" w:rsidP="002D3500">
      <w:pPr>
        <w:pStyle w:val="Addresses"/>
        <w:spacing w:line="259" w:lineRule="auto"/>
        <w:jc w:val="both"/>
        <w:rPr>
          <w:rFonts w:ascii="Calibri" w:hAnsi="Calibri" w:cs="Calibri"/>
          <w:color w:val="000000" w:themeColor="text1"/>
          <w:sz w:val="22"/>
          <w:szCs w:val="22"/>
        </w:rPr>
      </w:pPr>
    </w:p>
    <w:p w14:paraId="7051782E" w14:textId="53CCF9E8" w:rsidR="002D3500" w:rsidRDefault="002D3500" w:rsidP="006218F3">
      <w:pPr>
        <w:pStyle w:val="Addresses"/>
        <w:jc w:val="center"/>
        <w:rPr>
          <w:rFonts w:ascii="Calibri" w:hAnsi="Calibri" w:cs="Calibri"/>
          <w:b/>
          <w:bCs/>
          <w:color w:val="000000" w:themeColor="text1"/>
          <w:sz w:val="28"/>
          <w:szCs w:val="28"/>
        </w:rPr>
      </w:pPr>
      <w:r w:rsidRPr="006218F3">
        <w:rPr>
          <w:rFonts w:ascii="Calibri" w:hAnsi="Calibri" w:cs="Calibri"/>
          <w:b/>
          <w:bCs/>
          <w:color w:val="000000" w:themeColor="text1"/>
          <w:sz w:val="28"/>
          <w:szCs w:val="28"/>
        </w:rPr>
        <w:t>Contents</w:t>
      </w:r>
    </w:p>
    <w:p w14:paraId="799C233A" w14:textId="77777777" w:rsidR="006218F3" w:rsidRPr="006218F3" w:rsidRDefault="006218F3" w:rsidP="006218F3">
      <w:pPr>
        <w:pStyle w:val="Addresses"/>
        <w:jc w:val="center"/>
        <w:rPr>
          <w:rFonts w:ascii="Calibri" w:hAnsi="Calibri" w:cs="Calibri"/>
          <w:b/>
          <w:bCs/>
          <w:color w:val="000000" w:themeColor="text1"/>
          <w:sz w:val="32"/>
          <w:szCs w:val="32"/>
        </w:rPr>
      </w:pPr>
    </w:p>
    <w:p w14:paraId="3DE6F386" w14:textId="01EAFC07" w:rsidR="002D3500" w:rsidRPr="006218F3" w:rsidRDefault="002D3500" w:rsidP="006218F3">
      <w:pPr>
        <w:pStyle w:val="Addresses"/>
        <w:numPr>
          <w:ilvl w:val="0"/>
          <w:numId w:val="3"/>
        </w:numPr>
        <w:ind w:left="284" w:hanging="284"/>
        <w:jc w:val="both"/>
        <w:rPr>
          <w:rFonts w:asciiTheme="minorHAnsi" w:hAnsiTheme="minorHAnsi" w:cstheme="minorHAnsi"/>
          <w:color w:val="000000" w:themeColor="text1"/>
          <w:sz w:val="22"/>
          <w:szCs w:val="22"/>
        </w:rPr>
      </w:pPr>
      <w:r w:rsidRPr="006218F3">
        <w:rPr>
          <w:rFonts w:asciiTheme="minorHAnsi" w:hAnsiTheme="minorHAnsi" w:cstheme="minorHAnsi"/>
          <w:b/>
          <w:bCs/>
          <w:color w:val="000000" w:themeColor="text1"/>
          <w:sz w:val="22"/>
          <w:szCs w:val="22"/>
        </w:rPr>
        <w:t xml:space="preserve">Fig. S1 </w:t>
      </w:r>
      <w:r w:rsidRPr="006218F3">
        <w:rPr>
          <w:rFonts w:asciiTheme="minorHAnsi" w:hAnsiTheme="minorHAnsi" w:cstheme="minorHAnsi"/>
          <w:color w:val="000000" w:themeColor="text1"/>
          <w:sz w:val="22"/>
          <w:szCs w:val="22"/>
        </w:rPr>
        <w:t>Photoluminescence intensity of thin films at time delay t=0 versus excitation fluence</w:t>
      </w:r>
    </w:p>
    <w:p w14:paraId="39411EFA" w14:textId="3AE2D584" w:rsidR="002D3500" w:rsidRDefault="002D3500" w:rsidP="006218F3">
      <w:pPr>
        <w:pStyle w:val="Addresses"/>
        <w:numPr>
          <w:ilvl w:val="0"/>
          <w:numId w:val="3"/>
        </w:numPr>
        <w:ind w:left="284" w:hanging="284"/>
        <w:jc w:val="both"/>
        <w:rPr>
          <w:rFonts w:asciiTheme="minorHAnsi" w:hAnsiTheme="minorHAnsi" w:cstheme="minorHAnsi"/>
          <w:color w:val="000000" w:themeColor="text1"/>
          <w:sz w:val="22"/>
          <w:szCs w:val="22"/>
        </w:rPr>
      </w:pPr>
      <w:r w:rsidRPr="006218F3">
        <w:rPr>
          <w:rFonts w:asciiTheme="minorHAnsi" w:hAnsiTheme="minorHAnsi" w:cstheme="minorHAnsi"/>
          <w:b/>
          <w:bCs/>
          <w:color w:val="000000" w:themeColor="text1"/>
          <w:sz w:val="22"/>
          <w:szCs w:val="22"/>
        </w:rPr>
        <w:t>Fig. S2</w:t>
      </w:r>
      <w:r w:rsidRPr="006218F3">
        <w:rPr>
          <w:rFonts w:asciiTheme="minorHAnsi" w:hAnsiTheme="minorHAnsi" w:cstheme="minorHAnsi"/>
          <w:color w:val="000000" w:themeColor="text1"/>
          <w:sz w:val="22"/>
          <w:szCs w:val="22"/>
        </w:rPr>
        <w:t xml:space="preserve"> DT/T spectra of thin films after initial transient (different laser fluences and condition)</w:t>
      </w:r>
    </w:p>
    <w:p w14:paraId="11875996" w14:textId="5DF97D4A" w:rsidR="00192427" w:rsidRPr="00192427" w:rsidRDefault="00294C60" w:rsidP="00192427">
      <w:pPr>
        <w:pStyle w:val="Paragrafoelenco"/>
        <w:widowControl w:val="0"/>
        <w:numPr>
          <w:ilvl w:val="0"/>
          <w:numId w:val="3"/>
        </w:numPr>
        <w:autoSpaceDE w:val="0"/>
        <w:autoSpaceDN w:val="0"/>
        <w:adjustRightInd w:val="0"/>
        <w:spacing w:line="240" w:lineRule="auto"/>
        <w:ind w:left="284" w:hanging="284"/>
        <w:jc w:val="both"/>
        <w:rPr>
          <w:rFonts w:cstheme="minorHAnsi"/>
          <w:color w:val="000000" w:themeColor="text1"/>
          <w:lang w:val="en-US"/>
        </w:rPr>
      </w:pPr>
      <w:r w:rsidRPr="006218F3">
        <w:rPr>
          <w:rFonts w:cstheme="minorHAnsi"/>
          <w:b/>
          <w:bCs/>
          <w:color w:val="000000" w:themeColor="text1"/>
          <w:lang w:val="en-US"/>
        </w:rPr>
        <w:t>Fig. S</w:t>
      </w:r>
      <w:proofErr w:type="gramStart"/>
      <w:r w:rsidRPr="006218F3">
        <w:rPr>
          <w:rFonts w:cstheme="minorHAnsi"/>
          <w:b/>
          <w:bCs/>
          <w:color w:val="000000" w:themeColor="text1"/>
          <w:lang w:val="en-US"/>
        </w:rPr>
        <w:t xml:space="preserve">3 </w:t>
      </w:r>
      <w:r w:rsidRPr="006218F3">
        <w:rPr>
          <w:rFonts w:cstheme="minorHAnsi"/>
          <w:color w:val="000000" w:themeColor="text1"/>
          <w:lang w:val="en-US"/>
        </w:rPr>
        <w:t xml:space="preserve"> DT</w:t>
      </w:r>
      <w:proofErr w:type="gramEnd"/>
      <w:r w:rsidRPr="006218F3">
        <w:rPr>
          <w:rFonts w:cstheme="minorHAnsi"/>
          <w:color w:val="000000" w:themeColor="text1"/>
          <w:lang w:val="en-US"/>
        </w:rPr>
        <w:t xml:space="preserve">/T </w:t>
      </w:r>
      <w:r w:rsidR="00192427">
        <w:rPr>
          <w:rFonts w:cstheme="minorHAnsi"/>
          <w:color w:val="000000" w:themeColor="text1"/>
          <w:lang w:val="en-US"/>
        </w:rPr>
        <w:t xml:space="preserve">spectral features </w:t>
      </w:r>
      <w:r w:rsidRPr="006218F3">
        <w:rPr>
          <w:rFonts w:cstheme="minorHAnsi"/>
          <w:color w:val="000000" w:themeColor="text1"/>
          <w:lang w:val="en-US"/>
        </w:rPr>
        <w:t>decay profiles of thin film with different excitation condition</w:t>
      </w:r>
    </w:p>
    <w:p w14:paraId="50E237E6" w14:textId="0BC3DB02" w:rsidR="00192427" w:rsidRPr="00192427" w:rsidRDefault="00192427" w:rsidP="00192427">
      <w:pPr>
        <w:pStyle w:val="Paragrafoelenco"/>
        <w:widowControl w:val="0"/>
        <w:numPr>
          <w:ilvl w:val="0"/>
          <w:numId w:val="3"/>
        </w:numPr>
        <w:autoSpaceDE w:val="0"/>
        <w:autoSpaceDN w:val="0"/>
        <w:adjustRightInd w:val="0"/>
        <w:spacing w:line="240" w:lineRule="auto"/>
        <w:ind w:left="284" w:hanging="284"/>
        <w:jc w:val="both"/>
        <w:rPr>
          <w:rFonts w:cstheme="minorHAnsi"/>
          <w:color w:val="000000" w:themeColor="text1"/>
          <w:lang w:val="en-US"/>
        </w:rPr>
      </w:pPr>
      <w:r w:rsidRPr="006218F3">
        <w:rPr>
          <w:rFonts w:cstheme="minorHAnsi"/>
          <w:b/>
          <w:bCs/>
          <w:color w:val="000000" w:themeColor="text1"/>
          <w:lang w:val="en-US"/>
        </w:rPr>
        <w:t>Fig. S</w:t>
      </w:r>
      <w:proofErr w:type="gramStart"/>
      <w:r>
        <w:rPr>
          <w:rFonts w:cstheme="minorHAnsi"/>
          <w:b/>
          <w:bCs/>
          <w:color w:val="000000" w:themeColor="text1"/>
          <w:lang w:val="en-US"/>
        </w:rPr>
        <w:t>4</w:t>
      </w:r>
      <w:r w:rsidRPr="006218F3">
        <w:rPr>
          <w:rFonts w:cstheme="minorHAnsi"/>
          <w:b/>
          <w:bCs/>
          <w:color w:val="000000" w:themeColor="text1"/>
          <w:lang w:val="en-US"/>
        </w:rPr>
        <w:t xml:space="preserve"> </w:t>
      </w:r>
      <w:r w:rsidRPr="006218F3">
        <w:rPr>
          <w:rFonts w:cstheme="minorHAnsi"/>
          <w:color w:val="000000" w:themeColor="text1"/>
          <w:lang w:val="en-US"/>
        </w:rPr>
        <w:t xml:space="preserve"> DT</w:t>
      </w:r>
      <w:proofErr w:type="gramEnd"/>
      <w:r w:rsidRPr="006218F3">
        <w:rPr>
          <w:rFonts w:cstheme="minorHAnsi"/>
          <w:color w:val="000000" w:themeColor="text1"/>
          <w:lang w:val="en-US"/>
        </w:rPr>
        <w:t xml:space="preserve">/T </w:t>
      </w:r>
      <w:r>
        <w:rPr>
          <w:rFonts w:cstheme="minorHAnsi"/>
          <w:color w:val="000000" w:themeColor="text1"/>
          <w:lang w:val="en-US"/>
        </w:rPr>
        <w:t xml:space="preserve">spectral </w:t>
      </w:r>
      <w:r w:rsidRPr="006218F3">
        <w:rPr>
          <w:rFonts w:cstheme="minorHAnsi"/>
          <w:color w:val="000000" w:themeColor="text1"/>
          <w:lang w:val="en-US"/>
        </w:rPr>
        <w:t xml:space="preserve">features decay profiles of </w:t>
      </w:r>
      <w:r>
        <w:rPr>
          <w:rFonts w:cstheme="minorHAnsi"/>
          <w:color w:val="000000" w:themeColor="text1"/>
          <w:lang w:val="en-US"/>
        </w:rPr>
        <w:t>crystal on nanosecond timescale</w:t>
      </w:r>
    </w:p>
    <w:p w14:paraId="18D3F9C2" w14:textId="21FEF75D" w:rsidR="00294C60" w:rsidRPr="006218F3" w:rsidRDefault="00294C60" w:rsidP="00294C60">
      <w:pPr>
        <w:pStyle w:val="Paragrafoelenco"/>
        <w:widowControl w:val="0"/>
        <w:numPr>
          <w:ilvl w:val="0"/>
          <w:numId w:val="3"/>
        </w:numPr>
        <w:autoSpaceDE w:val="0"/>
        <w:autoSpaceDN w:val="0"/>
        <w:adjustRightInd w:val="0"/>
        <w:spacing w:line="240" w:lineRule="auto"/>
        <w:ind w:left="284" w:hanging="284"/>
        <w:jc w:val="both"/>
        <w:rPr>
          <w:rFonts w:cstheme="minorHAnsi"/>
          <w:color w:val="000000" w:themeColor="text1"/>
          <w:lang w:val="en-US"/>
        </w:rPr>
      </w:pPr>
      <w:r w:rsidRPr="003F304D">
        <w:rPr>
          <w:b/>
          <w:bCs/>
          <w:color w:val="000000" w:themeColor="text1"/>
          <w:lang w:val="en-US"/>
        </w:rPr>
        <w:t>Fig. S</w:t>
      </w:r>
      <w:r w:rsidR="00192427">
        <w:rPr>
          <w:b/>
          <w:bCs/>
          <w:color w:val="000000" w:themeColor="text1"/>
          <w:lang w:val="en-US"/>
        </w:rPr>
        <w:t>5</w:t>
      </w:r>
      <w:r>
        <w:rPr>
          <w:b/>
          <w:bCs/>
          <w:color w:val="000000" w:themeColor="text1"/>
          <w:lang w:val="en-US"/>
        </w:rPr>
        <w:t xml:space="preserve"> </w:t>
      </w:r>
      <w:r>
        <w:rPr>
          <w:color w:val="000000" w:themeColor="text1"/>
          <w:lang w:val="en-US"/>
        </w:rPr>
        <w:t xml:space="preserve">DT/T decay profiles from thin crystal with two-photon resonant excitation </w:t>
      </w:r>
    </w:p>
    <w:p w14:paraId="6C2B0FE1" w14:textId="6EE8CF19" w:rsidR="002D3500" w:rsidRDefault="002D3500" w:rsidP="006218F3">
      <w:pPr>
        <w:pStyle w:val="Paragrafoelenco"/>
        <w:widowControl w:val="0"/>
        <w:numPr>
          <w:ilvl w:val="0"/>
          <w:numId w:val="3"/>
        </w:numPr>
        <w:autoSpaceDE w:val="0"/>
        <w:autoSpaceDN w:val="0"/>
        <w:adjustRightInd w:val="0"/>
        <w:spacing w:line="240" w:lineRule="auto"/>
        <w:ind w:left="284" w:hanging="284"/>
        <w:jc w:val="both"/>
        <w:rPr>
          <w:rFonts w:cstheme="minorHAnsi"/>
          <w:color w:val="000000" w:themeColor="text1"/>
          <w:lang w:val="en-US"/>
        </w:rPr>
      </w:pPr>
      <w:r w:rsidRPr="006218F3">
        <w:rPr>
          <w:rFonts w:cstheme="minorHAnsi"/>
          <w:b/>
          <w:bCs/>
          <w:color w:val="000000" w:themeColor="text1"/>
          <w:lang w:val="en-US"/>
        </w:rPr>
        <w:t>Fig. S</w:t>
      </w:r>
      <w:proofErr w:type="gramStart"/>
      <w:r w:rsidR="00192427">
        <w:rPr>
          <w:rFonts w:cstheme="minorHAnsi"/>
          <w:b/>
          <w:bCs/>
          <w:color w:val="000000" w:themeColor="text1"/>
          <w:lang w:val="en-US"/>
        </w:rPr>
        <w:t>6</w:t>
      </w:r>
      <w:r w:rsidRPr="006218F3">
        <w:rPr>
          <w:rFonts w:cstheme="minorHAnsi"/>
          <w:b/>
          <w:bCs/>
          <w:color w:val="000000" w:themeColor="text1"/>
          <w:lang w:val="en-US"/>
        </w:rPr>
        <w:t xml:space="preserve"> </w:t>
      </w:r>
      <w:r w:rsidRPr="006218F3">
        <w:rPr>
          <w:rFonts w:cstheme="minorHAnsi"/>
          <w:color w:val="000000" w:themeColor="text1"/>
          <w:lang w:val="en-US"/>
        </w:rPr>
        <w:t xml:space="preserve"> DT</w:t>
      </w:r>
      <w:proofErr w:type="gramEnd"/>
      <w:r w:rsidRPr="006218F3">
        <w:rPr>
          <w:rFonts w:cstheme="minorHAnsi"/>
          <w:color w:val="000000" w:themeColor="text1"/>
          <w:lang w:val="en-US"/>
        </w:rPr>
        <w:t xml:space="preserve">/T spectrograms of thin </w:t>
      </w:r>
      <w:r w:rsidR="00A742EA">
        <w:rPr>
          <w:rFonts w:cstheme="minorHAnsi"/>
          <w:color w:val="000000" w:themeColor="text1"/>
          <w:lang w:val="en-US"/>
        </w:rPr>
        <w:t>crystals</w:t>
      </w:r>
      <w:r w:rsidR="00A742EA" w:rsidRPr="006218F3">
        <w:rPr>
          <w:rFonts w:cstheme="minorHAnsi"/>
          <w:color w:val="000000" w:themeColor="text1"/>
          <w:lang w:val="en-US"/>
        </w:rPr>
        <w:t xml:space="preserve"> </w:t>
      </w:r>
      <w:r w:rsidRPr="006218F3">
        <w:rPr>
          <w:rFonts w:cstheme="minorHAnsi"/>
          <w:color w:val="000000" w:themeColor="text1"/>
          <w:lang w:val="en-US"/>
        </w:rPr>
        <w:t xml:space="preserve">under two-photon non-resonant excitation </w:t>
      </w:r>
    </w:p>
    <w:p w14:paraId="1AB82E6B" w14:textId="4FD7924A" w:rsidR="002D3500" w:rsidRPr="006218F3" w:rsidRDefault="002D3500" w:rsidP="006218F3">
      <w:pPr>
        <w:pStyle w:val="Paragrafoelenco"/>
        <w:widowControl w:val="0"/>
        <w:numPr>
          <w:ilvl w:val="0"/>
          <w:numId w:val="3"/>
        </w:numPr>
        <w:autoSpaceDE w:val="0"/>
        <w:autoSpaceDN w:val="0"/>
        <w:adjustRightInd w:val="0"/>
        <w:spacing w:line="240" w:lineRule="auto"/>
        <w:ind w:left="284" w:hanging="284"/>
        <w:jc w:val="both"/>
        <w:rPr>
          <w:rFonts w:cstheme="minorHAnsi"/>
          <w:color w:val="000000" w:themeColor="text1"/>
          <w:lang w:val="en-US"/>
        </w:rPr>
      </w:pPr>
      <w:r w:rsidRPr="006218F3">
        <w:rPr>
          <w:rFonts w:cstheme="minorHAnsi"/>
          <w:b/>
          <w:bCs/>
          <w:color w:val="000000" w:themeColor="text1"/>
          <w:lang w:val="en-US"/>
        </w:rPr>
        <w:t>Fig. S</w:t>
      </w:r>
      <w:proofErr w:type="gramStart"/>
      <w:r w:rsidR="00192427">
        <w:rPr>
          <w:rFonts w:cstheme="minorHAnsi"/>
          <w:b/>
          <w:bCs/>
          <w:color w:val="000000" w:themeColor="text1"/>
          <w:lang w:val="en-US"/>
        </w:rPr>
        <w:t>7</w:t>
      </w:r>
      <w:r w:rsidRPr="006218F3">
        <w:rPr>
          <w:rFonts w:cstheme="minorHAnsi"/>
          <w:b/>
          <w:bCs/>
          <w:color w:val="000000" w:themeColor="text1"/>
          <w:lang w:val="en-US"/>
        </w:rPr>
        <w:t xml:space="preserve"> </w:t>
      </w:r>
      <w:r w:rsidRPr="006218F3">
        <w:rPr>
          <w:rFonts w:cstheme="minorHAnsi"/>
          <w:color w:val="000000" w:themeColor="text1"/>
          <w:lang w:val="en-US"/>
        </w:rPr>
        <w:t xml:space="preserve"> DT</w:t>
      </w:r>
      <w:proofErr w:type="gramEnd"/>
      <w:r w:rsidRPr="006218F3">
        <w:rPr>
          <w:rFonts w:cstheme="minorHAnsi"/>
          <w:color w:val="000000" w:themeColor="text1"/>
          <w:lang w:val="en-US"/>
        </w:rPr>
        <w:t xml:space="preserve">/T spectrograms of thin films under two-photon resonant excitation at low temperatures </w:t>
      </w:r>
    </w:p>
    <w:p w14:paraId="26D96D8E" w14:textId="441C2D2D" w:rsidR="002D3500" w:rsidRPr="006218F3" w:rsidRDefault="002D3500" w:rsidP="006218F3">
      <w:pPr>
        <w:pStyle w:val="Paragrafoelenco"/>
        <w:widowControl w:val="0"/>
        <w:numPr>
          <w:ilvl w:val="0"/>
          <w:numId w:val="3"/>
        </w:numPr>
        <w:autoSpaceDE w:val="0"/>
        <w:autoSpaceDN w:val="0"/>
        <w:adjustRightInd w:val="0"/>
        <w:spacing w:line="240" w:lineRule="auto"/>
        <w:ind w:left="284" w:hanging="284"/>
        <w:jc w:val="both"/>
        <w:rPr>
          <w:rFonts w:cstheme="minorHAnsi"/>
          <w:color w:val="000000" w:themeColor="text1"/>
          <w:lang w:val="en-US"/>
        </w:rPr>
      </w:pPr>
      <w:r w:rsidRPr="006218F3">
        <w:rPr>
          <w:rFonts w:cstheme="minorHAnsi"/>
          <w:b/>
          <w:bCs/>
          <w:color w:val="000000" w:themeColor="text1"/>
          <w:lang w:val="en-US"/>
        </w:rPr>
        <w:t>Fig. S</w:t>
      </w:r>
      <w:proofErr w:type="gramStart"/>
      <w:r w:rsidR="00192427">
        <w:rPr>
          <w:rFonts w:cstheme="minorHAnsi"/>
          <w:b/>
          <w:bCs/>
          <w:color w:val="000000" w:themeColor="text1"/>
          <w:lang w:val="en-US"/>
        </w:rPr>
        <w:t>8</w:t>
      </w:r>
      <w:r w:rsidRPr="006218F3">
        <w:rPr>
          <w:rFonts w:cstheme="minorHAnsi"/>
          <w:b/>
          <w:bCs/>
          <w:color w:val="000000" w:themeColor="text1"/>
          <w:lang w:val="en-US"/>
        </w:rPr>
        <w:t xml:space="preserve"> </w:t>
      </w:r>
      <w:r w:rsidRPr="006218F3">
        <w:rPr>
          <w:rFonts w:cstheme="minorHAnsi"/>
          <w:color w:val="000000" w:themeColor="text1"/>
          <w:lang w:val="en-US"/>
        </w:rPr>
        <w:t xml:space="preserve"> DT</w:t>
      </w:r>
      <w:proofErr w:type="gramEnd"/>
      <w:r w:rsidRPr="006218F3">
        <w:rPr>
          <w:rFonts w:cstheme="minorHAnsi"/>
          <w:color w:val="000000" w:themeColor="text1"/>
          <w:lang w:val="en-US"/>
        </w:rPr>
        <w:t>/T, DT/T</w:t>
      </w:r>
      <w:r w:rsidRPr="006218F3">
        <w:rPr>
          <w:rFonts w:cstheme="minorHAnsi"/>
          <w:color w:val="000000" w:themeColor="text1"/>
          <w:vertAlign w:val="superscript"/>
          <w:lang w:val="en-US"/>
        </w:rPr>
        <w:t>2</w:t>
      </w:r>
      <w:r w:rsidRPr="006218F3">
        <w:rPr>
          <w:rFonts w:cstheme="minorHAnsi"/>
          <w:color w:val="000000" w:themeColor="text1"/>
          <w:lang w:val="en-US"/>
        </w:rPr>
        <w:t xml:space="preserve"> and PL decay profiles </w:t>
      </w:r>
      <w:r w:rsidR="006218F3" w:rsidRPr="006218F3">
        <w:rPr>
          <w:rFonts w:cstheme="minorHAnsi"/>
          <w:color w:val="000000" w:themeColor="text1"/>
          <w:lang w:val="en-US"/>
        </w:rPr>
        <w:t>for thin film at different power and excitation condition</w:t>
      </w:r>
    </w:p>
    <w:p w14:paraId="7C49809C" w14:textId="315D2FAB" w:rsidR="002D3500" w:rsidRPr="006218F3" w:rsidRDefault="002D3500" w:rsidP="006218F3">
      <w:pPr>
        <w:pStyle w:val="Paragrafoelenco"/>
        <w:widowControl w:val="0"/>
        <w:numPr>
          <w:ilvl w:val="0"/>
          <w:numId w:val="3"/>
        </w:numPr>
        <w:autoSpaceDE w:val="0"/>
        <w:autoSpaceDN w:val="0"/>
        <w:adjustRightInd w:val="0"/>
        <w:spacing w:line="240" w:lineRule="auto"/>
        <w:ind w:left="284" w:hanging="284"/>
        <w:jc w:val="both"/>
        <w:rPr>
          <w:rFonts w:cstheme="minorHAnsi"/>
          <w:color w:val="000000" w:themeColor="text1"/>
          <w:lang w:val="en-US"/>
        </w:rPr>
      </w:pPr>
      <w:r w:rsidRPr="006218F3">
        <w:rPr>
          <w:rFonts w:cstheme="minorHAnsi"/>
          <w:b/>
          <w:bCs/>
          <w:color w:val="000000" w:themeColor="text1"/>
          <w:lang w:val="en-US"/>
        </w:rPr>
        <w:t>Fig. S</w:t>
      </w:r>
      <w:proofErr w:type="gramStart"/>
      <w:r w:rsidR="00192427">
        <w:rPr>
          <w:rFonts w:cstheme="minorHAnsi"/>
          <w:b/>
          <w:bCs/>
          <w:color w:val="000000" w:themeColor="text1"/>
          <w:lang w:val="en-US"/>
        </w:rPr>
        <w:t>9</w:t>
      </w:r>
      <w:r w:rsidRPr="006218F3">
        <w:rPr>
          <w:rFonts w:cstheme="minorHAnsi"/>
          <w:b/>
          <w:bCs/>
          <w:color w:val="000000" w:themeColor="text1"/>
          <w:lang w:val="en-US"/>
        </w:rPr>
        <w:t xml:space="preserve"> </w:t>
      </w:r>
      <w:r w:rsidRPr="006218F3">
        <w:rPr>
          <w:rFonts w:cstheme="minorHAnsi"/>
          <w:color w:val="000000" w:themeColor="text1"/>
          <w:lang w:val="en-US"/>
        </w:rPr>
        <w:t xml:space="preserve"> </w:t>
      </w:r>
      <w:r w:rsidR="006218F3" w:rsidRPr="006218F3">
        <w:rPr>
          <w:rFonts w:cstheme="minorHAnsi"/>
          <w:color w:val="000000" w:themeColor="text1"/>
          <w:lang w:val="en-US"/>
        </w:rPr>
        <w:t>DT</w:t>
      </w:r>
      <w:proofErr w:type="gramEnd"/>
      <w:r w:rsidR="006218F3" w:rsidRPr="006218F3">
        <w:rPr>
          <w:rFonts w:cstheme="minorHAnsi"/>
          <w:color w:val="000000" w:themeColor="text1"/>
          <w:lang w:val="en-US"/>
        </w:rPr>
        <w:t>/T, DT/T</w:t>
      </w:r>
      <w:r w:rsidR="006218F3" w:rsidRPr="006218F3">
        <w:rPr>
          <w:rFonts w:cstheme="minorHAnsi"/>
          <w:color w:val="000000" w:themeColor="text1"/>
          <w:vertAlign w:val="superscript"/>
          <w:lang w:val="en-US"/>
        </w:rPr>
        <w:t>2</w:t>
      </w:r>
      <w:r w:rsidR="006218F3" w:rsidRPr="006218F3">
        <w:rPr>
          <w:rFonts w:cstheme="minorHAnsi"/>
          <w:color w:val="000000" w:themeColor="text1"/>
          <w:lang w:val="en-US"/>
        </w:rPr>
        <w:t xml:space="preserve"> and PL decay profiles for thin film and thin crystals </w:t>
      </w:r>
      <w:r w:rsidRPr="006218F3">
        <w:rPr>
          <w:rFonts w:cstheme="minorHAnsi"/>
          <w:color w:val="000000" w:themeColor="text1"/>
          <w:lang w:val="en-US"/>
        </w:rPr>
        <w:t xml:space="preserve">at different temperature. </w:t>
      </w:r>
    </w:p>
    <w:p w14:paraId="7CAB0021" w14:textId="69238C77" w:rsidR="002D3500" w:rsidRPr="006218F3" w:rsidRDefault="002D3500" w:rsidP="006218F3">
      <w:pPr>
        <w:pStyle w:val="Paragrafoelenco"/>
        <w:widowControl w:val="0"/>
        <w:numPr>
          <w:ilvl w:val="0"/>
          <w:numId w:val="3"/>
        </w:numPr>
        <w:autoSpaceDE w:val="0"/>
        <w:autoSpaceDN w:val="0"/>
        <w:adjustRightInd w:val="0"/>
        <w:spacing w:line="240" w:lineRule="auto"/>
        <w:ind w:left="284" w:hanging="284"/>
        <w:jc w:val="both"/>
        <w:rPr>
          <w:color w:val="000000" w:themeColor="text1"/>
          <w:lang w:val="en-US"/>
        </w:rPr>
      </w:pPr>
      <w:r w:rsidRPr="006218F3">
        <w:rPr>
          <w:rFonts w:cstheme="minorHAnsi"/>
          <w:b/>
          <w:bCs/>
          <w:color w:val="000000" w:themeColor="text1"/>
          <w:lang w:val="en-US"/>
        </w:rPr>
        <w:t>Fig. S</w:t>
      </w:r>
      <w:r w:rsidR="00192427">
        <w:rPr>
          <w:rFonts w:cstheme="minorHAnsi"/>
          <w:b/>
          <w:bCs/>
          <w:color w:val="000000" w:themeColor="text1"/>
          <w:lang w:val="en-US"/>
        </w:rPr>
        <w:t>10</w:t>
      </w:r>
      <w:r w:rsidRPr="006218F3">
        <w:rPr>
          <w:rFonts w:cstheme="minorHAnsi"/>
          <w:b/>
          <w:bCs/>
          <w:color w:val="000000" w:themeColor="text1"/>
          <w:lang w:val="en-US"/>
        </w:rPr>
        <w:t xml:space="preserve"> </w:t>
      </w:r>
      <w:r w:rsidR="006218F3" w:rsidRPr="006218F3">
        <w:rPr>
          <w:rFonts w:cstheme="minorHAnsi"/>
          <w:color w:val="000000" w:themeColor="text1"/>
          <w:lang w:val="en-US"/>
        </w:rPr>
        <w:t>DT/T and PL power laws at cryogenic and room temperature</w:t>
      </w:r>
      <w:r w:rsidRPr="006218F3">
        <w:rPr>
          <w:color w:val="000000" w:themeColor="text1"/>
          <w:lang w:val="en-US"/>
        </w:rPr>
        <w:t xml:space="preserve"> </w:t>
      </w:r>
    </w:p>
    <w:p w14:paraId="544881DE" w14:textId="77777777" w:rsidR="002D3500" w:rsidRPr="00A93591" w:rsidRDefault="002D3500" w:rsidP="002D3500">
      <w:pPr>
        <w:widowControl w:val="0"/>
        <w:autoSpaceDE w:val="0"/>
        <w:autoSpaceDN w:val="0"/>
        <w:adjustRightInd w:val="0"/>
        <w:jc w:val="both"/>
        <w:rPr>
          <w:color w:val="000000" w:themeColor="text1"/>
          <w:lang w:val="en-US"/>
        </w:rPr>
      </w:pPr>
    </w:p>
    <w:p w14:paraId="1208F270" w14:textId="77777777" w:rsidR="002D3500" w:rsidRDefault="002D3500" w:rsidP="002D3500">
      <w:pPr>
        <w:widowControl w:val="0"/>
        <w:autoSpaceDE w:val="0"/>
        <w:autoSpaceDN w:val="0"/>
        <w:adjustRightInd w:val="0"/>
        <w:jc w:val="both"/>
        <w:rPr>
          <w:color w:val="000000" w:themeColor="text1"/>
          <w:lang w:val="en-US"/>
        </w:rPr>
      </w:pPr>
    </w:p>
    <w:p w14:paraId="1122C056" w14:textId="77777777" w:rsidR="002D3500" w:rsidRDefault="002D3500" w:rsidP="002D3500">
      <w:pPr>
        <w:widowControl w:val="0"/>
        <w:autoSpaceDE w:val="0"/>
        <w:autoSpaceDN w:val="0"/>
        <w:adjustRightInd w:val="0"/>
        <w:jc w:val="both"/>
        <w:rPr>
          <w:color w:val="000000" w:themeColor="text1"/>
          <w:lang w:val="en-US"/>
        </w:rPr>
      </w:pPr>
    </w:p>
    <w:p w14:paraId="53FB5650" w14:textId="77777777" w:rsidR="002D3500" w:rsidRDefault="002D3500" w:rsidP="002D3500">
      <w:pPr>
        <w:widowControl w:val="0"/>
        <w:autoSpaceDE w:val="0"/>
        <w:autoSpaceDN w:val="0"/>
        <w:adjustRightInd w:val="0"/>
        <w:jc w:val="both"/>
        <w:rPr>
          <w:color w:val="000000" w:themeColor="text1"/>
          <w:lang w:val="en-US"/>
        </w:rPr>
      </w:pPr>
    </w:p>
    <w:p w14:paraId="0E8895D2" w14:textId="77777777" w:rsidR="002D3500" w:rsidRPr="002D3500" w:rsidRDefault="002D3500" w:rsidP="002D3500">
      <w:pPr>
        <w:pStyle w:val="Addresses"/>
        <w:spacing w:line="259" w:lineRule="auto"/>
        <w:jc w:val="both"/>
        <w:rPr>
          <w:rFonts w:asciiTheme="minorHAnsi" w:hAnsiTheme="minorHAnsi" w:cstheme="minorHAnsi"/>
          <w:color w:val="000000" w:themeColor="text1"/>
          <w:sz w:val="22"/>
          <w:szCs w:val="22"/>
        </w:rPr>
      </w:pPr>
    </w:p>
    <w:p w14:paraId="3D37F69A" w14:textId="77777777" w:rsidR="002D3500" w:rsidRPr="002D3500" w:rsidRDefault="002D3500" w:rsidP="002D3500">
      <w:pPr>
        <w:jc w:val="both"/>
        <w:rPr>
          <w:rFonts w:cstheme="minorHAnsi"/>
          <w:color w:val="000000" w:themeColor="text1"/>
          <w:lang w:val="en-US"/>
        </w:rPr>
      </w:pPr>
    </w:p>
    <w:p w14:paraId="509737E2" w14:textId="46EB7ED8" w:rsidR="002D3500" w:rsidRDefault="002D3500">
      <w:pPr>
        <w:rPr>
          <w:color w:val="000000" w:themeColor="text1"/>
          <w:lang w:val="en-US"/>
        </w:rPr>
      </w:pPr>
      <w:r>
        <w:rPr>
          <w:color w:val="000000" w:themeColor="text1"/>
          <w:lang w:val="en-US"/>
        </w:rPr>
        <w:br w:type="page"/>
      </w:r>
    </w:p>
    <w:p w14:paraId="26753375" w14:textId="77777777" w:rsidR="00E35142" w:rsidRDefault="00E35142" w:rsidP="002D3500">
      <w:pPr>
        <w:widowControl w:val="0"/>
        <w:autoSpaceDE w:val="0"/>
        <w:autoSpaceDN w:val="0"/>
        <w:adjustRightInd w:val="0"/>
        <w:jc w:val="center"/>
        <w:rPr>
          <w:color w:val="000000" w:themeColor="text1"/>
          <w:sz w:val="20"/>
          <w:szCs w:val="20"/>
          <w:lang w:val="en-US"/>
        </w:rPr>
      </w:pPr>
    </w:p>
    <w:p w14:paraId="3D1F495B" w14:textId="77777777" w:rsidR="00E35142" w:rsidRDefault="00E35142" w:rsidP="002D3500">
      <w:pPr>
        <w:widowControl w:val="0"/>
        <w:autoSpaceDE w:val="0"/>
        <w:autoSpaceDN w:val="0"/>
        <w:adjustRightInd w:val="0"/>
        <w:jc w:val="center"/>
        <w:rPr>
          <w:color w:val="000000" w:themeColor="text1"/>
          <w:sz w:val="20"/>
          <w:szCs w:val="20"/>
          <w:lang w:val="en-US"/>
        </w:rPr>
      </w:pPr>
    </w:p>
    <w:p w14:paraId="5447CBBE" w14:textId="7943E7C4" w:rsidR="002D3500" w:rsidRPr="00E35142" w:rsidRDefault="002D3500" w:rsidP="002D3500">
      <w:pPr>
        <w:widowControl w:val="0"/>
        <w:autoSpaceDE w:val="0"/>
        <w:autoSpaceDN w:val="0"/>
        <w:adjustRightInd w:val="0"/>
        <w:jc w:val="center"/>
        <w:rPr>
          <w:color w:val="000000" w:themeColor="text1"/>
          <w:sz w:val="20"/>
          <w:szCs w:val="20"/>
          <w:lang w:val="en-US"/>
        </w:rPr>
      </w:pPr>
      <w:r w:rsidRPr="00E35142">
        <w:rPr>
          <w:noProof/>
          <w:color w:val="000000" w:themeColor="text1"/>
          <w:sz w:val="20"/>
          <w:szCs w:val="20"/>
          <w:lang w:val="en-US"/>
        </w:rPr>
        <w:drawing>
          <wp:inline distT="0" distB="0" distL="0" distR="0" wp14:anchorId="34F81201" wp14:editId="2296D58E">
            <wp:extent cx="3122578" cy="2296158"/>
            <wp:effectExtent l="0" t="0" r="1905" b="952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27329" cy="2299652"/>
                    </a:xfrm>
                    <a:prstGeom prst="rect">
                      <a:avLst/>
                    </a:prstGeom>
                  </pic:spPr>
                </pic:pic>
              </a:graphicData>
            </a:graphic>
          </wp:inline>
        </w:drawing>
      </w:r>
    </w:p>
    <w:p w14:paraId="61600E6A" w14:textId="5118C8C8" w:rsidR="002D3500" w:rsidRPr="00E35142" w:rsidRDefault="002D3500" w:rsidP="002D3500">
      <w:pPr>
        <w:widowControl w:val="0"/>
        <w:autoSpaceDE w:val="0"/>
        <w:autoSpaceDN w:val="0"/>
        <w:adjustRightInd w:val="0"/>
        <w:jc w:val="both"/>
        <w:rPr>
          <w:color w:val="000000" w:themeColor="text1"/>
          <w:sz w:val="20"/>
          <w:szCs w:val="20"/>
          <w:lang w:val="en-US"/>
        </w:rPr>
      </w:pPr>
      <w:r w:rsidRPr="00E35142">
        <w:rPr>
          <w:b/>
          <w:bCs/>
          <w:color w:val="000000" w:themeColor="text1"/>
          <w:sz w:val="20"/>
          <w:szCs w:val="20"/>
          <w:lang w:val="en-US"/>
        </w:rPr>
        <w:t xml:space="preserve">Fig. S1 </w:t>
      </w:r>
      <w:r w:rsidRPr="00E35142">
        <w:rPr>
          <w:color w:val="000000" w:themeColor="text1"/>
          <w:sz w:val="20"/>
          <w:szCs w:val="20"/>
          <w:lang w:val="en-US"/>
        </w:rPr>
        <w:t>Photoluminescence intensity at time delay t=0 versus excitation fluence, as measured from a thin crystal (squares) or thin films (triangles). One-photon non-resonant is shown in b</w:t>
      </w:r>
      <w:r w:rsidR="002D1541" w:rsidRPr="00E35142">
        <w:rPr>
          <w:color w:val="000000" w:themeColor="text1"/>
          <w:sz w:val="20"/>
          <w:szCs w:val="20"/>
          <w:lang w:val="en-US"/>
        </w:rPr>
        <w:t>lue</w:t>
      </w:r>
      <w:r w:rsidRPr="00E35142">
        <w:rPr>
          <w:color w:val="000000" w:themeColor="text1"/>
          <w:sz w:val="20"/>
          <w:szCs w:val="20"/>
          <w:lang w:val="en-US"/>
        </w:rPr>
        <w:t xml:space="preserve">, two-photon non-resonant in red and two-photon resonant in </w:t>
      </w:r>
      <w:r w:rsidR="00ED18C6">
        <w:rPr>
          <w:color w:val="000000" w:themeColor="text1"/>
          <w:sz w:val="20"/>
          <w:szCs w:val="20"/>
          <w:lang w:val="en-US"/>
        </w:rPr>
        <w:t>amaranth red</w:t>
      </w:r>
      <w:r w:rsidRPr="00E35142">
        <w:rPr>
          <w:color w:val="000000" w:themeColor="text1"/>
          <w:sz w:val="20"/>
          <w:szCs w:val="20"/>
          <w:lang w:val="en-US"/>
        </w:rPr>
        <w:t>.  The Blue and red dashed lines are a guide to the eye for linear and quadratic trend, respectively.</w:t>
      </w:r>
    </w:p>
    <w:p w14:paraId="3D15E2E8" w14:textId="744E0B56" w:rsidR="002D3500" w:rsidRDefault="002D3500" w:rsidP="002D3500">
      <w:pPr>
        <w:widowControl w:val="0"/>
        <w:autoSpaceDE w:val="0"/>
        <w:autoSpaceDN w:val="0"/>
        <w:adjustRightInd w:val="0"/>
        <w:jc w:val="both"/>
        <w:rPr>
          <w:color w:val="000000" w:themeColor="text1"/>
          <w:sz w:val="20"/>
          <w:szCs w:val="20"/>
          <w:lang w:val="en-US"/>
        </w:rPr>
      </w:pPr>
    </w:p>
    <w:p w14:paraId="7115D5EE" w14:textId="77777777" w:rsidR="00E35142" w:rsidRPr="00E35142" w:rsidRDefault="00E35142" w:rsidP="002D3500">
      <w:pPr>
        <w:widowControl w:val="0"/>
        <w:autoSpaceDE w:val="0"/>
        <w:autoSpaceDN w:val="0"/>
        <w:adjustRightInd w:val="0"/>
        <w:jc w:val="both"/>
        <w:rPr>
          <w:color w:val="000000" w:themeColor="text1"/>
          <w:sz w:val="20"/>
          <w:szCs w:val="20"/>
          <w:lang w:val="en-US"/>
        </w:rPr>
      </w:pPr>
    </w:p>
    <w:p w14:paraId="0BAEB56D" w14:textId="77777777" w:rsidR="002D3500" w:rsidRPr="00E35142" w:rsidRDefault="002D3500" w:rsidP="007F1E5A">
      <w:pPr>
        <w:widowControl w:val="0"/>
        <w:autoSpaceDE w:val="0"/>
        <w:autoSpaceDN w:val="0"/>
        <w:adjustRightInd w:val="0"/>
        <w:jc w:val="center"/>
        <w:rPr>
          <w:color w:val="000000" w:themeColor="text1"/>
          <w:sz w:val="20"/>
          <w:szCs w:val="20"/>
          <w:lang w:val="en-US"/>
        </w:rPr>
      </w:pPr>
      <w:r w:rsidRPr="00E35142">
        <w:rPr>
          <w:noProof/>
          <w:color w:val="000000" w:themeColor="text1"/>
          <w:sz w:val="20"/>
          <w:szCs w:val="20"/>
          <w:lang w:val="en-US"/>
        </w:rPr>
        <w:drawing>
          <wp:inline distT="0" distB="0" distL="0" distR="0" wp14:anchorId="074539E9" wp14:editId="05CB57C5">
            <wp:extent cx="5807450" cy="1888177"/>
            <wp:effectExtent l="0" t="0" r="3175"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45577" cy="1900573"/>
                    </a:xfrm>
                    <a:prstGeom prst="rect">
                      <a:avLst/>
                    </a:prstGeom>
                    <a:noFill/>
                  </pic:spPr>
                </pic:pic>
              </a:graphicData>
            </a:graphic>
          </wp:inline>
        </w:drawing>
      </w:r>
    </w:p>
    <w:p w14:paraId="615045EA" w14:textId="2C579A10" w:rsidR="00227BE6" w:rsidRDefault="002D3500" w:rsidP="00E35142">
      <w:pPr>
        <w:widowControl w:val="0"/>
        <w:autoSpaceDE w:val="0"/>
        <w:autoSpaceDN w:val="0"/>
        <w:adjustRightInd w:val="0"/>
        <w:jc w:val="both"/>
        <w:rPr>
          <w:color w:val="000000" w:themeColor="text1"/>
          <w:sz w:val="20"/>
          <w:szCs w:val="20"/>
          <w:lang w:val="en-US"/>
        </w:rPr>
      </w:pPr>
      <w:r w:rsidRPr="00E35142">
        <w:rPr>
          <w:b/>
          <w:bCs/>
          <w:color w:val="000000" w:themeColor="text1"/>
          <w:sz w:val="20"/>
          <w:szCs w:val="20"/>
          <w:lang w:val="en-US"/>
        </w:rPr>
        <w:t xml:space="preserve">Fig. S2 </w:t>
      </w:r>
      <w:r w:rsidRPr="00E35142">
        <w:rPr>
          <w:color w:val="000000" w:themeColor="text1"/>
          <w:sz w:val="20"/>
          <w:szCs w:val="20"/>
          <w:lang w:val="en-US"/>
        </w:rPr>
        <w:t>DT/T spectra integrated after 40ps at different laser fluences for three different excitation configurations: a) one-photon non-resonant, b) two-photon non-resonant and c) two-photon resonant. The spectra are confirming that after the initial ultrafast transient the behavior is always compatible with broadening feature, as sketched in Fig. 2C in main text.</w:t>
      </w:r>
    </w:p>
    <w:p w14:paraId="37BE2451" w14:textId="77777777" w:rsidR="00E35142" w:rsidRPr="00E35142" w:rsidRDefault="00E35142" w:rsidP="00E35142">
      <w:pPr>
        <w:widowControl w:val="0"/>
        <w:autoSpaceDE w:val="0"/>
        <w:autoSpaceDN w:val="0"/>
        <w:adjustRightInd w:val="0"/>
        <w:jc w:val="both"/>
        <w:rPr>
          <w:color w:val="000000" w:themeColor="text1"/>
          <w:sz w:val="20"/>
          <w:szCs w:val="20"/>
          <w:lang w:val="en-US"/>
        </w:rPr>
      </w:pPr>
    </w:p>
    <w:p w14:paraId="6725CDB2" w14:textId="77777777" w:rsidR="00227BE6" w:rsidRPr="00E35142" w:rsidRDefault="00227BE6" w:rsidP="002D3500">
      <w:pPr>
        <w:widowControl w:val="0"/>
        <w:autoSpaceDE w:val="0"/>
        <w:autoSpaceDN w:val="0"/>
        <w:adjustRightInd w:val="0"/>
        <w:ind w:left="640" w:hanging="640"/>
        <w:jc w:val="center"/>
        <w:rPr>
          <w:color w:val="000000" w:themeColor="text1"/>
          <w:sz w:val="20"/>
          <w:szCs w:val="20"/>
          <w:lang w:val="en-US"/>
        </w:rPr>
      </w:pPr>
    </w:p>
    <w:p w14:paraId="13EAD6E9" w14:textId="77777777" w:rsidR="00E35142" w:rsidRDefault="00E35142" w:rsidP="002D3500">
      <w:pPr>
        <w:widowControl w:val="0"/>
        <w:autoSpaceDE w:val="0"/>
        <w:autoSpaceDN w:val="0"/>
        <w:adjustRightInd w:val="0"/>
        <w:ind w:left="640" w:hanging="640"/>
        <w:jc w:val="center"/>
        <w:rPr>
          <w:color w:val="000000" w:themeColor="text1"/>
          <w:sz w:val="20"/>
          <w:szCs w:val="20"/>
          <w:lang w:val="en-US"/>
        </w:rPr>
      </w:pPr>
    </w:p>
    <w:p w14:paraId="3B9652E6" w14:textId="77777777" w:rsidR="00E35142" w:rsidRDefault="00E35142" w:rsidP="002D3500">
      <w:pPr>
        <w:widowControl w:val="0"/>
        <w:autoSpaceDE w:val="0"/>
        <w:autoSpaceDN w:val="0"/>
        <w:adjustRightInd w:val="0"/>
        <w:ind w:left="640" w:hanging="640"/>
        <w:jc w:val="center"/>
        <w:rPr>
          <w:color w:val="000000" w:themeColor="text1"/>
          <w:sz w:val="20"/>
          <w:szCs w:val="20"/>
          <w:lang w:val="en-US"/>
        </w:rPr>
      </w:pPr>
    </w:p>
    <w:p w14:paraId="70FA1959" w14:textId="77777777" w:rsidR="00E35142" w:rsidRDefault="00E35142" w:rsidP="002D3500">
      <w:pPr>
        <w:widowControl w:val="0"/>
        <w:autoSpaceDE w:val="0"/>
        <w:autoSpaceDN w:val="0"/>
        <w:adjustRightInd w:val="0"/>
        <w:ind w:left="640" w:hanging="640"/>
        <w:jc w:val="center"/>
        <w:rPr>
          <w:color w:val="000000" w:themeColor="text1"/>
          <w:sz w:val="20"/>
          <w:szCs w:val="20"/>
          <w:lang w:val="en-US"/>
        </w:rPr>
      </w:pPr>
    </w:p>
    <w:p w14:paraId="57F96A2D" w14:textId="77777777" w:rsidR="00E35142" w:rsidRDefault="00E35142" w:rsidP="002D3500">
      <w:pPr>
        <w:widowControl w:val="0"/>
        <w:autoSpaceDE w:val="0"/>
        <w:autoSpaceDN w:val="0"/>
        <w:adjustRightInd w:val="0"/>
        <w:ind w:left="640" w:hanging="640"/>
        <w:jc w:val="center"/>
        <w:rPr>
          <w:color w:val="000000" w:themeColor="text1"/>
          <w:sz w:val="20"/>
          <w:szCs w:val="20"/>
          <w:lang w:val="en-US"/>
        </w:rPr>
      </w:pPr>
    </w:p>
    <w:p w14:paraId="2842794E" w14:textId="77777777" w:rsidR="00E35142" w:rsidRDefault="00E35142">
      <w:pPr>
        <w:rPr>
          <w:color w:val="000000" w:themeColor="text1"/>
          <w:sz w:val="20"/>
          <w:szCs w:val="20"/>
          <w:lang w:val="en-US"/>
        </w:rPr>
      </w:pPr>
      <w:r>
        <w:rPr>
          <w:color w:val="000000" w:themeColor="text1"/>
          <w:sz w:val="20"/>
          <w:szCs w:val="20"/>
          <w:lang w:val="en-US"/>
        </w:rPr>
        <w:br w:type="page"/>
      </w:r>
    </w:p>
    <w:p w14:paraId="0D619A23" w14:textId="77777777" w:rsidR="00E35142" w:rsidRDefault="00E35142" w:rsidP="002D3500">
      <w:pPr>
        <w:widowControl w:val="0"/>
        <w:autoSpaceDE w:val="0"/>
        <w:autoSpaceDN w:val="0"/>
        <w:adjustRightInd w:val="0"/>
        <w:ind w:left="640" w:hanging="640"/>
        <w:jc w:val="center"/>
        <w:rPr>
          <w:color w:val="000000" w:themeColor="text1"/>
          <w:sz w:val="20"/>
          <w:szCs w:val="20"/>
          <w:lang w:val="en-US"/>
        </w:rPr>
      </w:pPr>
    </w:p>
    <w:p w14:paraId="782C1C26" w14:textId="19347B0E" w:rsidR="002D3500" w:rsidRPr="00E35142" w:rsidRDefault="002D3500" w:rsidP="002D3500">
      <w:pPr>
        <w:widowControl w:val="0"/>
        <w:autoSpaceDE w:val="0"/>
        <w:autoSpaceDN w:val="0"/>
        <w:adjustRightInd w:val="0"/>
        <w:ind w:left="640" w:hanging="640"/>
        <w:jc w:val="center"/>
        <w:rPr>
          <w:color w:val="000000" w:themeColor="text1"/>
          <w:sz w:val="20"/>
          <w:szCs w:val="20"/>
          <w:lang w:val="en-US"/>
        </w:rPr>
      </w:pPr>
      <w:r w:rsidRPr="00E35142">
        <w:rPr>
          <w:noProof/>
          <w:color w:val="000000" w:themeColor="text1"/>
          <w:sz w:val="20"/>
          <w:szCs w:val="20"/>
          <w:lang w:val="en-US"/>
        </w:rPr>
        <w:drawing>
          <wp:inline distT="0" distB="0" distL="0" distR="0" wp14:anchorId="64F2D5EA" wp14:editId="74FAC3BE">
            <wp:extent cx="5252936" cy="2502047"/>
            <wp:effectExtent l="0" t="0" r="508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2047"/>
                    <a:stretch/>
                  </pic:blipFill>
                  <pic:spPr bwMode="auto">
                    <a:xfrm>
                      <a:off x="0" y="0"/>
                      <a:ext cx="5277917" cy="2513946"/>
                    </a:xfrm>
                    <a:prstGeom prst="rect">
                      <a:avLst/>
                    </a:prstGeom>
                    <a:noFill/>
                    <a:ln>
                      <a:noFill/>
                    </a:ln>
                    <a:extLst>
                      <a:ext uri="{53640926-AAD7-44D8-BBD7-CCE9431645EC}">
                        <a14:shadowObscured xmlns:a14="http://schemas.microsoft.com/office/drawing/2010/main"/>
                      </a:ext>
                    </a:extLst>
                  </pic:spPr>
                </pic:pic>
              </a:graphicData>
            </a:graphic>
          </wp:inline>
        </w:drawing>
      </w:r>
    </w:p>
    <w:p w14:paraId="1040A455" w14:textId="77777777" w:rsidR="00E35142" w:rsidRDefault="002D3500" w:rsidP="002D3500">
      <w:pPr>
        <w:widowControl w:val="0"/>
        <w:autoSpaceDE w:val="0"/>
        <w:autoSpaceDN w:val="0"/>
        <w:adjustRightInd w:val="0"/>
        <w:jc w:val="both"/>
        <w:rPr>
          <w:color w:val="000000" w:themeColor="text1"/>
          <w:sz w:val="20"/>
          <w:szCs w:val="20"/>
          <w:lang w:val="en-US"/>
        </w:rPr>
      </w:pPr>
      <w:r w:rsidRPr="00E35142">
        <w:rPr>
          <w:b/>
          <w:bCs/>
          <w:color w:val="000000" w:themeColor="text1"/>
          <w:sz w:val="20"/>
          <w:szCs w:val="20"/>
          <w:lang w:val="en-US"/>
        </w:rPr>
        <w:t xml:space="preserve">Fig. S3 </w:t>
      </w:r>
      <w:r w:rsidRPr="00E35142">
        <w:rPr>
          <w:color w:val="000000" w:themeColor="text1"/>
          <w:sz w:val="20"/>
          <w:szCs w:val="20"/>
          <w:lang w:val="en-US"/>
        </w:rPr>
        <w:t>DT/T decay profiles (in absolute value) obtained from thin film with two-photon resonant (a-b), two-photon non-resonant (c-d) and 1- photon non-resonant</w:t>
      </w:r>
      <w:r w:rsidR="00294C60" w:rsidRPr="00E35142">
        <w:rPr>
          <w:color w:val="000000" w:themeColor="text1"/>
          <w:sz w:val="20"/>
          <w:szCs w:val="20"/>
          <w:lang w:val="en-US"/>
        </w:rPr>
        <w:t xml:space="preserve"> (e-f)</w:t>
      </w:r>
      <w:r w:rsidRPr="00E35142">
        <w:rPr>
          <w:color w:val="000000" w:themeColor="text1"/>
          <w:sz w:val="20"/>
          <w:szCs w:val="20"/>
          <w:lang w:val="en-US"/>
        </w:rPr>
        <w:t xml:space="preserve"> excitation, reported for two different excitation fluences. The traces are obtained integrating the positive peak at central wavelength (black lines), negative lobe at longer wavelength (red lines) and at shorter wavelength (blue lines).</w:t>
      </w:r>
    </w:p>
    <w:p w14:paraId="52AC2DB7" w14:textId="7462E037" w:rsidR="002D3500" w:rsidRDefault="002D3500" w:rsidP="002D3500">
      <w:pPr>
        <w:widowControl w:val="0"/>
        <w:autoSpaceDE w:val="0"/>
        <w:autoSpaceDN w:val="0"/>
        <w:adjustRightInd w:val="0"/>
        <w:jc w:val="both"/>
        <w:rPr>
          <w:color w:val="000000" w:themeColor="text1"/>
          <w:sz w:val="20"/>
          <w:szCs w:val="20"/>
          <w:lang w:val="en-US"/>
        </w:rPr>
      </w:pPr>
      <w:r w:rsidRPr="00E35142">
        <w:rPr>
          <w:color w:val="000000" w:themeColor="text1"/>
          <w:sz w:val="20"/>
          <w:szCs w:val="20"/>
          <w:lang w:val="en-US"/>
        </w:rPr>
        <w:t xml:space="preserve"> </w:t>
      </w:r>
    </w:p>
    <w:p w14:paraId="05506EB8" w14:textId="77777777" w:rsidR="00E35142" w:rsidRPr="00E35142" w:rsidRDefault="00E35142" w:rsidP="002D3500">
      <w:pPr>
        <w:widowControl w:val="0"/>
        <w:autoSpaceDE w:val="0"/>
        <w:autoSpaceDN w:val="0"/>
        <w:adjustRightInd w:val="0"/>
        <w:jc w:val="both"/>
        <w:rPr>
          <w:color w:val="000000" w:themeColor="text1"/>
          <w:sz w:val="20"/>
          <w:szCs w:val="20"/>
          <w:lang w:val="en-US"/>
        </w:rPr>
      </w:pPr>
    </w:p>
    <w:p w14:paraId="497CE5A6" w14:textId="6F54627E" w:rsidR="00294C60" w:rsidRPr="00E35142" w:rsidRDefault="00294C60" w:rsidP="00294C60">
      <w:pPr>
        <w:widowControl w:val="0"/>
        <w:autoSpaceDE w:val="0"/>
        <w:autoSpaceDN w:val="0"/>
        <w:adjustRightInd w:val="0"/>
        <w:jc w:val="center"/>
        <w:rPr>
          <w:noProof/>
          <w:color w:val="000000" w:themeColor="text1"/>
          <w:sz w:val="20"/>
          <w:szCs w:val="20"/>
          <w:lang w:val="en-US"/>
        </w:rPr>
      </w:pPr>
      <w:r w:rsidRPr="00E35142">
        <w:rPr>
          <w:noProof/>
          <w:color w:val="000000" w:themeColor="text1"/>
          <w:sz w:val="20"/>
          <w:szCs w:val="20"/>
        </w:rPr>
        <w:drawing>
          <wp:inline distT="0" distB="0" distL="0" distR="0" wp14:anchorId="19170C69" wp14:editId="63C312FA">
            <wp:extent cx="5539719" cy="1573448"/>
            <wp:effectExtent l="0" t="0" r="4445" b="8255"/>
            <wp:docPr id="2" name="Immagine 1">
              <a:extLst xmlns:a="http://schemas.openxmlformats.org/drawingml/2006/main">
                <a:ext uri="{FF2B5EF4-FFF2-40B4-BE49-F238E27FC236}">
                  <a16:creationId xmlns:a16="http://schemas.microsoft.com/office/drawing/2014/main" id="{884F9908-CE21-F654-AB6D-9256F8AE1F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a:extLst>
                        <a:ext uri="{FF2B5EF4-FFF2-40B4-BE49-F238E27FC236}">
                          <a16:creationId xmlns:a16="http://schemas.microsoft.com/office/drawing/2014/main" id="{884F9908-CE21-F654-AB6D-9256F8AE1FCE}"/>
                        </a:ext>
                      </a:extLst>
                    </pic:cNvPr>
                    <pic:cNvPicPr>
                      <a:picLocks noChangeAspect="1"/>
                    </pic:cNvPicPr>
                  </pic:nvPicPr>
                  <pic:blipFill rotWithShape="1">
                    <a:blip r:embed="rId8"/>
                    <a:srcRect t="53445" r="3232"/>
                    <a:stretch/>
                  </pic:blipFill>
                  <pic:spPr bwMode="auto">
                    <a:xfrm>
                      <a:off x="0" y="0"/>
                      <a:ext cx="5562006" cy="1579778"/>
                    </a:xfrm>
                    <a:prstGeom prst="rect">
                      <a:avLst/>
                    </a:prstGeom>
                    <a:solidFill>
                      <a:schemeClr val="bg1"/>
                    </a:solidFill>
                    <a:ln>
                      <a:noFill/>
                    </a:ln>
                    <a:extLst>
                      <a:ext uri="{53640926-AAD7-44D8-BBD7-CCE9431645EC}">
                        <a14:shadowObscured xmlns:a14="http://schemas.microsoft.com/office/drawing/2010/main"/>
                      </a:ext>
                    </a:extLst>
                  </pic:spPr>
                </pic:pic>
              </a:graphicData>
            </a:graphic>
          </wp:inline>
        </w:drawing>
      </w:r>
    </w:p>
    <w:p w14:paraId="0315EB06" w14:textId="7E9C4A79" w:rsidR="00294C60" w:rsidRPr="00E35142" w:rsidRDefault="00294C60" w:rsidP="00294C60">
      <w:pPr>
        <w:widowControl w:val="0"/>
        <w:autoSpaceDE w:val="0"/>
        <w:autoSpaceDN w:val="0"/>
        <w:adjustRightInd w:val="0"/>
        <w:jc w:val="both"/>
        <w:rPr>
          <w:color w:val="000000" w:themeColor="text1"/>
          <w:sz w:val="20"/>
          <w:szCs w:val="20"/>
          <w:lang w:val="en-US"/>
        </w:rPr>
      </w:pPr>
      <w:r w:rsidRPr="00E35142">
        <w:rPr>
          <w:b/>
          <w:bCs/>
          <w:color w:val="000000" w:themeColor="text1"/>
          <w:sz w:val="20"/>
          <w:szCs w:val="20"/>
          <w:lang w:val="en-US"/>
        </w:rPr>
        <w:t xml:space="preserve">Fig. S4 </w:t>
      </w:r>
      <w:r w:rsidRPr="00E35142">
        <w:rPr>
          <w:color w:val="000000" w:themeColor="text1"/>
          <w:sz w:val="20"/>
          <w:szCs w:val="20"/>
          <w:lang w:val="en-US"/>
        </w:rPr>
        <w:t xml:space="preserve">DT/T decay profiles (in absolute value) obtained from thin crystal with two-photon resonant (a), two-photon non-resonant (b) and 1- photon non-resonant (c) excitation, on a nanosecond timescale, from the same set of data as what reported in Fig. 3 in the main text. The traces are obtained integrating the positive peak at central wavelength (black lines), negative lobe at longer wavelength (red lines) and at shorter wavelength (blue lines). </w:t>
      </w:r>
    </w:p>
    <w:p w14:paraId="135370AA" w14:textId="77777777" w:rsidR="00294C60" w:rsidRPr="00E35142" w:rsidRDefault="00294C60" w:rsidP="002D3500">
      <w:pPr>
        <w:widowControl w:val="0"/>
        <w:autoSpaceDE w:val="0"/>
        <w:autoSpaceDN w:val="0"/>
        <w:adjustRightInd w:val="0"/>
        <w:jc w:val="both"/>
        <w:rPr>
          <w:noProof/>
          <w:color w:val="000000" w:themeColor="text1"/>
          <w:sz w:val="20"/>
          <w:szCs w:val="20"/>
          <w:lang w:val="en-US"/>
        </w:rPr>
      </w:pPr>
    </w:p>
    <w:p w14:paraId="3ADDDF22" w14:textId="36822E08" w:rsidR="002D3500" w:rsidRPr="00E35142" w:rsidRDefault="00227BE6" w:rsidP="00E35142">
      <w:pPr>
        <w:widowControl w:val="0"/>
        <w:autoSpaceDE w:val="0"/>
        <w:autoSpaceDN w:val="0"/>
        <w:adjustRightInd w:val="0"/>
        <w:jc w:val="center"/>
        <w:rPr>
          <w:color w:val="000000" w:themeColor="text1"/>
          <w:sz w:val="20"/>
          <w:szCs w:val="20"/>
          <w:lang w:val="en-US"/>
        </w:rPr>
      </w:pPr>
      <w:r w:rsidRPr="00E35142">
        <w:rPr>
          <w:noProof/>
          <w:color w:val="000000" w:themeColor="text1"/>
          <w:sz w:val="20"/>
          <w:szCs w:val="20"/>
          <w:lang w:val="en-US"/>
        </w:rPr>
        <w:lastRenderedPageBreak/>
        <w:drawing>
          <wp:inline distT="0" distB="0" distL="0" distR="0" wp14:anchorId="3B2CAA05" wp14:editId="0FFB3DAF">
            <wp:extent cx="5749925" cy="4389942"/>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rotWithShape="1">
                    <a:blip r:embed="rId9" cstate="print">
                      <a:extLst>
                        <a:ext uri="{28A0092B-C50C-407E-A947-70E740481C1C}">
                          <a14:useLocalDpi xmlns:a14="http://schemas.microsoft.com/office/drawing/2010/main" val="0"/>
                        </a:ext>
                      </a:extLst>
                    </a:blip>
                    <a:srcRect t="4447"/>
                    <a:stretch/>
                  </pic:blipFill>
                  <pic:spPr bwMode="auto">
                    <a:xfrm>
                      <a:off x="0" y="0"/>
                      <a:ext cx="5750372" cy="4390283"/>
                    </a:xfrm>
                    <a:prstGeom prst="rect">
                      <a:avLst/>
                    </a:prstGeom>
                    <a:ln>
                      <a:noFill/>
                    </a:ln>
                    <a:extLst>
                      <a:ext uri="{53640926-AAD7-44D8-BBD7-CCE9431645EC}">
                        <a14:shadowObscured xmlns:a14="http://schemas.microsoft.com/office/drawing/2010/main"/>
                      </a:ext>
                    </a:extLst>
                  </pic:spPr>
                </pic:pic>
              </a:graphicData>
            </a:graphic>
          </wp:inline>
        </w:drawing>
      </w:r>
    </w:p>
    <w:p w14:paraId="064485DE" w14:textId="669B670C" w:rsidR="00227BE6" w:rsidRPr="00E35142" w:rsidRDefault="00227BE6" w:rsidP="00227BE6">
      <w:pPr>
        <w:widowControl w:val="0"/>
        <w:autoSpaceDE w:val="0"/>
        <w:autoSpaceDN w:val="0"/>
        <w:adjustRightInd w:val="0"/>
        <w:jc w:val="both"/>
        <w:rPr>
          <w:color w:val="000000" w:themeColor="text1"/>
          <w:sz w:val="20"/>
          <w:szCs w:val="20"/>
          <w:lang w:val="en-US"/>
        </w:rPr>
      </w:pPr>
      <w:r w:rsidRPr="00E35142">
        <w:rPr>
          <w:b/>
          <w:bCs/>
          <w:color w:val="000000" w:themeColor="text1"/>
          <w:sz w:val="20"/>
          <w:szCs w:val="20"/>
          <w:lang w:val="en-US"/>
        </w:rPr>
        <w:t>Fig. S</w:t>
      </w:r>
      <w:r w:rsidR="00294C60" w:rsidRPr="00E35142">
        <w:rPr>
          <w:b/>
          <w:bCs/>
          <w:color w:val="000000" w:themeColor="text1"/>
          <w:sz w:val="20"/>
          <w:szCs w:val="20"/>
          <w:lang w:val="en-US"/>
        </w:rPr>
        <w:t>5</w:t>
      </w:r>
      <w:r w:rsidRPr="00E35142">
        <w:rPr>
          <w:b/>
          <w:bCs/>
          <w:color w:val="000000" w:themeColor="text1"/>
          <w:sz w:val="20"/>
          <w:szCs w:val="20"/>
          <w:lang w:val="en-US"/>
        </w:rPr>
        <w:t xml:space="preserve"> </w:t>
      </w:r>
      <w:r w:rsidRPr="00E35142">
        <w:rPr>
          <w:color w:val="000000" w:themeColor="text1"/>
          <w:sz w:val="20"/>
          <w:szCs w:val="20"/>
          <w:lang w:val="en-US"/>
        </w:rPr>
        <w:t>DT/T decay profiles obtained from thin crystal with two-photon resonant excitation</w:t>
      </w:r>
      <w:r w:rsidR="00B10E35" w:rsidRPr="00E35142">
        <w:rPr>
          <w:color w:val="000000" w:themeColor="text1"/>
          <w:sz w:val="20"/>
          <w:szCs w:val="20"/>
          <w:lang w:val="en-US"/>
        </w:rPr>
        <w:t xml:space="preserve"> (1030nm)</w:t>
      </w:r>
      <w:r w:rsidRPr="00E35142">
        <w:rPr>
          <w:color w:val="000000" w:themeColor="text1"/>
          <w:sz w:val="20"/>
          <w:szCs w:val="20"/>
          <w:lang w:val="en-US"/>
        </w:rPr>
        <w:t xml:space="preserve"> at the high energy lobe </w:t>
      </w:r>
      <w:r w:rsidR="00B10E35" w:rsidRPr="00E35142">
        <w:rPr>
          <w:color w:val="000000" w:themeColor="text1"/>
          <w:sz w:val="20"/>
          <w:szCs w:val="20"/>
          <w:lang w:val="en-US"/>
        </w:rPr>
        <w:t xml:space="preserve">(487nm) </w:t>
      </w:r>
      <w:r w:rsidRPr="00E35142">
        <w:rPr>
          <w:color w:val="000000" w:themeColor="text1"/>
          <w:sz w:val="20"/>
          <w:szCs w:val="20"/>
          <w:lang w:val="en-US"/>
        </w:rPr>
        <w:t>and low energy lobe</w:t>
      </w:r>
      <w:r w:rsidR="00B10E35" w:rsidRPr="00E35142">
        <w:rPr>
          <w:color w:val="000000" w:themeColor="text1"/>
          <w:sz w:val="20"/>
          <w:szCs w:val="20"/>
          <w:lang w:val="en-US"/>
        </w:rPr>
        <w:t xml:space="preserve"> (528nm)</w:t>
      </w:r>
      <w:r w:rsidRPr="00E35142">
        <w:rPr>
          <w:color w:val="000000" w:themeColor="text1"/>
          <w:sz w:val="20"/>
          <w:szCs w:val="20"/>
          <w:lang w:val="en-US"/>
        </w:rPr>
        <w:t xml:space="preserve">, reported with blue and red line respectively. </w:t>
      </w:r>
      <w:r w:rsidR="00B10E35" w:rsidRPr="00E35142">
        <w:rPr>
          <w:color w:val="000000" w:themeColor="text1"/>
          <w:sz w:val="20"/>
          <w:szCs w:val="20"/>
          <w:lang w:val="en-US"/>
        </w:rPr>
        <w:t xml:space="preserve">Left side plots (a-d) report the picosecond scale initial transient, while right side plots (e-h) report the normalized absolute values of decay profiles on a log scale, on a nanosecond timescale. </w:t>
      </w:r>
      <w:r w:rsidRPr="00E35142">
        <w:rPr>
          <w:color w:val="000000" w:themeColor="text1"/>
          <w:sz w:val="20"/>
          <w:szCs w:val="20"/>
          <w:lang w:val="en-US"/>
        </w:rPr>
        <w:t xml:space="preserve">Profiles are extracted </w:t>
      </w:r>
      <w:r w:rsidR="00B10E35" w:rsidRPr="00E35142">
        <w:rPr>
          <w:color w:val="000000" w:themeColor="text1"/>
          <w:sz w:val="20"/>
          <w:szCs w:val="20"/>
          <w:lang w:val="en-US"/>
        </w:rPr>
        <w:t>at different excitation fluences</w:t>
      </w:r>
      <w:r w:rsidRPr="00E35142">
        <w:rPr>
          <w:color w:val="000000" w:themeColor="text1"/>
          <w:sz w:val="20"/>
          <w:szCs w:val="20"/>
          <w:lang w:val="en-US"/>
        </w:rPr>
        <w:t>.</w:t>
      </w:r>
    </w:p>
    <w:p w14:paraId="72CD13BE" w14:textId="77777777" w:rsidR="00294C60" w:rsidRPr="00E35142" w:rsidRDefault="00294C60" w:rsidP="00227BE6">
      <w:pPr>
        <w:widowControl w:val="0"/>
        <w:autoSpaceDE w:val="0"/>
        <w:autoSpaceDN w:val="0"/>
        <w:adjustRightInd w:val="0"/>
        <w:jc w:val="both"/>
        <w:rPr>
          <w:color w:val="000000" w:themeColor="text1"/>
          <w:sz w:val="20"/>
          <w:szCs w:val="20"/>
          <w:lang w:val="en-US"/>
        </w:rPr>
      </w:pPr>
    </w:p>
    <w:p w14:paraId="7CC03E70" w14:textId="407B5ECD" w:rsidR="00B10E35" w:rsidRPr="00E35142" w:rsidRDefault="00B10E35" w:rsidP="00B10E35">
      <w:pPr>
        <w:widowControl w:val="0"/>
        <w:autoSpaceDE w:val="0"/>
        <w:autoSpaceDN w:val="0"/>
        <w:adjustRightInd w:val="0"/>
        <w:jc w:val="center"/>
        <w:rPr>
          <w:noProof/>
          <w:color w:val="000000" w:themeColor="text1"/>
          <w:sz w:val="20"/>
          <w:szCs w:val="20"/>
          <w:lang w:val="en-US"/>
        </w:rPr>
      </w:pPr>
      <w:r w:rsidRPr="00E35142">
        <w:rPr>
          <w:noProof/>
          <w:color w:val="000000" w:themeColor="text1"/>
          <w:sz w:val="20"/>
          <w:szCs w:val="20"/>
          <w:lang w:val="en-US"/>
        </w:rPr>
        <w:drawing>
          <wp:inline distT="0" distB="0" distL="0" distR="0" wp14:anchorId="0025B815" wp14:editId="4CB3662C">
            <wp:extent cx="6113886" cy="1478604"/>
            <wp:effectExtent l="0" t="0" r="1270" b="762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03087" cy="1500177"/>
                    </a:xfrm>
                    <a:prstGeom prst="rect">
                      <a:avLst/>
                    </a:prstGeom>
                    <a:noFill/>
                  </pic:spPr>
                </pic:pic>
              </a:graphicData>
            </a:graphic>
          </wp:inline>
        </w:drawing>
      </w:r>
    </w:p>
    <w:p w14:paraId="57F0C533" w14:textId="77777777" w:rsidR="00294C60" w:rsidRPr="00E35142" w:rsidRDefault="00294C60" w:rsidP="00B10E35">
      <w:pPr>
        <w:widowControl w:val="0"/>
        <w:autoSpaceDE w:val="0"/>
        <w:autoSpaceDN w:val="0"/>
        <w:adjustRightInd w:val="0"/>
        <w:jc w:val="center"/>
        <w:rPr>
          <w:noProof/>
          <w:color w:val="000000" w:themeColor="text1"/>
          <w:sz w:val="20"/>
          <w:szCs w:val="20"/>
          <w:lang w:val="en-US"/>
        </w:rPr>
      </w:pPr>
    </w:p>
    <w:p w14:paraId="76283928" w14:textId="4E567A37" w:rsidR="00B10E35" w:rsidRPr="00E35142" w:rsidRDefault="00B10E35" w:rsidP="00B10E35">
      <w:pPr>
        <w:widowControl w:val="0"/>
        <w:autoSpaceDE w:val="0"/>
        <w:autoSpaceDN w:val="0"/>
        <w:adjustRightInd w:val="0"/>
        <w:jc w:val="both"/>
        <w:rPr>
          <w:color w:val="000000" w:themeColor="text1"/>
          <w:sz w:val="20"/>
          <w:szCs w:val="20"/>
          <w:lang w:val="en-US"/>
        </w:rPr>
      </w:pPr>
      <w:r w:rsidRPr="00E35142">
        <w:rPr>
          <w:b/>
          <w:bCs/>
          <w:color w:val="000000" w:themeColor="text1"/>
          <w:sz w:val="20"/>
          <w:szCs w:val="20"/>
          <w:lang w:val="en-US"/>
        </w:rPr>
        <w:t>Fig. S</w:t>
      </w:r>
      <w:r w:rsidR="00294C60" w:rsidRPr="00E35142">
        <w:rPr>
          <w:b/>
          <w:bCs/>
          <w:color w:val="000000" w:themeColor="text1"/>
          <w:sz w:val="20"/>
          <w:szCs w:val="20"/>
          <w:lang w:val="en-US"/>
        </w:rPr>
        <w:t xml:space="preserve">6 </w:t>
      </w:r>
      <w:r w:rsidRPr="00E35142">
        <w:rPr>
          <w:color w:val="000000" w:themeColor="text1"/>
          <w:sz w:val="20"/>
          <w:szCs w:val="20"/>
          <w:lang w:val="en-US"/>
        </w:rPr>
        <w:t>DT/T spectrograms of PEA</w:t>
      </w:r>
      <w:r w:rsidRPr="00E35142">
        <w:rPr>
          <w:color w:val="000000" w:themeColor="text1"/>
          <w:sz w:val="20"/>
          <w:szCs w:val="20"/>
          <w:vertAlign w:val="subscript"/>
          <w:lang w:val="en-US"/>
        </w:rPr>
        <w:t>2</w:t>
      </w:r>
      <w:r w:rsidRPr="00E35142">
        <w:rPr>
          <w:color w:val="000000" w:themeColor="text1"/>
          <w:sz w:val="20"/>
          <w:szCs w:val="20"/>
          <w:lang w:val="en-US"/>
        </w:rPr>
        <w:t>PbI</w:t>
      </w:r>
      <w:r w:rsidRPr="00E35142">
        <w:rPr>
          <w:color w:val="000000" w:themeColor="text1"/>
          <w:sz w:val="20"/>
          <w:szCs w:val="20"/>
          <w:vertAlign w:val="subscript"/>
          <w:lang w:val="en-US"/>
        </w:rPr>
        <w:t>4</w:t>
      </w:r>
      <w:r w:rsidRPr="00E35142">
        <w:rPr>
          <w:color w:val="000000" w:themeColor="text1"/>
          <w:sz w:val="20"/>
          <w:szCs w:val="20"/>
          <w:lang w:val="en-US"/>
        </w:rPr>
        <w:t xml:space="preserve"> thin crystals under two-photon non-resonant (860nm) excitation at 300</w:t>
      </w:r>
      <w:proofErr w:type="gramStart"/>
      <w:r w:rsidRPr="00E35142">
        <w:rPr>
          <w:color w:val="000000" w:themeColor="text1"/>
          <w:sz w:val="20"/>
          <w:szCs w:val="20"/>
          <w:lang w:val="en-US"/>
        </w:rPr>
        <w:t>K  at</w:t>
      </w:r>
      <w:proofErr w:type="gramEnd"/>
      <w:r w:rsidRPr="00E35142">
        <w:rPr>
          <w:color w:val="000000" w:themeColor="text1"/>
          <w:sz w:val="20"/>
          <w:szCs w:val="20"/>
          <w:lang w:val="en-US"/>
        </w:rPr>
        <w:t xml:space="preserve"> different excitation fluences. </w:t>
      </w:r>
    </w:p>
    <w:p w14:paraId="6F39C2B9" w14:textId="6A93C483" w:rsidR="00227BE6" w:rsidRPr="00E35142" w:rsidRDefault="00227BE6" w:rsidP="00227BE6">
      <w:pPr>
        <w:widowControl w:val="0"/>
        <w:autoSpaceDE w:val="0"/>
        <w:autoSpaceDN w:val="0"/>
        <w:adjustRightInd w:val="0"/>
        <w:jc w:val="center"/>
        <w:rPr>
          <w:color w:val="000000" w:themeColor="text1"/>
          <w:sz w:val="20"/>
          <w:szCs w:val="20"/>
          <w:lang w:val="en-US"/>
        </w:rPr>
      </w:pPr>
    </w:p>
    <w:p w14:paraId="6CC5E694" w14:textId="77777777" w:rsidR="002D3500" w:rsidRPr="00E35142" w:rsidRDefault="002D3500" w:rsidP="002D3500">
      <w:pPr>
        <w:widowControl w:val="0"/>
        <w:autoSpaceDE w:val="0"/>
        <w:autoSpaceDN w:val="0"/>
        <w:adjustRightInd w:val="0"/>
        <w:jc w:val="center"/>
        <w:rPr>
          <w:noProof/>
          <w:color w:val="000000" w:themeColor="text1"/>
          <w:sz w:val="20"/>
          <w:szCs w:val="20"/>
          <w:lang w:val="en-US"/>
        </w:rPr>
      </w:pPr>
      <w:r w:rsidRPr="00E35142">
        <w:rPr>
          <w:color w:val="000000" w:themeColor="text1"/>
          <w:sz w:val="20"/>
          <w:szCs w:val="20"/>
          <w:lang w:val="en-US"/>
        </w:rPr>
        <w:br/>
      </w:r>
      <w:r w:rsidRPr="00E35142">
        <w:rPr>
          <w:noProof/>
          <w:color w:val="000000" w:themeColor="text1"/>
          <w:sz w:val="20"/>
          <w:szCs w:val="20"/>
          <w:lang w:val="en-US"/>
        </w:rPr>
        <w:lastRenderedPageBreak/>
        <w:drawing>
          <wp:inline distT="0" distB="0" distL="0" distR="0" wp14:anchorId="7278E0E7" wp14:editId="5E91BFA3">
            <wp:extent cx="4506235" cy="2898842"/>
            <wp:effectExtent l="0" t="0" r="8890" b="0"/>
            <wp:docPr id="10" name="Immagine 1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descr="Immagine che contiene testo&#10;&#10;Descrizione generata automa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31977" cy="2915401"/>
                    </a:xfrm>
                    <a:prstGeom prst="rect">
                      <a:avLst/>
                    </a:prstGeom>
                    <a:noFill/>
                  </pic:spPr>
                </pic:pic>
              </a:graphicData>
            </a:graphic>
          </wp:inline>
        </w:drawing>
      </w:r>
    </w:p>
    <w:p w14:paraId="7F2BA3B0" w14:textId="574AF206" w:rsidR="002D3500" w:rsidRPr="00E35142" w:rsidRDefault="002D3500" w:rsidP="002D3500">
      <w:pPr>
        <w:widowControl w:val="0"/>
        <w:autoSpaceDE w:val="0"/>
        <w:autoSpaceDN w:val="0"/>
        <w:adjustRightInd w:val="0"/>
        <w:jc w:val="both"/>
        <w:rPr>
          <w:b/>
          <w:bCs/>
          <w:color w:val="000000" w:themeColor="text1"/>
          <w:sz w:val="20"/>
          <w:szCs w:val="20"/>
          <w:lang w:val="en-US"/>
        </w:rPr>
      </w:pPr>
      <w:r w:rsidRPr="00E35142">
        <w:rPr>
          <w:b/>
          <w:bCs/>
          <w:color w:val="000000" w:themeColor="text1"/>
          <w:sz w:val="20"/>
          <w:szCs w:val="20"/>
          <w:lang w:val="en-US"/>
        </w:rPr>
        <w:t>Fig. S</w:t>
      </w:r>
      <w:r w:rsidR="00294C60" w:rsidRPr="00E35142">
        <w:rPr>
          <w:b/>
          <w:bCs/>
          <w:color w:val="000000" w:themeColor="text1"/>
          <w:sz w:val="20"/>
          <w:szCs w:val="20"/>
          <w:lang w:val="en-US"/>
        </w:rPr>
        <w:t>7</w:t>
      </w:r>
      <w:r w:rsidRPr="00E35142">
        <w:rPr>
          <w:color w:val="000000" w:themeColor="text1"/>
          <w:sz w:val="20"/>
          <w:szCs w:val="20"/>
          <w:lang w:val="en-US"/>
        </w:rPr>
        <w:t xml:space="preserve"> DT/T spectrograms of PEA</w:t>
      </w:r>
      <w:r w:rsidRPr="00E35142">
        <w:rPr>
          <w:color w:val="000000" w:themeColor="text1"/>
          <w:sz w:val="20"/>
          <w:szCs w:val="20"/>
          <w:vertAlign w:val="subscript"/>
          <w:lang w:val="en-US"/>
        </w:rPr>
        <w:t>2</w:t>
      </w:r>
      <w:r w:rsidRPr="00E35142">
        <w:rPr>
          <w:color w:val="000000" w:themeColor="text1"/>
          <w:sz w:val="20"/>
          <w:szCs w:val="20"/>
          <w:lang w:val="en-US"/>
        </w:rPr>
        <w:t>PbI</w:t>
      </w:r>
      <w:r w:rsidRPr="00E35142">
        <w:rPr>
          <w:color w:val="000000" w:themeColor="text1"/>
          <w:sz w:val="20"/>
          <w:szCs w:val="20"/>
          <w:vertAlign w:val="subscript"/>
          <w:lang w:val="en-US"/>
        </w:rPr>
        <w:t>4</w:t>
      </w:r>
      <w:r w:rsidRPr="00E35142">
        <w:rPr>
          <w:color w:val="000000" w:themeColor="text1"/>
          <w:sz w:val="20"/>
          <w:szCs w:val="20"/>
          <w:lang w:val="en-US"/>
        </w:rPr>
        <w:t xml:space="preserve"> thin </w:t>
      </w:r>
      <w:r w:rsidR="00192427">
        <w:rPr>
          <w:color w:val="000000" w:themeColor="text1"/>
          <w:sz w:val="20"/>
          <w:szCs w:val="20"/>
          <w:lang w:val="en-US"/>
        </w:rPr>
        <w:t>crystals</w:t>
      </w:r>
      <w:r w:rsidRPr="00E35142">
        <w:rPr>
          <w:color w:val="000000" w:themeColor="text1"/>
          <w:sz w:val="20"/>
          <w:szCs w:val="20"/>
          <w:lang w:val="en-US"/>
        </w:rPr>
        <w:t xml:space="preserve"> under two-photon resonant excitation at low temperatures </w:t>
      </w:r>
      <w:r w:rsidR="00C633C1">
        <w:rPr>
          <w:color w:val="000000" w:themeColor="text1"/>
          <w:sz w:val="20"/>
          <w:szCs w:val="20"/>
          <w:lang w:val="en-US"/>
        </w:rPr>
        <w:t xml:space="preserve">(upper plots at 80K, lower plots at 150K) </w:t>
      </w:r>
      <w:r w:rsidRPr="00E35142">
        <w:rPr>
          <w:color w:val="000000" w:themeColor="text1"/>
          <w:sz w:val="20"/>
          <w:szCs w:val="20"/>
          <w:lang w:val="en-US"/>
        </w:rPr>
        <w:t xml:space="preserve">at two different fluences, showing a trend </w:t>
      </w:r>
      <w:proofErr w:type="gramStart"/>
      <w:r w:rsidRPr="00E35142">
        <w:rPr>
          <w:color w:val="000000" w:themeColor="text1"/>
          <w:sz w:val="20"/>
          <w:szCs w:val="20"/>
          <w:lang w:val="en-US"/>
        </w:rPr>
        <w:t>similar to</w:t>
      </w:r>
      <w:proofErr w:type="gramEnd"/>
      <w:r w:rsidRPr="00E35142">
        <w:rPr>
          <w:color w:val="000000" w:themeColor="text1"/>
          <w:sz w:val="20"/>
          <w:szCs w:val="20"/>
          <w:lang w:val="en-US"/>
        </w:rPr>
        <w:t xml:space="preserve"> </w:t>
      </w:r>
      <w:r w:rsidR="00B10E35" w:rsidRPr="00E35142">
        <w:rPr>
          <w:color w:val="000000" w:themeColor="text1"/>
          <w:sz w:val="20"/>
          <w:szCs w:val="20"/>
          <w:lang w:val="en-US"/>
        </w:rPr>
        <w:t>w</w:t>
      </w:r>
      <w:r w:rsidRPr="00E35142">
        <w:rPr>
          <w:color w:val="000000" w:themeColor="text1"/>
          <w:sz w:val="20"/>
          <w:szCs w:val="20"/>
          <w:lang w:val="en-US"/>
        </w:rPr>
        <w:t>hat reported at 300K.</w:t>
      </w:r>
    </w:p>
    <w:p w14:paraId="483394BE" w14:textId="77777777" w:rsidR="002D3500" w:rsidRPr="00E35142" w:rsidRDefault="002D3500" w:rsidP="002D3500">
      <w:pPr>
        <w:widowControl w:val="0"/>
        <w:autoSpaceDE w:val="0"/>
        <w:autoSpaceDN w:val="0"/>
        <w:adjustRightInd w:val="0"/>
        <w:jc w:val="both"/>
        <w:rPr>
          <w:color w:val="000000" w:themeColor="text1"/>
          <w:sz w:val="20"/>
          <w:szCs w:val="20"/>
          <w:lang w:val="en-US"/>
        </w:rPr>
      </w:pPr>
    </w:p>
    <w:p w14:paraId="7DDE15F6" w14:textId="145A18FF" w:rsidR="002D3500" w:rsidRPr="00C633C1" w:rsidRDefault="00C633C1" w:rsidP="002D3500">
      <w:pPr>
        <w:widowControl w:val="0"/>
        <w:autoSpaceDE w:val="0"/>
        <w:autoSpaceDN w:val="0"/>
        <w:adjustRightInd w:val="0"/>
        <w:ind w:left="640" w:hanging="640"/>
        <w:jc w:val="center"/>
        <w:rPr>
          <w:color w:val="000000" w:themeColor="text1"/>
          <w:sz w:val="20"/>
          <w:szCs w:val="20"/>
          <w:lang w:val="en-US"/>
        </w:rPr>
      </w:pPr>
      <w:r w:rsidRPr="00C633C1">
        <w:rPr>
          <w:noProof/>
          <w:color w:val="000000" w:themeColor="text1"/>
          <w:sz w:val="20"/>
          <w:szCs w:val="20"/>
          <w:lang w:val="en-US"/>
        </w:rPr>
        <w:drawing>
          <wp:inline distT="0" distB="0" distL="0" distR="0" wp14:anchorId="3A92BE71" wp14:editId="555CB530">
            <wp:extent cx="5963056" cy="2855820"/>
            <wp:effectExtent l="0" t="0" r="0" b="190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a:picLocks noChangeAspect="1" noChangeArrowheads="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bwMode="auto">
                    <a:xfrm>
                      <a:off x="0" y="0"/>
                      <a:ext cx="5964438" cy="2856482"/>
                    </a:xfrm>
                    <a:prstGeom prst="rect">
                      <a:avLst/>
                    </a:prstGeom>
                  </pic:spPr>
                </pic:pic>
              </a:graphicData>
            </a:graphic>
          </wp:inline>
        </w:drawing>
      </w:r>
    </w:p>
    <w:p w14:paraId="4BFD6F82" w14:textId="5A14F0A5" w:rsidR="002D3500" w:rsidRPr="00E35142" w:rsidRDefault="002D3500" w:rsidP="002D3500">
      <w:pPr>
        <w:widowControl w:val="0"/>
        <w:autoSpaceDE w:val="0"/>
        <w:autoSpaceDN w:val="0"/>
        <w:adjustRightInd w:val="0"/>
        <w:jc w:val="both"/>
        <w:rPr>
          <w:color w:val="000000" w:themeColor="text1"/>
          <w:sz w:val="20"/>
          <w:szCs w:val="20"/>
          <w:lang w:val="en-US"/>
        </w:rPr>
      </w:pPr>
      <w:r w:rsidRPr="00C633C1">
        <w:rPr>
          <w:b/>
          <w:bCs/>
          <w:color w:val="000000" w:themeColor="text1"/>
          <w:sz w:val="20"/>
          <w:szCs w:val="20"/>
          <w:lang w:val="en-US"/>
        </w:rPr>
        <w:t>Fig. S</w:t>
      </w:r>
      <w:proofErr w:type="gramStart"/>
      <w:r w:rsidR="00294C60" w:rsidRPr="00C633C1">
        <w:rPr>
          <w:b/>
          <w:bCs/>
          <w:color w:val="000000" w:themeColor="text1"/>
          <w:sz w:val="20"/>
          <w:szCs w:val="20"/>
          <w:lang w:val="en-US"/>
        </w:rPr>
        <w:t>8</w:t>
      </w:r>
      <w:r w:rsidRPr="00C633C1">
        <w:rPr>
          <w:b/>
          <w:bCs/>
          <w:color w:val="000000" w:themeColor="text1"/>
          <w:sz w:val="20"/>
          <w:szCs w:val="20"/>
          <w:lang w:val="en-US"/>
        </w:rPr>
        <w:t xml:space="preserve"> </w:t>
      </w:r>
      <w:r w:rsidRPr="00C633C1">
        <w:rPr>
          <w:color w:val="000000" w:themeColor="text1"/>
          <w:sz w:val="20"/>
          <w:szCs w:val="20"/>
          <w:lang w:val="en-US"/>
        </w:rPr>
        <w:t xml:space="preserve"> Comparative</w:t>
      </w:r>
      <w:proofErr w:type="gramEnd"/>
      <w:r w:rsidRPr="00C633C1">
        <w:rPr>
          <w:color w:val="000000" w:themeColor="text1"/>
          <w:sz w:val="20"/>
          <w:szCs w:val="20"/>
          <w:lang w:val="en-US"/>
        </w:rPr>
        <w:t xml:space="preserve"> plot with DT/T (blue lines), DT/T</w:t>
      </w:r>
      <w:r w:rsidRPr="00C633C1">
        <w:rPr>
          <w:color w:val="000000" w:themeColor="text1"/>
          <w:sz w:val="20"/>
          <w:szCs w:val="20"/>
          <w:vertAlign w:val="superscript"/>
          <w:lang w:val="en-US"/>
        </w:rPr>
        <w:t>2</w:t>
      </w:r>
      <w:r w:rsidRPr="00C633C1">
        <w:rPr>
          <w:color w:val="000000" w:themeColor="text1"/>
          <w:sz w:val="20"/>
          <w:szCs w:val="20"/>
          <w:lang w:val="en-US"/>
        </w:rPr>
        <w:t xml:space="preserve"> (black lines) and PL (red lines) </w:t>
      </w:r>
      <w:r w:rsidR="00C633C1">
        <w:rPr>
          <w:color w:val="000000" w:themeColor="text1"/>
          <w:sz w:val="20"/>
          <w:szCs w:val="20"/>
          <w:lang w:val="en-US"/>
        </w:rPr>
        <w:t xml:space="preserve">from thin films </w:t>
      </w:r>
      <w:r w:rsidRPr="00C633C1">
        <w:rPr>
          <w:color w:val="000000" w:themeColor="text1"/>
          <w:sz w:val="20"/>
          <w:szCs w:val="20"/>
          <w:lang w:val="en-US"/>
        </w:rPr>
        <w:t>showing that in different excitation conditions the PL decay overlaps with that of  DT/T</w:t>
      </w:r>
      <w:r w:rsidRPr="00C633C1">
        <w:rPr>
          <w:color w:val="000000" w:themeColor="text1"/>
          <w:sz w:val="20"/>
          <w:szCs w:val="20"/>
          <w:vertAlign w:val="superscript"/>
          <w:lang w:val="en-US"/>
        </w:rPr>
        <w:t>2</w:t>
      </w:r>
      <w:r w:rsidRPr="00C633C1">
        <w:rPr>
          <w:color w:val="000000" w:themeColor="text1"/>
          <w:sz w:val="20"/>
          <w:szCs w:val="20"/>
          <w:lang w:val="en-US"/>
        </w:rPr>
        <w:t xml:space="preserve"> in the case of two-photon resonant (a-b), two-photon non-resonant (</w:t>
      </w:r>
      <w:proofErr w:type="spellStart"/>
      <w:r w:rsidRPr="00C633C1">
        <w:rPr>
          <w:color w:val="000000" w:themeColor="text1"/>
          <w:sz w:val="20"/>
          <w:szCs w:val="20"/>
          <w:lang w:val="en-US"/>
        </w:rPr>
        <w:t>c,d</w:t>
      </w:r>
      <w:proofErr w:type="spellEnd"/>
      <w:r w:rsidRPr="00C633C1">
        <w:rPr>
          <w:color w:val="000000" w:themeColor="text1"/>
          <w:sz w:val="20"/>
          <w:szCs w:val="20"/>
          <w:lang w:val="en-US"/>
        </w:rPr>
        <w:t>) and one-photon non-resonant (</w:t>
      </w:r>
      <w:proofErr w:type="spellStart"/>
      <w:r w:rsidRPr="00C633C1">
        <w:rPr>
          <w:color w:val="000000" w:themeColor="text1"/>
          <w:sz w:val="20"/>
          <w:szCs w:val="20"/>
          <w:lang w:val="en-US"/>
        </w:rPr>
        <w:t>e,f</w:t>
      </w:r>
      <w:proofErr w:type="spellEnd"/>
      <w:r w:rsidRPr="00C633C1">
        <w:rPr>
          <w:color w:val="000000" w:themeColor="text1"/>
          <w:sz w:val="20"/>
          <w:szCs w:val="20"/>
          <w:lang w:val="en-US"/>
        </w:rPr>
        <w:t>) excitation</w:t>
      </w:r>
      <w:r w:rsidR="00C633C1" w:rsidRPr="00C633C1">
        <w:rPr>
          <w:color w:val="000000" w:themeColor="text1"/>
          <w:sz w:val="20"/>
          <w:szCs w:val="20"/>
          <w:lang w:val="en-US"/>
        </w:rPr>
        <w:t>.</w:t>
      </w:r>
    </w:p>
    <w:p w14:paraId="54ABB2DB" w14:textId="77777777" w:rsidR="002D3500" w:rsidRDefault="002D3500" w:rsidP="002D3500">
      <w:pPr>
        <w:widowControl w:val="0"/>
        <w:autoSpaceDE w:val="0"/>
        <w:autoSpaceDN w:val="0"/>
        <w:adjustRightInd w:val="0"/>
        <w:jc w:val="both"/>
        <w:rPr>
          <w:color w:val="000000" w:themeColor="text1"/>
          <w:lang w:val="en-US"/>
        </w:rPr>
      </w:pPr>
    </w:p>
    <w:p w14:paraId="59F95339" w14:textId="08C93F56" w:rsidR="002D3500" w:rsidRDefault="00DA76C8" w:rsidP="002D3500">
      <w:pPr>
        <w:widowControl w:val="0"/>
        <w:autoSpaceDE w:val="0"/>
        <w:autoSpaceDN w:val="0"/>
        <w:adjustRightInd w:val="0"/>
        <w:jc w:val="center"/>
        <w:rPr>
          <w:noProof/>
          <w:color w:val="000000" w:themeColor="text1"/>
          <w:lang w:val="en-US"/>
        </w:rPr>
      </w:pPr>
      <w:r>
        <w:rPr>
          <w:noProof/>
          <w:color w:val="000000" w:themeColor="text1"/>
          <w:lang w:val="en-US"/>
        </w:rPr>
        <w:lastRenderedPageBreak/>
        <w:drawing>
          <wp:inline distT="0" distB="0" distL="0" distR="0" wp14:anchorId="30D0215C" wp14:editId="28C93501">
            <wp:extent cx="4387174" cy="2746549"/>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99431" cy="2754222"/>
                    </a:xfrm>
                    <a:prstGeom prst="rect">
                      <a:avLst/>
                    </a:prstGeom>
                    <a:noFill/>
                  </pic:spPr>
                </pic:pic>
              </a:graphicData>
            </a:graphic>
          </wp:inline>
        </w:drawing>
      </w:r>
    </w:p>
    <w:p w14:paraId="03AD2850" w14:textId="16BB2D39" w:rsidR="00E35142" w:rsidRDefault="002D3500" w:rsidP="00E35142">
      <w:pPr>
        <w:widowControl w:val="0"/>
        <w:autoSpaceDE w:val="0"/>
        <w:autoSpaceDN w:val="0"/>
        <w:adjustRightInd w:val="0"/>
        <w:jc w:val="both"/>
        <w:rPr>
          <w:color w:val="000000" w:themeColor="text1"/>
          <w:sz w:val="20"/>
          <w:szCs w:val="20"/>
          <w:lang w:val="en-US"/>
        </w:rPr>
      </w:pPr>
      <w:r w:rsidRPr="00E35142">
        <w:rPr>
          <w:b/>
          <w:bCs/>
          <w:color w:val="000000" w:themeColor="text1"/>
          <w:sz w:val="20"/>
          <w:szCs w:val="20"/>
          <w:lang w:val="en-US"/>
        </w:rPr>
        <w:t>Fig. S</w:t>
      </w:r>
      <w:r w:rsidR="00294C60" w:rsidRPr="00E35142">
        <w:rPr>
          <w:b/>
          <w:bCs/>
          <w:color w:val="000000" w:themeColor="text1"/>
          <w:sz w:val="20"/>
          <w:szCs w:val="20"/>
          <w:lang w:val="en-US"/>
        </w:rPr>
        <w:t>9</w:t>
      </w:r>
      <w:r w:rsidRPr="00E35142">
        <w:rPr>
          <w:b/>
          <w:bCs/>
          <w:color w:val="000000" w:themeColor="text1"/>
          <w:sz w:val="20"/>
          <w:szCs w:val="20"/>
          <w:lang w:val="en-US"/>
        </w:rPr>
        <w:t xml:space="preserve"> </w:t>
      </w:r>
      <w:r w:rsidRPr="00E35142">
        <w:rPr>
          <w:color w:val="000000" w:themeColor="text1"/>
          <w:sz w:val="20"/>
          <w:szCs w:val="20"/>
          <w:lang w:val="en-US"/>
        </w:rPr>
        <w:t>Comparative plot with DT/T (blue lines), DT/T</w:t>
      </w:r>
      <w:r w:rsidRPr="00E35142">
        <w:rPr>
          <w:color w:val="000000" w:themeColor="text1"/>
          <w:sz w:val="20"/>
          <w:szCs w:val="20"/>
          <w:vertAlign w:val="superscript"/>
          <w:lang w:val="en-US"/>
        </w:rPr>
        <w:t>2</w:t>
      </w:r>
      <w:r w:rsidRPr="00E35142">
        <w:rPr>
          <w:color w:val="000000" w:themeColor="text1"/>
          <w:sz w:val="20"/>
          <w:szCs w:val="20"/>
          <w:lang w:val="en-US"/>
        </w:rPr>
        <w:t xml:space="preserve"> (black lines) and PL (red lines) on thin film (</w:t>
      </w:r>
      <w:r w:rsidR="00DA76C8">
        <w:rPr>
          <w:color w:val="000000" w:themeColor="text1"/>
          <w:sz w:val="20"/>
          <w:szCs w:val="20"/>
          <w:lang w:val="en-US"/>
        </w:rPr>
        <w:t>a, b</w:t>
      </w:r>
      <w:r w:rsidRPr="00E35142">
        <w:rPr>
          <w:color w:val="000000" w:themeColor="text1"/>
          <w:sz w:val="20"/>
          <w:szCs w:val="20"/>
          <w:lang w:val="en-US"/>
        </w:rPr>
        <w:t>) and crystal (</w:t>
      </w:r>
      <w:r w:rsidR="00DA76C8">
        <w:rPr>
          <w:color w:val="000000" w:themeColor="text1"/>
          <w:sz w:val="20"/>
          <w:szCs w:val="20"/>
          <w:lang w:val="en-US"/>
        </w:rPr>
        <w:t>c, d</w:t>
      </w:r>
      <w:r w:rsidRPr="00E35142">
        <w:rPr>
          <w:color w:val="000000" w:themeColor="text1"/>
          <w:sz w:val="20"/>
          <w:szCs w:val="20"/>
          <w:lang w:val="en-US"/>
        </w:rPr>
        <w:t>) at different temperature</w:t>
      </w:r>
      <w:r w:rsidR="005012BA">
        <w:rPr>
          <w:color w:val="000000" w:themeColor="text1"/>
          <w:sz w:val="20"/>
          <w:szCs w:val="20"/>
          <w:lang w:val="en-US"/>
        </w:rPr>
        <w:t>s</w:t>
      </w:r>
      <w:r w:rsidRPr="00E35142">
        <w:rPr>
          <w:color w:val="000000" w:themeColor="text1"/>
          <w:sz w:val="20"/>
          <w:szCs w:val="20"/>
          <w:lang w:val="en-US"/>
        </w:rPr>
        <w:t xml:space="preserve">. In the case of thin </w:t>
      </w:r>
      <w:r w:rsidR="00DA76C8">
        <w:rPr>
          <w:color w:val="000000" w:themeColor="text1"/>
          <w:sz w:val="20"/>
          <w:szCs w:val="20"/>
          <w:lang w:val="en-US"/>
        </w:rPr>
        <w:t>film</w:t>
      </w:r>
      <w:r w:rsidRPr="00E35142">
        <w:rPr>
          <w:color w:val="000000" w:themeColor="text1"/>
          <w:sz w:val="20"/>
          <w:szCs w:val="20"/>
          <w:lang w:val="en-US"/>
        </w:rPr>
        <w:t>, the correspondence between PL and</w:t>
      </w:r>
      <w:r w:rsidR="007F1E5A" w:rsidRPr="00E35142">
        <w:rPr>
          <w:color w:val="000000" w:themeColor="text1"/>
          <w:sz w:val="20"/>
          <w:szCs w:val="20"/>
          <w:lang w:val="en-US"/>
        </w:rPr>
        <w:t xml:space="preserve"> </w:t>
      </w:r>
      <w:r w:rsidRPr="00E35142">
        <w:rPr>
          <w:color w:val="000000" w:themeColor="text1"/>
          <w:sz w:val="20"/>
          <w:szCs w:val="20"/>
          <w:lang w:val="en-US"/>
        </w:rPr>
        <w:t>DT/T</w:t>
      </w:r>
      <w:r w:rsidRPr="00E35142">
        <w:rPr>
          <w:color w:val="000000" w:themeColor="text1"/>
          <w:sz w:val="20"/>
          <w:szCs w:val="20"/>
          <w:vertAlign w:val="superscript"/>
          <w:lang w:val="en-US"/>
        </w:rPr>
        <w:t>2</w:t>
      </w:r>
      <w:r w:rsidRPr="00E35142">
        <w:rPr>
          <w:color w:val="000000" w:themeColor="text1"/>
          <w:sz w:val="20"/>
          <w:szCs w:val="20"/>
          <w:lang w:val="en-US"/>
        </w:rPr>
        <w:t xml:space="preserve"> is lost at lower temperature, which can be attributed to temperature-activated traps, likely due to grain boundaries and surface defects</w:t>
      </w:r>
      <w:r w:rsidR="00DA76C8">
        <w:rPr>
          <w:color w:val="000000" w:themeColor="text1"/>
          <w:sz w:val="20"/>
          <w:szCs w:val="20"/>
          <w:lang w:val="en-US"/>
        </w:rPr>
        <w:t xml:space="preserve"> with</w:t>
      </w:r>
      <w:r w:rsidRPr="00E35142">
        <w:rPr>
          <w:color w:val="000000" w:themeColor="text1"/>
          <w:sz w:val="20"/>
          <w:szCs w:val="20"/>
          <w:lang w:val="en-US"/>
        </w:rPr>
        <w:t xml:space="preserve"> resonant excitation. In the case of low temperature measurements in the crystal, the correspondence between PL and DT/T</w:t>
      </w:r>
      <w:r w:rsidRPr="00E35142">
        <w:rPr>
          <w:color w:val="000000" w:themeColor="text1"/>
          <w:sz w:val="20"/>
          <w:szCs w:val="20"/>
          <w:vertAlign w:val="superscript"/>
          <w:lang w:val="en-US"/>
        </w:rPr>
        <w:t>2</w:t>
      </w:r>
      <w:r w:rsidRPr="00E35142">
        <w:rPr>
          <w:color w:val="000000" w:themeColor="text1"/>
          <w:sz w:val="20"/>
          <w:szCs w:val="20"/>
          <w:lang w:val="en-US"/>
        </w:rPr>
        <w:t xml:space="preserve"> is confirmed even at 80K, as a sign of the low</w:t>
      </w:r>
      <w:r w:rsidR="00DA76C8">
        <w:rPr>
          <w:color w:val="000000" w:themeColor="text1"/>
          <w:sz w:val="20"/>
          <w:szCs w:val="20"/>
          <w:lang w:val="en-US"/>
        </w:rPr>
        <w:t>er</w:t>
      </w:r>
      <w:r w:rsidRPr="00E35142">
        <w:rPr>
          <w:color w:val="000000" w:themeColor="text1"/>
          <w:sz w:val="20"/>
          <w:szCs w:val="20"/>
          <w:lang w:val="en-US"/>
        </w:rPr>
        <w:t xml:space="preserve"> defect </w:t>
      </w:r>
      <w:r w:rsidR="00DA76C8">
        <w:rPr>
          <w:color w:val="000000" w:themeColor="text1"/>
          <w:sz w:val="20"/>
          <w:szCs w:val="20"/>
          <w:lang w:val="en-US"/>
        </w:rPr>
        <w:t>amount</w:t>
      </w:r>
      <w:r w:rsidRPr="00E35142">
        <w:rPr>
          <w:color w:val="000000" w:themeColor="text1"/>
          <w:sz w:val="20"/>
          <w:szCs w:val="20"/>
          <w:lang w:val="en-US"/>
        </w:rPr>
        <w:t xml:space="preserve"> in the crystal.</w:t>
      </w:r>
    </w:p>
    <w:p w14:paraId="450C9930" w14:textId="77777777" w:rsidR="00DA76C8" w:rsidRDefault="00DA76C8" w:rsidP="00E35142">
      <w:pPr>
        <w:widowControl w:val="0"/>
        <w:autoSpaceDE w:val="0"/>
        <w:autoSpaceDN w:val="0"/>
        <w:adjustRightInd w:val="0"/>
        <w:jc w:val="both"/>
        <w:rPr>
          <w:color w:val="000000" w:themeColor="text1"/>
          <w:sz w:val="20"/>
          <w:szCs w:val="20"/>
          <w:lang w:val="en-US"/>
        </w:rPr>
      </w:pPr>
    </w:p>
    <w:p w14:paraId="01A55827" w14:textId="308F4740" w:rsidR="002D3500" w:rsidRPr="00E35142" w:rsidRDefault="002D3500" w:rsidP="00E35142">
      <w:pPr>
        <w:widowControl w:val="0"/>
        <w:autoSpaceDE w:val="0"/>
        <w:autoSpaceDN w:val="0"/>
        <w:adjustRightInd w:val="0"/>
        <w:jc w:val="center"/>
        <w:rPr>
          <w:color w:val="000000" w:themeColor="text1"/>
          <w:sz w:val="20"/>
          <w:szCs w:val="20"/>
          <w:lang w:val="en-US"/>
        </w:rPr>
      </w:pPr>
      <w:r w:rsidRPr="00E35142">
        <w:rPr>
          <w:noProof/>
          <w:color w:val="000000" w:themeColor="text1"/>
          <w:sz w:val="20"/>
          <w:szCs w:val="20"/>
          <w:lang w:val="en-US"/>
        </w:rPr>
        <w:drawing>
          <wp:inline distT="0" distB="0" distL="0" distR="0" wp14:anchorId="61AF3CDE" wp14:editId="24265859">
            <wp:extent cx="4776281" cy="3647342"/>
            <wp:effectExtent l="0" t="0" r="5715"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5">
                      <a:extLst>
                        <a:ext uri="{28A0092B-C50C-407E-A947-70E740481C1C}">
                          <a14:useLocalDpi xmlns:a14="http://schemas.microsoft.com/office/drawing/2010/main" val="0"/>
                        </a:ext>
                      </a:extLst>
                    </a:blip>
                    <a:stretch>
                      <a:fillRect/>
                    </a:stretch>
                  </pic:blipFill>
                  <pic:spPr>
                    <a:xfrm>
                      <a:off x="0" y="0"/>
                      <a:ext cx="4785424" cy="3654324"/>
                    </a:xfrm>
                    <a:prstGeom prst="rect">
                      <a:avLst/>
                    </a:prstGeom>
                  </pic:spPr>
                </pic:pic>
              </a:graphicData>
            </a:graphic>
          </wp:inline>
        </w:drawing>
      </w:r>
    </w:p>
    <w:p w14:paraId="3F337ABA" w14:textId="075916C7" w:rsidR="002D3500" w:rsidRPr="00E35142" w:rsidRDefault="002D3500" w:rsidP="002D3500">
      <w:pPr>
        <w:widowControl w:val="0"/>
        <w:autoSpaceDE w:val="0"/>
        <w:autoSpaceDN w:val="0"/>
        <w:adjustRightInd w:val="0"/>
        <w:jc w:val="both"/>
        <w:rPr>
          <w:color w:val="000000" w:themeColor="text1"/>
          <w:sz w:val="20"/>
          <w:szCs w:val="20"/>
          <w:lang w:val="en-US"/>
        </w:rPr>
      </w:pPr>
      <w:r w:rsidRPr="00E35142">
        <w:rPr>
          <w:b/>
          <w:bCs/>
          <w:color w:val="000000" w:themeColor="text1"/>
          <w:sz w:val="20"/>
          <w:szCs w:val="20"/>
          <w:lang w:val="en-US"/>
        </w:rPr>
        <w:t>Fig. S</w:t>
      </w:r>
      <w:r w:rsidR="00294C60" w:rsidRPr="00E35142">
        <w:rPr>
          <w:b/>
          <w:bCs/>
          <w:color w:val="000000" w:themeColor="text1"/>
          <w:sz w:val="20"/>
          <w:szCs w:val="20"/>
          <w:lang w:val="en-US"/>
        </w:rPr>
        <w:t>10</w:t>
      </w:r>
      <w:r w:rsidRPr="00E35142">
        <w:rPr>
          <w:b/>
          <w:bCs/>
          <w:color w:val="000000" w:themeColor="text1"/>
          <w:sz w:val="20"/>
          <w:szCs w:val="20"/>
          <w:lang w:val="en-US"/>
        </w:rPr>
        <w:t xml:space="preserve"> </w:t>
      </w:r>
      <w:r w:rsidRPr="00E35142">
        <w:rPr>
          <w:color w:val="000000" w:themeColor="text1"/>
          <w:sz w:val="20"/>
          <w:szCs w:val="20"/>
          <w:lang w:val="en-US"/>
        </w:rPr>
        <w:t xml:space="preserve">Time derivative of DT/T versus DT/T (black dots) and time derivative of PL versus PL (green dots). Upper row is for thin crystal at 80K, mid row for thin crystal at 300K, lower row for thin film at </w:t>
      </w:r>
      <w:r w:rsidR="00E85C43" w:rsidRPr="00E35142">
        <w:rPr>
          <w:color w:val="000000" w:themeColor="text1"/>
          <w:sz w:val="20"/>
          <w:szCs w:val="20"/>
          <w:lang w:val="en-US"/>
        </w:rPr>
        <w:t>300K</w:t>
      </w:r>
      <w:r w:rsidRPr="00E35142">
        <w:rPr>
          <w:color w:val="000000" w:themeColor="text1"/>
          <w:sz w:val="20"/>
          <w:szCs w:val="20"/>
          <w:lang w:val="en-US"/>
        </w:rPr>
        <w:t xml:space="preserve">, with two-photon resonant excitation, at difference fluences. </w:t>
      </w:r>
    </w:p>
    <w:sectPr w:rsidR="002D3500" w:rsidRPr="00E35142" w:rsidSect="001F247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8A0FD4"/>
    <w:multiLevelType w:val="hybridMultilevel"/>
    <w:tmpl w:val="BE2C5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EB3645"/>
    <w:multiLevelType w:val="hybridMultilevel"/>
    <w:tmpl w:val="84A67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6B0A5A"/>
    <w:multiLevelType w:val="hybridMultilevel"/>
    <w:tmpl w:val="C2224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7415800">
    <w:abstractNumId w:val="2"/>
  </w:num>
  <w:num w:numId="2" w16cid:durableId="1940598575">
    <w:abstractNumId w:val="1"/>
  </w:num>
  <w:num w:numId="3" w16cid:durableId="710349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500"/>
    <w:rsid w:val="000F7A3C"/>
    <w:rsid w:val="00192427"/>
    <w:rsid w:val="001F0E70"/>
    <w:rsid w:val="001F2475"/>
    <w:rsid w:val="00227BE6"/>
    <w:rsid w:val="00294C60"/>
    <w:rsid w:val="002D1541"/>
    <w:rsid w:val="002D3500"/>
    <w:rsid w:val="00360BFB"/>
    <w:rsid w:val="00390AA5"/>
    <w:rsid w:val="00392F68"/>
    <w:rsid w:val="00431F02"/>
    <w:rsid w:val="005012BA"/>
    <w:rsid w:val="005137AD"/>
    <w:rsid w:val="005353BF"/>
    <w:rsid w:val="006218F3"/>
    <w:rsid w:val="006445A2"/>
    <w:rsid w:val="007F1E5A"/>
    <w:rsid w:val="00A742EA"/>
    <w:rsid w:val="00A860D9"/>
    <w:rsid w:val="00AB0153"/>
    <w:rsid w:val="00B10E35"/>
    <w:rsid w:val="00B73CC3"/>
    <w:rsid w:val="00C538C0"/>
    <w:rsid w:val="00C633C1"/>
    <w:rsid w:val="00C70F5B"/>
    <w:rsid w:val="00DA76C8"/>
    <w:rsid w:val="00DF17A3"/>
    <w:rsid w:val="00E35142"/>
    <w:rsid w:val="00E363C6"/>
    <w:rsid w:val="00E85C43"/>
    <w:rsid w:val="00ED18C6"/>
    <w:rsid w:val="00F52F98"/>
    <w:rsid w:val="00FB15E5"/>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C970E"/>
  <w15:chartTrackingRefBased/>
  <w15:docId w15:val="{14890058-C9FE-403B-A540-920AB6486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D3500"/>
    <w:rPr>
      <w:rFonts w:eastAsiaTheme="minorEastAsia"/>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ddresses">
    <w:name w:val="Addresses"/>
    <w:basedOn w:val="Normale"/>
    <w:rsid w:val="002D3500"/>
    <w:pPr>
      <w:spacing w:after="0" w:line="240" w:lineRule="auto"/>
    </w:pPr>
    <w:rPr>
      <w:rFonts w:ascii="Times New Roman" w:eastAsia="MS Mincho" w:hAnsi="Times New Roman" w:cs="Times New Roman"/>
      <w:sz w:val="24"/>
      <w:szCs w:val="24"/>
      <w:lang w:val="en-US" w:eastAsia="ja-JP"/>
    </w:rPr>
  </w:style>
  <w:style w:type="paragraph" w:customStyle="1" w:styleId="Tableofcontents">
    <w:name w:val="Table of contents"/>
    <w:basedOn w:val="Normale"/>
    <w:autoRedefine/>
    <w:rsid w:val="002D3500"/>
    <w:pPr>
      <w:spacing w:after="0" w:line="240" w:lineRule="auto"/>
    </w:pPr>
    <w:rPr>
      <w:rFonts w:ascii="Times New Roman" w:eastAsia="MS Mincho" w:hAnsi="Times New Roman" w:cs="Times New Roman"/>
      <w:sz w:val="24"/>
      <w:szCs w:val="24"/>
      <w:lang w:val="en-US" w:eastAsia="ja-JP"/>
    </w:rPr>
  </w:style>
  <w:style w:type="paragraph" w:styleId="Paragrafoelenco">
    <w:name w:val="List Paragraph"/>
    <w:basedOn w:val="Normale"/>
    <w:uiPriority w:val="34"/>
    <w:qFormat/>
    <w:rsid w:val="006218F3"/>
    <w:pPr>
      <w:ind w:left="720"/>
      <w:contextualSpacing/>
    </w:pPr>
  </w:style>
  <w:style w:type="character" w:styleId="Rimandocommento">
    <w:name w:val="annotation reference"/>
    <w:basedOn w:val="Carpredefinitoparagrafo"/>
    <w:uiPriority w:val="99"/>
    <w:semiHidden/>
    <w:unhideWhenUsed/>
    <w:rsid w:val="005137AD"/>
    <w:rPr>
      <w:sz w:val="16"/>
      <w:szCs w:val="16"/>
    </w:rPr>
  </w:style>
  <w:style w:type="paragraph" w:styleId="Testocommento">
    <w:name w:val="annotation text"/>
    <w:basedOn w:val="Normale"/>
    <w:link w:val="TestocommentoCarattere"/>
    <w:uiPriority w:val="99"/>
    <w:semiHidden/>
    <w:unhideWhenUsed/>
    <w:rsid w:val="005137A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137AD"/>
    <w:rPr>
      <w:rFonts w:eastAsiaTheme="minorEastAsia"/>
      <w:sz w:val="20"/>
      <w:szCs w:val="20"/>
      <w:lang w:eastAsia="zh-CN"/>
    </w:rPr>
  </w:style>
  <w:style w:type="paragraph" w:styleId="Soggettocommento">
    <w:name w:val="annotation subject"/>
    <w:basedOn w:val="Testocommento"/>
    <w:next w:val="Testocommento"/>
    <w:link w:val="SoggettocommentoCarattere"/>
    <w:uiPriority w:val="99"/>
    <w:semiHidden/>
    <w:unhideWhenUsed/>
    <w:rsid w:val="005137AD"/>
    <w:rPr>
      <w:b/>
      <w:bCs/>
    </w:rPr>
  </w:style>
  <w:style w:type="character" w:customStyle="1" w:styleId="SoggettocommentoCarattere">
    <w:name w:val="Soggetto commento Carattere"/>
    <w:basedOn w:val="TestocommentoCarattere"/>
    <w:link w:val="Soggettocommento"/>
    <w:uiPriority w:val="99"/>
    <w:semiHidden/>
    <w:rsid w:val="005137AD"/>
    <w:rPr>
      <w:rFonts w:eastAsiaTheme="minorEastAsia"/>
      <w:b/>
      <w:bCs/>
      <w:sz w:val="20"/>
      <w:szCs w:val="20"/>
      <w:lang w:eastAsia="zh-CN"/>
    </w:rPr>
  </w:style>
  <w:style w:type="paragraph" w:styleId="Revisione">
    <w:name w:val="Revision"/>
    <w:hidden/>
    <w:uiPriority w:val="99"/>
    <w:semiHidden/>
    <w:rsid w:val="00A742EA"/>
    <w:pPr>
      <w:spacing w:after="0" w:line="240" w:lineRule="auto"/>
    </w:pPr>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sv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6</Pages>
  <Words>776</Words>
  <Characters>4426</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Simbula</dc:creator>
  <cp:keywords/>
  <dc:description/>
  <cp:lastModifiedBy>Angelica Simbula</cp:lastModifiedBy>
  <cp:revision>22</cp:revision>
  <dcterms:created xsi:type="dcterms:W3CDTF">2022-12-02T15:22:00Z</dcterms:created>
  <dcterms:modified xsi:type="dcterms:W3CDTF">2022-12-13T17:22:00Z</dcterms:modified>
</cp:coreProperties>
</file>