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384290" cy="4788535"/>
            <wp:effectExtent l="0" t="0" r="16510" b="12065"/>
            <wp:docPr id="1" name="图片 1" descr="Additional fil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dditional fil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84290" cy="478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  <w:t xml:space="preserve">Additional file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  <w:t xml:space="preserve">1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Global prevalence of cause-specific blindness and vision loss with age.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lang w:eastAsia="zh-CN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The overall upward trend was observed in all cause-specific prevalence with age, and the upward trend varies throughout periods.</w:t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wYjE1MDgxMTAxM2YxN2I3MzY5MzI1Yjc2ZjNjNWEifQ=="/>
  </w:docVars>
  <w:rsids>
    <w:rsidRoot w:val="00000000"/>
    <w:rsid w:val="40D14E51"/>
    <w:rsid w:val="571A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187</Characters>
  <Lines>0</Lines>
  <Paragraphs>0</Paragraphs>
  <TotalTime>0</TotalTime>
  <ScaleCrop>false</ScaleCrop>
  <LinksUpToDate>false</LinksUpToDate>
  <CharactersWithSpaces>218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2022-12-21T12:09:00Z</dcterms:created>
  <dc:creator>JSIEC</dc:creator>
  <cp:lastModifiedBy>lazy1412077875</cp:lastModifiedBy>
  <dcterms:modified xsi:type="dcterms:W3CDTF">2022-12-21T12:10:51Z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CB9E2BB8BC6E40B58399EB802D27CF4E</vt:lpwstr>
  </property>
</Properties>
</file>