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C52AC" w14:textId="77777777" w:rsidR="0056092E" w:rsidRDefault="00000000">
      <w:pPr>
        <w:widowControl/>
        <w:spacing w:line="360" w:lineRule="auto"/>
        <w:rPr>
          <w:rFonts w:ascii="Times New Roman" w:hAnsi="Times New Roman" w:cs="Times New Roman"/>
          <w:b/>
          <w:bCs/>
          <w:sz w:val="24"/>
        </w:rPr>
      </w:pPr>
      <w:r>
        <w:rPr>
          <w:rFonts w:ascii="Times New Roman" w:hAnsi="Times New Roman" w:cs="Times New Roman"/>
          <w:b/>
          <w:bCs/>
          <w:sz w:val="24"/>
        </w:rPr>
        <w:t xml:space="preserve">Supplementary Materials: </w:t>
      </w:r>
      <w:r>
        <w:rPr>
          <w:rFonts w:ascii="Times New Roman" w:eastAsia="宋体" w:hAnsi="Times New Roman" w:cs="Times New Roman"/>
          <w:b/>
          <w:bCs/>
          <w:sz w:val="28"/>
          <w:szCs w:val="36"/>
        </w:rPr>
        <w:t>Discovery of a highly potent pan-RAF inhibitor IHMT-RAF-128 for cancer treatment</w:t>
      </w:r>
    </w:p>
    <w:p w14:paraId="3ABC3D11" w14:textId="77777777" w:rsidR="0056092E" w:rsidRDefault="00000000">
      <w:pPr>
        <w:widowControl/>
        <w:jc w:val="left"/>
        <w:rPr>
          <w:rFonts w:ascii="Times New Roman" w:eastAsia="TimesNewRomanPSMT" w:hAnsi="Times New Roman" w:cs="Times New Roman"/>
          <w:b/>
          <w:color w:val="000000"/>
          <w:sz w:val="24"/>
        </w:rPr>
      </w:pPr>
      <w:r>
        <w:rPr>
          <w:rFonts w:ascii="Times New Roman" w:eastAsia="TimesNewRomanPSMT" w:hAnsi="Times New Roman" w:cs="Times New Roman"/>
          <w:b/>
          <w:color w:val="000000"/>
          <w:sz w:val="24"/>
        </w:rPr>
        <w:br w:type="page"/>
      </w:r>
    </w:p>
    <w:p w14:paraId="627F91EF" w14:textId="77777777" w:rsidR="0056092E" w:rsidRDefault="00000000">
      <w:pPr>
        <w:spacing w:before="240" w:line="276" w:lineRule="auto"/>
        <w:rPr>
          <w:rFonts w:ascii="Times New Roman" w:hAnsi="Times New Roman" w:cs="Times New Roman"/>
          <w:b/>
          <w:bCs/>
          <w:kern w:val="0"/>
          <w:sz w:val="24"/>
        </w:rPr>
      </w:pPr>
      <w:r>
        <w:rPr>
          <w:rFonts w:ascii="Times New Roman" w:hAnsi="Times New Roman" w:cs="Times New Roman" w:hint="eastAsia"/>
          <w:b/>
          <w:bCs/>
          <w:kern w:val="0"/>
          <w:sz w:val="24"/>
        </w:rPr>
        <w:lastRenderedPageBreak/>
        <w:t>Materials and methods</w:t>
      </w:r>
    </w:p>
    <w:p w14:paraId="530E7915" w14:textId="77777777" w:rsidR="0056092E" w:rsidRDefault="00000000">
      <w:pPr>
        <w:widowControl/>
        <w:jc w:val="left"/>
        <w:rPr>
          <w:rFonts w:ascii="Times New Roman" w:eastAsia="TimesNewRomanPSMT" w:hAnsi="Times New Roman" w:cs="Times New Roman"/>
          <w:bCs/>
          <w:color w:val="000000"/>
          <w:sz w:val="24"/>
        </w:rPr>
      </w:pPr>
      <w:r>
        <w:rPr>
          <w:rFonts w:ascii="Times New Roman" w:eastAsia="TimesNewRomanPSMT" w:hAnsi="Times New Roman" w:cs="Times New Roman"/>
          <w:bCs/>
          <w:color w:val="000000"/>
          <w:sz w:val="24"/>
        </w:rPr>
        <w:t>Pharmacokinetic Study</w:t>
      </w:r>
    </w:p>
    <w:p w14:paraId="6D47ECBF" w14:textId="77777777" w:rsidR="0056092E" w:rsidRDefault="00000000">
      <w:pPr>
        <w:spacing w:beforeLines="50" w:before="156"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 xml:space="preserve">The pharmacokinetics study was performed in male </w:t>
      </w:r>
      <w:r>
        <w:rPr>
          <w:rFonts w:ascii="Times New Roman" w:eastAsia="等线" w:hAnsi="Times New Roman" w:cs="Times New Roman" w:hint="eastAsia"/>
          <w:color w:val="000000"/>
          <w:sz w:val="24"/>
        </w:rPr>
        <w:t>mice</w:t>
      </w:r>
      <w:r>
        <w:rPr>
          <w:rFonts w:ascii="Times New Roman" w:eastAsia="等线" w:hAnsi="Times New Roman" w:cs="Times New Roman"/>
          <w:color w:val="000000"/>
          <w:sz w:val="24"/>
        </w:rPr>
        <w:t xml:space="preserve"> and Sprague Dawley rats, and approved by the Animal Ethics Committee of Hefei Institutes of Physical Science, Chinese Academy of Sciences (Hefei, China). The mice and rats were acclimatized to the facilities for one week, and then fasted for 12 h before drug administration. Before the experiment, we first dissolved compound IHMT-RAF-128 in 70% DMSO+30% glucose solution (5%). The </w:t>
      </w:r>
      <w:r>
        <w:rPr>
          <w:rFonts w:ascii="Times New Roman" w:eastAsia="等线" w:hAnsi="Times New Roman" w:cs="Times New Roman" w:hint="eastAsia"/>
          <w:color w:val="000000"/>
          <w:sz w:val="24"/>
        </w:rPr>
        <w:t>mic</w:t>
      </w:r>
      <w:r>
        <w:rPr>
          <w:rFonts w:ascii="Times New Roman" w:eastAsia="等线" w:hAnsi="Times New Roman" w:cs="Times New Roman"/>
          <w:color w:val="000000"/>
          <w:sz w:val="24"/>
        </w:rPr>
        <w:t xml:space="preserve">e and rats were randomly and equally divided into two groups (mice: 30 animals/group; rats: 3 animals/group). One group was injected with IHMT-RAF-128 at a dose of 1 mg/kg, and the other group was treated by oral administration of IHMT-RAF-128 at a dose of 10 mg/kg. Then we collected blood samples into heparinized tubes at 2 min, 5 min, 15 min, 30 min, 1 h, 2 h, 4 h, 6 h, 9 h, and 12 h after intravenous injection and at 5 min, 15 min, 30 min, 1 h, 2 h, 4 h, 6 h, 9 h, 12 h, and 24 h after oral administration. Plasma (100 μL) was harvested by centrifuging the blood sample at 4 °C and 8000 rpm for 5 min, and then stored at −80 °C until analysis. An aliquot of 100 μL of each plasma sample was mixed with 20 μL of internal standard working solution (200 ng/mL of caffeine), then 400 μL of methanol was added for protein precipitation. After vortexing for 5 min and centrifuging at 14,000 rpm for 10 min, 10 μL of the supernatant was injected for LC–MS/MS analysis. </w:t>
      </w:r>
    </w:p>
    <w:p w14:paraId="7B525E95" w14:textId="77777777" w:rsidR="0056092E" w:rsidRDefault="00000000">
      <w:pPr>
        <w:widowControl/>
        <w:spacing w:line="360" w:lineRule="auto"/>
        <w:jc w:val="left"/>
        <w:rPr>
          <w:rFonts w:ascii="Times New Roman" w:eastAsia="等线" w:hAnsi="Times New Roman" w:cs="Times New Roman"/>
          <w:color w:val="000000"/>
          <w:sz w:val="24"/>
        </w:rPr>
      </w:pPr>
      <w:r>
        <w:rPr>
          <w:rFonts w:ascii="Times New Roman" w:eastAsia="等线" w:hAnsi="Times New Roman" w:cs="Times New Roman" w:hint="eastAsia"/>
          <w:color w:val="000000"/>
          <w:sz w:val="24"/>
        </w:rPr>
        <w:t>Cell proliferation assay</w:t>
      </w:r>
    </w:p>
    <w:p w14:paraId="22037C6E" w14:textId="77777777" w:rsidR="0056092E" w:rsidRDefault="00000000">
      <w:pPr>
        <w:widowControl/>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 xml:space="preserve">The cells were inoculated into 96-well plates, and serially diluted compounds were added to the wells and incubated for 3 days. Cell viability was </w:t>
      </w:r>
      <w:bookmarkStart w:id="0" w:name="_Hlk108713618"/>
      <w:r>
        <w:rPr>
          <w:rFonts w:ascii="Times New Roman" w:eastAsia="等线" w:hAnsi="Times New Roman" w:cs="Times New Roman"/>
          <w:color w:val="000000"/>
          <w:sz w:val="24"/>
        </w:rPr>
        <w:t>measured using CellTiter Glo reagent</w:t>
      </w:r>
      <w:bookmarkEnd w:id="0"/>
      <w:r>
        <w:rPr>
          <w:rFonts w:ascii="Times New Roman" w:eastAsia="等线" w:hAnsi="Times New Roman" w:cs="Times New Roman"/>
          <w:color w:val="000000"/>
          <w:sz w:val="24"/>
        </w:rPr>
        <w:t xml:space="preserve"> (Promega, USA) and quantified by GraphPad Prism 8.0.1 (San Diego, CA, USA).</w:t>
      </w:r>
    </w:p>
    <w:p w14:paraId="7AC95D00" w14:textId="77777777" w:rsidR="0056092E" w:rsidRDefault="0056092E">
      <w:pPr>
        <w:widowControl/>
        <w:spacing w:line="360" w:lineRule="auto"/>
        <w:jc w:val="left"/>
        <w:rPr>
          <w:rFonts w:ascii="Times New Roman" w:hAnsi="Times New Roman" w:cs="Times New Roman"/>
          <w:b/>
          <w:bCs/>
          <w:sz w:val="24"/>
        </w:rPr>
      </w:pPr>
    </w:p>
    <w:p w14:paraId="1A01CF6D" w14:textId="77777777" w:rsidR="0056092E" w:rsidRDefault="00000000">
      <w:pPr>
        <w:widowControl/>
        <w:jc w:val="left"/>
        <w:rPr>
          <w:rFonts w:ascii="Times New Roman" w:hAnsi="Times New Roman" w:cs="Times New Roman"/>
          <w:sz w:val="24"/>
          <w:szCs w:val="32"/>
        </w:rPr>
      </w:pPr>
      <w:r>
        <w:rPr>
          <w:rFonts w:ascii="Times New Roman" w:hAnsi="Times New Roman" w:cs="Times New Roman"/>
          <w:sz w:val="24"/>
          <w:szCs w:val="32"/>
        </w:rPr>
        <w:br w:type="page"/>
      </w:r>
    </w:p>
    <w:p w14:paraId="527F36FA" w14:textId="77777777" w:rsidR="0056092E" w:rsidRDefault="00000000">
      <w:pPr>
        <w:autoSpaceDE w:val="0"/>
        <w:autoSpaceDN w:val="0"/>
        <w:adjustRightInd w:val="0"/>
        <w:spacing w:before="240" w:line="276" w:lineRule="auto"/>
        <w:rPr>
          <w:rFonts w:ascii="Times New Roman" w:eastAsia="等线" w:hAnsi="Times New Roman" w:cs="Times New Roman"/>
          <w:kern w:val="0"/>
          <w:sz w:val="24"/>
        </w:rPr>
      </w:pPr>
      <w:r>
        <w:rPr>
          <w:rFonts w:ascii="Times New Roman" w:eastAsia="等线" w:hAnsi="Times New Roman" w:cs="Times New Roman"/>
          <w:b/>
          <w:kern w:val="0"/>
          <w:sz w:val="24"/>
        </w:rPr>
        <w:lastRenderedPageBreak/>
        <w:t>Table S1</w:t>
      </w:r>
      <w:r>
        <w:rPr>
          <w:rFonts w:ascii="Times New Roman" w:eastAsia="等线" w:hAnsi="Times New Roman" w:cs="Times New Roman" w:hint="eastAsia"/>
          <w:b/>
          <w:kern w:val="0"/>
          <w:sz w:val="24"/>
        </w:rPr>
        <w:t xml:space="preserve">. </w:t>
      </w:r>
      <w:r>
        <w:rPr>
          <w:rFonts w:ascii="Times New Roman" w:eastAsia="等线" w:hAnsi="Times New Roman" w:cs="Times New Roman"/>
          <w:kern w:val="0"/>
          <w:sz w:val="24"/>
        </w:rPr>
        <w:t xml:space="preserve">Anti-proliferative effect of IHMT-RAF-128, Vemurafenib, </w:t>
      </w:r>
      <w:r>
        <w:rPr>
          <w:rFonts w:ascii="Times New Roman" w:hAnsi="Times New Roman" w:cs="Times New Roman"/>
          <w:kern w:val="0"/>
          <w:sz w:val="24"/>
        </w:rPr>
        <w:t>Adagrasib, and Sotorasib</w:t>
      </w:r>
      <w:r>
        <w:rPr>
          <w:rFonts w:ascii="Times New Roman" w:eastAsia="等线" w:hAnsi="Times New Roman" w:cs="Times New Roman"/>
          <w:kern w:val="0"/>
          <w:sz w:val="24"/>
        </w:rPr>
        <w:t xml:space="preserve"> on a panel of BaF3 cell library whose growth depends on RAS mutation.</w:t>
      </w:r>
    </w:p>
    <w:tbl>
      <w:tblPr>
        <w:tblStyle w:val="a7"/>
        <w:tblpPr w:leftFromText="180" w:rightFromText="180" w:vertAnchor="page" w:horzAnchor="margin" w:tblpXSpec="center" w:tblpY="2471"/>
        <w:tblW w:w="0" w:type="auto"/>
        <w:tblLayout w:type="fixed"/>
        <w:tblLook w:val="04A0" w:firstRow="1" w:lastRow="0" w:firstColumn="1" w:lastColumn="0" w:noHBand="0" w:noVBand="1"/>
      </w:tblPr>
      <w:tblGrid>
        <w:gridCol w:w="2518"/>
        <w:gridCol w:w="1701"/>
        <w:gridCol w:w="1378"/>
        <w:gridCol w:w="1276"/>
        <w:gridCol w:w="1275"/>
      </w:tblGrid>
      <w:tr w:rsidR="0056092E" w14:paraId="34FE05B1" w14:textId="77777777">
        <w:tc>
          <w:tcPr>
            <w:tcW w:w="2518" w:type="dxa"/>
            <w:vAlign w:val="center"/>
          </w:tcPr>
          <w:p w14:paraId="756CFF5E" w14:textId="77777777" w:rsidR="0056092E" w:rsidRDefault="00000000">
            <w:pPr>
              <w:autoSpaceDE w:val="0"/>
              <w:autoSpaceDN w:val="0"/>
              <w:adjustRightInd w:val="0"/>
              <w:spacing w:before="240" w:line="276" w:lineRule="auto"/>
              <w:jc w:val="center"/>
              <w:rPr>
                <w:rFonts w:ascii="Times New Roman" w:eastAsia="等线" w:hAnsi="Times New Roman" w:cs="Times New Roman"/>
                <w:b/>
                <w:bCs/>
                <w:kern w:val="0"/>
                <w:sz w:val="20"/>
                <w:szCs w:val="20"/>
              </w:rPr>
            </w:pPr>
            <w:r>
              <w:rPr>
                <w:rFonts w:ascii="Times New Roman" w:eastAsia="等线" w:hAnsi="Times New Roman" w:cs="Times New Roman"/>
                <w:b/>
                <w:bCs/>
                <w:kern w:val="0"/>
                <w:sz w:val="20"/>
                <w:szCs w:val="20"/>
              </w:rPr>
              <w:t>Cell line</w:t>
            </w:r>
          </w:p>
        </w:tc>
        <w:tc>
          <w:tcPr>
            <w:tcW w:w="1701" w:type="dxa"/>
            <w:vAlign w:val="center"/>
          </w:tcPr>
          <w:p w14:paraId="718D9E39" w14:textId="77777777" w:rsidR="0056092E" w:rsidRDefault="00000000">
            <w:pPr>
              <w:autoSpaceDE w:val="0"/>
              <w:autoSpaceDN w:val="0"/>
              <w:adjustRightInd w:val="0"/>
              <w:spacing w:before="240" w:line="276" w:lineRule="auto"/>
              <w:jc w:val="center"/>
              <w:rPr>
                <w:rFonts w:ascii="Times New Roman" w:eastAsia="等线" w:hAnsi="Times New Roman" w:cs="Times New Roman"/>
                <w:b/>
                <w:bCs/>
                <w:kern w:val="0"/>
                <w:sz w:val="20"/>
                <w:szCs w:val="20"/>
              </w:rPr>
            </w:pPr>
            <w:r>
              <w:rPr>
                <w:rFonts w:ascii="Times New Roman" w:eastAsia="等线" w:hAnsi="Times New Roman" w:cs="Times New Roman"/>
                <w:b/>
                <w:bCs/>
                <w:kern w:val="0"/>
                <w:sz w:val="20"/>
                <w:szCs w:val="20"/>
              </w:rPr>
              <w:t>IHMT-RAF-128 (GI</w:t>
            </w:r>
            <w:r>
              <w:rPr>
                <w:rFonts w:ascii="Times New Roman" w:eastAsia="等线" w:hAnsi="Times New Roman" w:cs="Times New Roman"/>
                <w:b/>
                <w:bCs/>
                <w:kern w:val="0"/>
                <w:sz w:val="20"/>
                <w:szCs w:val="20"/>
                <w:vertAlign w:val="subscript"/>
              </w:rPr>
              <w:t>50</w:t>
            </w:r>
            <w:r>
              <w:rPr>
                <w:rFonts w:ascii="Times New Roman" w:eastAsia="等线" w:hAnsi="Times New Roman" w:cs="Times New Roman"/>
                <w:b/>
                <w:bCs/>
                <w:kern w:val="0"/>
                <w:sz w:val="20"/>
                <w:szCs w:val="20"/>
              </w:rPr>
              <w:t>: nM)</w:t>
            </w:r>
          </w:p>
        </w:tc>
        <w:tc>
          <w:tcPr>
            <w:tcW w:w="1378" w:type="dxa"/>
            <w:vAlign w:val="center"/>
          </w:tcPr>
          <w:p w14:paraId="60FBF242" w14:textId="77777777" w:rsidR="0056092E" w:rsidRDefault="00000000">
            <w:pPr>
              <w:autoSpaceDE w:val="0"/>
              <w:autoSpaceDN w:val="0"/>
              <w:adjustRightInd w:val="0"/>
              <w:spacing w:before="240" w:line="276" w:lineRule="auto"/>
              <w:jc w:val="center"/>
              <w:rPr>
                <w:rFonts w:ascii="Times New Roman" w:eastAsia="宋体" w:hAnsi="Times New Roman" w:cs="Times New Roman"/>
                <w:b/>
                <w:bCs/>
                <w:color w:val="000000"/>
                <w:kern w:val="0"/>
                <w:sz w:val="20"/>
                <w:szCs w:val="20"/>
              </w:rPr>
            </w:pPr>
            <w:r>
              <w:rPr>
                <w:rFonts w:ascii="Times New Roman" w:eastAsia="等线" w:hAnsi="Times New Roman" w:cs="Times New Roman"/>
                <w:b/>
                <w:bCs/>
                <w:kern w:val="0"/>
                <w:sz w:val="20"/>
                <w:szCs w:val="20"/>
              </w:rPr>
              <w:t>Vemurafenib (GI</w:t>
            </w:r>
            <w:r>
              <w:rPr>
                <w:rFonts w:ascii="Times New Roman" w:eastAsia="等线" w:hAnsi="Times New Roman" w:cs="Times New Roman"/>
                <w:b/>
                <w:bCs/>
                <w:kern w:val="0"/>
                <w:sz w:val="20"/>
                <w:szCs w:val="20"/>
                <w:vertAlign w:val="subscript"/>
              </w:rPr>
              <w:t>50</w:t>
            </w:r>
            <w:r>
              <w:rPr>
                <w:rFonts w:ascii="Times New Roman" w:eastAsia="等线" w:hAnsi="Times New Roman" w:cs="Times New Roman"/>
                <w:b/>
                <w:bCs/>
                <w:kern w:val="0"/>
                <w:sz w:val="20"/>
                <w:szCs w:val="20"/>
              </w:rPr>
              <w:t>: nM)</w:t>
            </w:r>
          </w:p>
        </w:tc>
        <w:tc>
          <w:tcPr>
            <w:tcW w:w="1276" w:type="dxa"/>
            <w:vAlign w:val="center"/>
          </w:tcPr>
          <w:p w14:paraId="3C89AA10" w14:textId="77777777" w:rsidR="0056092E" w:rsidRDefault="00000000">
            <w:pPr>
              <w:autoSpaceDE w:val="0"/>
              <w:autoSpaceDN w:val="0"/>
              <w:adjustRightInd w:val="0"/>
              <w:spacing w:before="240" w:line="276" w:lineRule="auto"/>
              <w:jc w:val="center"/>
              <w:rPr>
                <w:rFonts w:ascii="Times New Roman" w:eastAsia="等线" w:hAnsi="Times New Roman" w:cs="Times New Roman"/>
                <w:b/>
                <w:bCs/>
                <w:kern w:val="0"/>
                <w:sz w:val="20"/>
                <w:szCs w:val="20"/>
              </w:rPr>
            </w:pPr>
            <w:r>
              <w:rPr>
                <w:rFonts w:ascii="Times New Roman" w:eastAsia="等线" w:hAnsi="Times New Roman" w:cs="Times New Roman"/>
                <w:b/>
                <w:bCs/>
                <w:kern w:val="0"/>
                <w:sz w:val="20"/>
                <w:szCs w:val="20"/>
              </w:rPr>
              <w:t>Sotorasib (GI</w:t>
            </w:r>
            <w:r>
              <w:rPr>
                <w:rFonts w:ascii="Times New Roman" w:eastAsia="等线" w:hAnsi="Times New Roman" w:cs="Times New Roman"/>
                <w:b/>
                <w:bCs/>
                <w:kern w:val="0"/>
                <w:sz w:val="20"/>
                <w:szCs w:val="20"/>
                <w:vertAlign w:val="subscript"/>
              </w:rPr>
              <w:t>50</w:t>
            </w:r>
            <w:r>
              <w:rPr>
                <w:rFonts w:ascii="Times New Roman" w:eastAsia="等线" w:hAnsi="Times New Roman" w:cs="Times New Roman"/>
                <w:b/>
                <w:bCs/>
                <w:kern w:val="0"/>
                <w:sz w:val="20"/>
                <w:szCs w:val="20"/>
              </w:rPr>
              <w:t>: nM)</w:t>
            </w:r>
          </w:p>
        </w:tc>
        <w:tc>
          <w:tcPr>
            <w:tcW w:w="1275" w:type="dxa"/>
            <w:vAlign w:val="center"/>
          </w:tcPr>
          <w:p w14:paraId="084E0AB9" w14:textId="77777777" w:rsidR="0056092E" w:rsidRDefault="00000000">
            <w:pPr>
              <w:autoSpaceDE w:val="0"/>
              <w:autoSpaceDN w:val="0"/>
              <w:adjustRightInd w:val="0"/>
              <w:spacing w:before="240" w:line="276" w:lineRule="auto"/>
              <w:jc w:val="center"/>
              <w:rPr>
                <w:rFonts w:ascii="Times New Roman" w:eastAsia="等线" w:hAnsi="Times New Roman" w:cs="Times New Roman"/>
                <w:b/>
                <w:bCs/>
                <w:kern w:val="0"/>
                <w:sz w:val="20"/>
                <w:szCs w:val="20"/>
              </w:rPr>
            </w:pPr>
            <w:r>
              <w:rPr>
                <w:rFonts w:ascii="Times New Roman" w:eastAsia="等线" w:hAnsi="Times New Roman" w:cs="Times New Roman"/>
                <w:b/>
                <w:bCs/>
                <w:kern w:val="0"/>
                <w:sz w:val="20"/>
                <w:szCs w:val="20"/>
              </w:rPr>
              <w:t>Adagrasib (GI</w:t>
            </w:r>
            <w:r>
              <w:rPr>
                <w:rFonts w:ascii="Times New Roman" w:eastAsia="等线" w:hAnsi="Times New Roman" w:cs="Times New Roman"/>
                <w:b/>
                <w:bCs/>
                <w:kern w:val="0"/>
                <w:sz w:val="20"/>
                <w:szCs w:val="20"/>
                <w:vertAlign w:val="subscript"/>
              </w:rPr>
              <w:t>50</w:t>
            </w:r>
            <w:r>
              <w:rPr>
                <w:rFonts w:ascii="Times New Roman" w:eastAsia="等线" w:hAnsi="Times New Roman" w:cs="Times New Roman"/>
                <w:b/>
                <w:bCs/>
                <w:kern w:val="0"/>
                <w:sz w:val="20"/>
                <w:szCs w:val="20"/>
              </w:rPr>
              <w:t>: nM)</w:t>
            </w:r>
          </w:p>
        </w:tc>
      </w:tr>
      <w:tr w:rsidR="0056092E" w14:paraId="27C194CD" w14:textId="77777777">
        <w:tc>
          <w:tcPr>
            <w:tcW w:w="2518" w:type="dxa"/>
            <w:vAlign w:val="center"/>
          </w:tcPr>
          <w:p w14:paraId="102D30C5" w14:textId="6600AA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BaF3-KRAS-G12C</w:t>
            </w:r>
          </w:p>
        </w:tc>
        <w:tc>
          <w:tcPr>
            <w:tcW w:w="1701" w:type="dxa"/>
            <w:vAlign w:val="center"/>
          </w:tcPr>
          <w:p w14:paraId="30B4A466"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9</w:t>
            </w:r>
          </w:p>
        </w:tc>
        <w:tc>
          <w:tcPr>
            <w:tcW w:w="1378" w:type="dxa"/>
            <w:vAlign w:val="center"/>
          </w:tcPr>
          <w:p w14:paraId="1D13A4B0"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6" w:type="dxa"/>
            <w:vAlign w:val="center"/>
          </w:tcPr>
          <w:p w14:paraId="15A1C04B"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7</w:t>
            </w:r>
          </w:p>
        </w:tc>
        <w:tc>
          <w:tcPr>
            <w:tcW w:w="1275" w:type="dxa"/>
            <w:vAlign w:val="center"/>
          </w:tcPr>
          <w:p w14:paraId="795AB43E"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23</w:t>
            </w:r>
          </w:p>
        </w:tc>
      </w:tr>
      <w:tr w:rsidR="0056092E" w14:paraId="46F72FC4" w14:textId="77777777">
        <w:tc>
          <w:tcPr>
            <w:tcW w:w="2518" w:type="dxa"/>
            <w:vAlign w:val="center"/>
          </w:tcPr>
          <w:p w14:paraId="48765410" w14:textId="429875DD"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BaF3-NRAS-G12D</w:t>
            </w:r>
          </w:p>
        </w:tc>
        <w:tc>
          <w:tcPr>
            <w:tcW w:w="1701" w:type="dxa"/>
            <w:vAlign w:val="center"/>
          </w:tcPr>
          <w:p w14:paraId="7E83D09C"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14</w:t>
            </w:r>
          </w:p>
        </w:tc>
        <w:tc>
          <w:tcPr>
            <w:tcW w:w="1378" w:type="dxa"/>
            <w:vAlign w:val="center"/>
          </w:tcPr>
          <w:p w14:paraId="21E6F8F8"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6" w:type="dxa"/>
            <w:vAlign w:val="center"/>
          </w:tcPr>
          <w:p w14:paraId="34EA0528"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5" w:type="dxa"/>
            <w:vAlign w:val="center"/>
          </w:tcPr>
          <w:p w14:paraId="10D498D0"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959</w:t>
            </w:r>
          </w:p>
        </w:tc>
      </w:tr>
      <w:tr w:rsidR="0056092E" w14:paraId="7910937D" w14:textId="77777777">
        <w:tc>
          <w:tcPr>
            <w:tcW w:w="2518" w:type="dxa"/>
            <w:vAlign w:val="center"/>
          </w:tcPr>
          <w:p w14:paraId="13F041A1"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BaF3-KRAS-G12C-H95D</w:t>
            </w:r>
          </w:p>
        </w:tc>
        <w:tc>
          <w:tcPr>
            <w:tcW w:w="1701" w:type="dxa"/>
            <w:vAlign w:val="center"/>
          </w:tcPr>
          <w:p w14:paraId="031285A6"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宋体" w:hAnsi="Times New Roman" w:cs="Times New Roman"/>
                <w:color w:val="000000"/>
                <w:kern w:val="0"/>
                <w:sz w:val="18"/>
                <w:szCs w:val="18"/>
              </w:rPr>
              <w:t>52</w:t>
            </w:r>
          </w:p>
        </w:tc>
        <w:tc>
          <w:tcPr>
            <w:tcW w:w="1378" w:type="dxa"/>
            <w:vAlign w:val="center"/>
          </w:tcPr>
          <w:p w14:paraId="789DE1B5"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宋体" w:hAnsi="Times New Roman" w:cs="Times New Roman"/>
                <w:color w:val="000000"/>
                <w:kern w:val="0"/>
                <w:sz w:val="18"/>
                <w:szCs w:val="18"/>
              </w:rPr>
              <w:t>&gt;1000</w:t>
            </w:r>
          </w:p>
        </w:tc>
        <w:tc>
          <w:tcPr>
            <w:tcW w:w="1276" w:type="dxa"/>
            <w:vAlign w:val="center"/>
          </w:tcPr>
          <w:p w14:paraId="5BE8C3A2"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宋体" w:hAnsi="Times New Roman" w:cs="Times New Roman"/>
                <w:color w:val="000000"/>
                <w:kern w:val="0"/>
                <w:sz w:val="18"/>
                <w:szCs w:val="18"/>
              </w:rPr>
              <w:t>80</w:t>
            </w:r>
          </w:p>
        </w:tc>
        <w:tc>
          <w:tcPr>
            <w:tcW w:w="1275" w:type="dxa"/>
            <w:vAlign w:val="center"/>
          </w:tcPr>
          <w:p w14:paraId="0BA5F765"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宋体" w:hAnsi="Times New Roman" w:cs="Times New Roman"/>
                <w:color w:val="000000"/>
                <w:kern w:val="0"/>
                <w:sz w:val="18"/>
                <w:szCs w:val="18"/>
              </w:rPr>
              <w:t>&gt;1000</w:t>
            </w:r>
          </w:p>
        </w:tc>
      </w:tr>
      <w:tr w:rsidR="0056092E" w14:paraId="11DF419B" w14:textId="77777777">
        <w:tc>
          <w:tcPr>
            <w:tcW w:w="2518" w:type="dxa"/>
            <w:vAlign w:val="center"/>
          </w:tcPr>
          <w:p w14:paraId="0BF70C4A"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BaF3-KRAS-G12C-H95Q</w:t>
            </w:r>
          </w:p>
        </w:tc>
        <w:tc>
          <w:tcPr>
            <w:tcW w:w="1701" w:type="dxa"/>
            <w:vAlign w:val="center"/>
          </w:tcPr>
          <w:p w14:paraId="1F9F1953"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40</w:t>
            </w:r>
          </w:p>
        </w:tc>
        <w:tc>
          <w:tcPr>
            <w:tcW w:w="1378" w:type="dxa"/>
            <w:vAlign w:val="center"/>
          </w:tcPr>
          <w:p w14:paraId="359B3F99"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6" w:type="dxa"/>
            <w:vAlign w:val="center"/>
          </w:tcPr>
          <w:p w14:paraId="1FE39E23"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137</w:t>
            </w:r>
          </w:p>
        </w:tc>
        <w:tc>
          <w:tcPr>
            <w:tcW w:w="1275" w:type="dxa"/>
            <w:vAlign w:val="center"/>
          </w:tcPr>
          <w:p w14:paraId="7A36581D"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899</w:t>
            </w:r>
          </w:p>
        </w:tc>
      </w:tr>
      <w:tr w:rsidR="0056092E" w14:paraId="14731E69" w14:textId="77777777">
        <w:tc>
          <w:tcPr>
            <w:tcW w:w="2518" w:type="dxa"/>
            <w:vAlign w:val="center"/>
          </w:tcPr>
          <w:p w14:paraId="3CE48E88"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BaF3-KRAS-G12C-Y96C</w:t>
            </w:r>
          </w:p>
        </w:tc>
        <w:tc>
          <w:tcPr>
            <w:tcW w:w="1701" w:type="dxa"/>
            <w:vAlign w:val="center"/>
          </w:tcPr>
          <w:p w14:paraId="273CCC3A"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37</w:t>
            </w:r>
          </w:p>
        </w:tc>
        <w:tc>
          <w:tcPr>
            <w:tcW w:w="1378" w:type="dxa"/>
            <w:vAlign w:val="center"/>
          </w:tcPr>
          <w:p w14:paraId="62739839"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6" w:type="dxa"/>
            <w:vAlign w:val="center"/>
          </w:tcPr>
          <w:p w14:paraId="07A3A3AB"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c>
          <w:tcPr>
            <w:tcW w:w="1275" w:type="dxa"/>
            <w:vAlign w:val="center"/>
          </w:tcPr>
          <w:p w14:paraId="2BCA8C3F" w14:textId="77777777" w:rsidR="0056092E" w:rsidRDefault="00000000">
            <w:pPr>
              <w:autoSpaceDE w:val="0"/>
              <w:autoSpaceDN w:val="0"/>
              <w:adjustRightInd w:val="0"/>
              <w:spacing w:before="240" w:line="276" w:lineRule="auto"/>
              <w:jc w:val="center"/>
              <w:rPr>
                <w:rFonts w:ascii="Times New Roman" w:eastAsia="等线" w:hAnsi="Times New Roman" w:cs="Times New Roman"/>
                <w:kern w:val="0"/>
                <w:sz w:val="20"/>
                <w:szCs w:val="20"/>
              </w:rPr>
            </w:pPr>
            <w:r>
              <w:rPr>
                <w:rFonts w:ascii="Times New Roman" w:eastAsia="等线" w:hAnsi="Times New Roman" w:cs="Times New Roman"/>
                <w:kern w:val="0"/>
                <w:sz w:val="20"/>
                <w:szCs w:val="20"/>
              </w:rPr>
              <w:t>&gt;1000</w:t>
            </w:r>
          </w:p>
        </w:tc>
      </w:tr>
    </w:tbl>
    <w:p w14:paraId="1F626D9A" w14:textId="77777777" w:rsidR="0056092E" w:rsidRDefault="0056092E">
      <w:pPr>
        <w:spacing w:line="360" w:lineRule="auto"/>
        <w:rPr>
          <w:rFonts w:ascii="Times New Roman" w:hAnsi="Times New Roman" w:cs="Times New Roman"/>
          <w:sz w:val="22"/>
          <w:szCs w:val="22"/>
          <w:vertAlign w:val="superscript"/>
        </w:rPr>
      </w:pPr>
    </w:p>
    <w:p w14:paraId="1E135D0D" w14:textId="77777777" w:rsidR="0056092E" w:rsidRDefault="00000000">
      <w:pPr>
        <w:rPr>
          <w:rFonts w:ascii="Times New Roman" w:hAnsi="Times New Roman" w:cs="Times New Roman"/>
          <w:szCs w:val="21"/>
        </w:rPr>
      </w:pPr>
      <w:r>
        <w:rPr>
          <w:rFonts w:ascii="Times New Roman" w:hAnsi="Times New Roman" w:cs="Times New Roman"/>
          <w:szCs w:val="21"/>
        </w:rPr>
        <w:t>All GI</w:t>
      </w:r>
      <w:r>
        <w:rPr>
          <w:rFonts w:ascii="Times New Roman" w:hAnsi="Times New Roman" w:cs="Times New Roman"/>
          <w:szCs w:val="21"/>
          <w:vertAlign w:val="subscript"/>
        </w:rPr>
        <w:t>50</w:t>
      </w:r>
      <w:r>
        <w:rPr>
          <w:rFonts w:ascii="Times New Roman" w:hAnsi="Times New Roman" w:cs="Times New Roman"/>
          <w:szCs w:val="21"/>
        </w:rPr>
        <w:t xml:space="preserve"> values were obtained by triplet testing.</w:t>
      </w:r>
    </w:p>
    <w:p w14:paraId="67E586B9" w14:textId="77777777" w:rsidR="0056092E" w:rsidRDefault="0056092E">
      <w:pPr>
        <w:rPr>
          <w:rFonts w:ascii="Arial" w:hAnsi="Arial" w:cs="Arial"/>
          <w:sz w:val="18"/>
          <w:szCs w:val="18"/>
          <w:vertAlign w:val="superscript"/>
        </w:rPr>
      </w:pPr>
    </w:p>
    <w:p w14:paraId="6B6E6097" w14:textId="77777777" w:rsidR="0056092E" w:rsidRDefault="0056092E">
      <w:pPr>
        <w:rPr>
          <w:rFonts w:ascii="Arial" w:hAnsi="Arial" w:cs="Arial"/>
          <w:sz w:val="18"/>
          <w:szCs w:val="18"/>
        </w:rPr>
      </w:pPr>
    </w:p>
    <w:p w14:paraId="047C6497" w14:textId="77777777" w:rsidR="0056092E" w:rsidRDefault="0056092E">
      <w:pPr>
        <w:rPr>
          <w:rFonts w:ascii="Arial" w:hAnsi="Arial" w:cs="Arial"/>
          <w:sz w:val="18"/>
          <w:szCs w:val="18"/>
        </w:rPr>
      </w:pPr>
    </w:p>
    <w:p w14:paraId="332B9F57" w14:textId="77777777" w:rsidR="0056092E" w:rsidRDefault="00000000">
      <w:pPr>
        <w:jc w:val="center"/>
        <w:rPr>
          <w:rFonts w:ascii="Arial" w:hAnsi="Arial" w:cs="Arial"/>
          <w:sz w:val="18"/>
          <w:szCs w:val="18"/>
          <w:vertAlign w:val="superscript"/>
        </w:rPr>
      </w:pPr>
      <w:r>
        <w:rPr>
          <w:rFonts w:ascii="Arial" w:hAnsi="Arial" w:cs="Arial" w:hint="eastAsia"/>
          <w:sz w:val="18"/>
          <w:szCs w:val="18"/>
          <w:vertAlign w:val="superscript"/>
        </w:rPr>
        <w:t xml:space="preserve"> </w:t>
      </w:r>
      <w:r>
        <w:rPr>
          <w:rFonts w:ascii="Arial" w:hAnsi="Arial" w:cs="Arial"/>
          <w:sz w:val="18"/>
          <w:szCs w:val="18"/>
          <w:vertAlign w:val="superscript"/>
        </w:rPr>
        <w:t xml:space="preserve">   </w:t>
      </w:r>
    </w:p>
    <w:p w14:paraId="2B8CA612" w14:textId="77777777" w:rsidR="0056092E" w:rsidRDefault="00000000">
      <w:pPr>
        <w:tabs>
          <w:tab w:val="center" w:pos="4153"/>
        </w:tabs>
        <w:rPr>
          <w:rFonts w:ascii="Arial" w:hAnsi="Arial" w:cs="Arial"/>
          <w:sz w:val="18"/>
          <w:szCs w:val="18"/>
        </w:rPr>
        <w:sectPr w:rsidR="0056092E">
          <w:pgSz w:w="11906" w:h="16838"/>
          <w:pgMar w:top="1440" w:right="1800" w:bottom="1440" w:left="1800" w:header="851" w:footer="992" w:gutter="0"/>
          <w:cols w:space="425"/>
          <w:docGrid w:type="lines" w:linePitch="312"/>
        </w:sectPr>
      </w:pPr>
      <w:r>
        <w:rPr>
          <w:rFonts w:ascii="Arial" w:hAnsi="Arial" w:cs="Arial"/>
          <w:sz w:val="18"/>
          <w:szCs w:val="18"/>
        </w:rPr>
        <w:tab/>
      </w:r>
    </w:p>
    <w:p w14:paraId="4DCBD5BB" w14:textId="77777777" w:rsidR="0056092E" w:rsidRDefault="00000000">
      <w:pPr>
        <w:autoSpaceDE w:val="0"/>
        <w:autoSpaceDN w:val="0"/>
        <w:adjustRightInd w:val="0"/>
        <w:spacing w:before="240" w:line="276" w:lineRule="auto"/>
        <w:rPr>
          <w:rFonts w:ascii="Times New Roman" w:eastAsia="等线" w:hAnsi="Times New Roman" w:cs="Times New Roman"/>
          <w:kern w:val="0"/>
          <w:sz w:val="24"/>
        </w:rPr>
      </w:pPr>
      <w:r>
        <w:rPr>
          <w:rFonts w:ascii="Times New Roman" w:hAnsi="Times New Roman" w:cs="Times New Roman"/>
          <w:b/>
          <w:sz w:val="24"/>
        </w:rPr>
        <w:lastRenderedPageBreak/>
        <w:t xml:space="preserve">Table </w:t>
      </w:r>
      <w:r>
        <w:rPr>
          <w:rFonts w:ascii="Times New Roman" w:hAnsi="Times New Roman" w:cs="Times New Roman" w:hint="eastAsia"/>
          <w:b/>
          <w:sz w:val="24"/>
        </w:rPr>
        <w:t xml:space="preserve">S2 </w:t>
      </w:r>
      <w:r>
        <w:rPr>
          <w:rFonts w:ascii="Times New Roman" w:eastAsia="等线" w:hAnsi="Times New Roman" w:cs="Times New Roman"/>
          <w:kern w:val="0"/>
          <w:sz w:val="24"/>
        </w:rPr>
        <w:t>Anti-proliferative effect of IHMT-RAF-128, and Vemurafenib on a panel of BaF3 cell library whose growth depends on RAF mutation.</w:t>
      </w:r>
    </w:p>
    <w:p w14:paraId="1FD354EE" w14:textId="77777777" w:rsidR="0056092E" w:rsidRDefault="0056092E">
      <w:pPr>
        <w:rPr>
          <w:rFonts w:ascii="Times New Roman" w:hAnsi="Times New Roman" w:cs="Times New Roman"/>
          <w:szCs w:val="21"/>
        </w:rPr>
      </w:pPr>
    </w:p>
    <w:tbl>
      <w:tblPr>
        <w:tblStyle w:val="a7"/>
        <w:tblW w:w="7088" w:type="dxa"/>
        <w:tblInd w:w="250" w:type="dxa"/>
        <w:tblLook w:val="04A0" w:firstRow="1" w:lastRow="0" w:firstColumn="1" w:lastColumn="0" w:noHBand="0" w:noVBand="1"/>
      </w:tblPr>
      <w:tblGrid>
        <w:gridCol w:w="2693"/>
        <w:gridCol w:w="2410"/>
        <w:gridCol w:w="1985"/>
      </w:tblGrid>
      <w:tr w:rsidR="0056092E" w14:paraId="1D9E289C" w14:textId="77777777">
        <w:trPr>
          <w:trHeight w:val="567"/>
        </w:trPr>
        <w:tc>
          <w:tcPr>
            <w:tcW w:w="2693" w:type="dxa"/>
            <w:vAlign w:val="center"/>
          </w:tcPr>
          <w:p w14:paraId="096DFAD1" w14:textId="77777777" w:rsidR="0056092E" w:rsidRDefault="00000000">
            <w:pPr>
              <w:jc w:val="center"/>
              <w:rPr>
                <w:rFonts w:ascii="Times New Roman" w:hAnsi="Times New Roman" w:cs="Times New Roman"/>
                <w:b/>
                <w:bCs/>
                <w:sz w:val="24"/>
              </w:rPr>
            </w:pPr>
            <w:r>
              <w:rPr>
                <w:rFonts w:ascii="Times New Roman" w:hAnsi="Times New Roman" w:cs="Times New Roman"/>
                <w:b/>
                <w:bCs/>
                <w:sz w:val="24"/>
              </w:rPr>
              <w:t>Cell line</w:t>
            </w:r>
          </w:p>
        </w:tc>
        <w:tc>
          <w:tcPr>
            <w:tcW w:w="2410" w:type="dxa"/>
            <w:vAlign w:val="center"/>
          </w:tcPr>
          <w:p w14:paraId="5B3BDAEC" w14:textId="77777777" w:rsidR="0056092E" w:rsidRDefault="00000000">
            <w:pPr>
              <w:jc w:val="center"/>
              <w:rPr>
                <w:rFonts w:ascii="Times New Roman" w:hAnsi="Times New Roman" w:cs="Times New Roman"/>
                <w:b/>
                <w:bCs/>
                <w:sz w:val="24"/>
              </w:rPr>
            </w:pPr>
            <w:r>
              <w:rPr>
                <w:rFonts w:ascii="Times New Roman" w:hAnsi="Times New Roman" w:cs="Times New Roman"/>
                <w:b/>
                <w:bCs/>
                <w:sz w:val="24"/>
              </w:rPr>
              <w:t>IHMT-RAF-128 (GI</w:t>
            </w:r>
            <w:r>
              <w:rPr>
                <w:rFonts w:ascii="Times New Roman" w:hAnsi="Times New Roman" w:cs="Times New Roman"/>
                <w:b/>
                <w:bCs/>
                <w:sz w:val="24"/>
                <w:vertAlign w:val="subscript"/>
              </w:rPr>
              <w:t>50</w:t>
            </w:r>
            <w:r>
              <w:rPr>
                <w:rFonts w:ascii="Times New Roman" w:hAnsi="Times New Roman" w:cs="Times New Roman"/>
                <w:b/>
                <w:bCs/>
                <w:sz w:val="24"/>
              </w:rPr>
              <w:t>: μM)</w:t>
            </w:r>
          </w:p>
        </w:tc>
        <w:tc>
          <w:tcPr>
            <w:tcW w:w="1985" w:type="dxa"/>
            <w:vAlign w:val="center"/>
          </w:tcPr>
          <w:p w14:paraId="224A7603" w14:textId="77777777" w:rsidR="0056092E" w:rsidRDefault="00000000">
            <w:pPr>
              <w:jc w:val="center"/>
              <w:rPr>
                <w:rFonts w:ascii="Times New Roman" w:hAnsi="Times New Roman" w:cs="Times New Roman"/>
                <w:b/>
                <w:bCs/>
                <w:sz w:val="24"/>
              </w:rPr>
            </w:pPr>
            <w:r>
              <w:rPr>
                <w:rFonts w:ascii="Times New Roman" w:hAnsi="Times New Roman" w:cs="Times New Roman"/>
                <w:b/>
                <w:bCs/>
                <w:sz w:val="24"/>
              </w:rPr>
              <w:t>Vemurafenib (GI</w:t>
            </w:r>
            <w:r>
              <w:rPr>
                <w:rFonts w:ascii="Times New Roman" w:hAnsi="Times New Roman" w:cs="Times New Roman"/>
                <w:b/>
                <w:bCs/>
                <w:sz w:val="24"/>
                <w:vertAlign w:val="subscript"/>
              </w:rPr>
              <w:t>50</w:t>
            </w:r>
            <w:r>
              <w:rPr>
                <w:rFonts w:ascii="Times New Roman" w:hAnsi="Times New Roman" w:cs="Times New Roman"/>
                <w:b/>
                <w:bCs/>
                <w:sz w:val="24"/>
              </w:rPr>
              <w:t>: μM)</w:t>
            </w:r>
          </w:p>
        </w:tc>
      </w:tr>
      <w:tr w:rsidR="0056092E" w14:paraId="49010890" w14:textId="77777777">
        <w:trPr>
          <w:trHeight w:val="567"/>
        </w:trPr>
        <w:tc>
          <w:tcPr>
            <w:tcW w:w="2693" w:type="dxa"/>
            <w:vAlign w:val="center"/>
          </w:tcPr>
          <w:p w14:paraId="5788A224"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BaF3-FL-BRAF-V600E</w:t>
            </w:r>
          </w:p>
        </w:tc>
        <w:tc>
          <w:tcPr>
            <w:tcW w:w="2410" w:type="dxa"/>
            <w:vAlign w:val="center"/>
          </w:tcPr>
          <w:p w14:paraId="2FC12522"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0.0003</w:t>
            </w:r>
          </w:p>
        </w:tc>
        <w:tc>
          <w:tcPr>
            <w:tcW w:w="1985" w:type="dxa"/>
            <w:vAlign w:val="center"/>
          </w:tcPr>
          <w:p w14:paraId="1FBA4BF7"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0.015</w:t>
            </w:r>
          </w:p>
        </w:tc>
      </w:tr>
      <w:tr w:rsidR="0056092E" w14:paraId="4E3AC05F" w14:textId="77777777">
        <w:trPr>
          <w:trHeight w:val="567"/>
        </w:trPr>
        <w:tc>
          <w:tcPr>
            <w:tcW w:w="2693" w:type="dxa"/>
            <w:vAlign w:val="center"/>
          </w:tcPr>
          <w:p w14:paraId="47B2613E"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BaF3-FL-BRAF-K601E</w:t>
            </w:r>
          </w:p>
        </w:tc>
        <w:tc>
          <w:tcPr>
            <w:tcW w:w="2410" w:type="dxa"/>
            <w:vAlign w:val="center"/>
          </w:tcPr>
          <w:p w14:paraId="214954B4"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0.0003</w:t>
            </w:r>
          </w:p>
        </w:tc>
        <w:tc>
          <w:tcPr>
            <w:tcW w:w="1985" w:type="dxa"/>
            <w:vAlign w:val="center"/>
          </w:tcPr>
          <w:p w14:paraId="15433451"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1.8</w:t>
            </w:r>
          </w:p>
        </w:tc>
      </w:tr>
      <w:tr w:rsidR="0056092E" w14:paraId="7BB74039" w14:textId="77777777">
        <w:trPr>
          <w:trHeight w:val="567"/>
        </w:trPr>
        <w:tc>
          <w:tcPr>
            <w:tcW w:w="2693" w:type="dxa"/>
            <w:vAlign w:val="center"/>
          </w:tcPr>
          <w:p w14:paraId="3EF2D826"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BaF3-FL-BRAF-G469A</w:t>
            </w:r>
          </w:p>
        </w:tc>
        <w:tc>
          <w:tcPr>
            <w:tcW w:w="2410" w:type="dxa"/>
            <w:vAlign w:val="center"/>
          </w:tcPr>
          <w:p w14:paraId="055B0944"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0.004</w:t>
            </w:r>
          </w:p>
        </w:tc>
        <w:tc>
          <w:tcPr>
            <w:tcW w:w="1985" w:type="dxa"/>
            <w:vAlign w:val="center"/>
          </w:tcPr>
          <w:p w14:paraId="107F38EB"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0.38</w:t>
            </w:r>
          </w:p>
        </w:tc>
      </w:tr>
      <w:tr w:rsidR="0056092E" w14:paraId="02C028D6" w14:textId="77777777">
        <w:trPr>
          <w:trHeight w:val="567"/>
        </w:trPr>
        <w:tc>
          <w:tcPr>
            <w:tcW w:w="2693" w:type="dxa"/>
            <w:vAlign w:val="center"/>
          </w:tcPr>
          <w:p w14:paraId="4027B508"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32D-BRAF-V600E-P61</w:t>
            </w:r>
          </w:p>
        </w:tc>
        <w:tc>
          <w:tcPr>
            <w:tcW w:w="2410" w:type="dxa"/>
            <w:vAlign w:val="center"/>
          </w:tcPr>
          <w:p w14:paraId="4E58C427"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1.3</w:t>
            </w:r>
          </w:p>
        </w:tc>
        <w:tc>
          <w:tcPr>
            <w:tcW w:w="1985" w:type="dxa"/>
            <w:vAlign w:val="center"/>
          </w:tcPr>
          <w:p w14:paraId="3E69FA9D"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&gt;10</w:t>
            </w:r>
          </w:p>
        </w:tc>
      </w:tr>
      <w:tr w:rsidR="0056092E" w14:paraId="0AF7B46E" w14:textId="77777777">
        <w:trPr>
          <w:trHeight w:val="567"/>
        </w:trPr>
        <w:tc>
          <w:tcPr>
            <w:tcW w:w="2693" w:type="dxa"/>
            <w:vAlign w:val="center"/>
          </w:tcPr>
          <w:p w14:paraId="20EB5E61"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Ba/F3</w:t>
            </w:r>
          </w:p>
        </w:tc>
        <w:tc>
          <w:tcPr>
            <w:tcW w:w="2410" w:type="dxa"/>
            <w:vAlign w:val="center"/>
          </w:tcPr>
          <w:p w14:paraId="00907168"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&gt;10</w:t>
            </w:r>
          </w:p>
        </w:tc>
        <w:tc>
          <w:tcPr>
            <w:tcW w:w="1985" w:type="dxa"/>
            <w:vAlign w:val="center"/>
          </w:tcPr>
          <w:p w14:paraId="405B55CF" w14:textId="77777777" w:rsidR="0056092E" w:rsidRDefault="00000000">
            <w:pPr>
              <w:jc w:val="center"/>
              <w:rPr>
                <w:rFonts w:ascii="Times New Roman" w:hAnsi="Times New Roman" w:cs="Times New Roman"/>
                <w:sz w:val="24"/>
              </w:rPr>
            </w:pPr>
            <w:r>
              <w:rPr>
                <w:rFonts w:ascii="Times New Roman" w:eastAsia="宋体" w:hAnsi="Times New Roman" w:cs="Times New Roman"/>
                <w:color w:val="000000"/>
                <w:kern w:val="0"/>
                <w:sz w:val="24"/>
              </w:rPr>
              <w:t>&gt;10</w:t>
            </w:r>
          </w:p>
        </w:tc>
      </w:tr>
    </w:tbl>
    <w:p w14:paraId="5BD190D0" w14:textId="77777777" w:rsidR="0056092E" w:rsidRDefault="0056092E">
      <w:pPr>
        <w:rPr>
          <w:rFonts w:ascii="Times New Roman" w:hAnsi="Times New Roman" w:cs="Times New Roman"/>
          <w:szCs w:val="21"/>
        </w:rPr>
      </w:pPr>
    </w:p>
    <w:p w14:paraId="11AD65E4" w14:textId="77777777" w:rsidR="0056092E" w:rsidRDefault="0056092E">
      <w:pPr>
        <w:rPr>
          <w:rFonts w:ascii="Times New Roman" w:hAnsi="Times New Roman" w:cs="Times New Roman"/>
          <w:szCs w:val="21"/>
        </w:rPr>
      </w:pPr>
    </w:p>
    <w:p w14:paraId="442A85A3" w14:textId="77777777" w:rsidR="0056092E" w:rsidRDefault="00000000">
      <w:pPr>
        <w:rPr>
          <w:rFonts w:ascii="Times New Roman" w:hAnsi="Times New Roman" w:cs="Times New Roman"/>
          <w:szCs w:val="21"/>
        </w:rPr>
      </w:pPr>
      <w:r>
        <w:rPr>
          <w:rFonts w:ascii="Times New Roman" w:hAnsi="Times New Roman" w:cs="Times New Roman"/>
          <w:szCs w:val="21"/>
        </w:rPr>
        <w:t>All GI</w:t>
      </w:r>
      <w:r>
        <w:rPr>
          <w:rFonts w:ascii="Times New Roman" w:hAnsi="Times New Roman" w:cs="Times New Roman"/>
          <w:szCs w:val="21"/>
          <w:vertAlign w:val="subscript"/>
        </w:rPr>
        <w:t>50</w:t>
      </w:r>
      <w:r>
        <w:rPr>
          <w:rFonts w:ascii="Times New Roman" w:hAnsi="Times New Roman" w:cs="Times New Roman"/>
          <w:szCs w:val="21"/>
        </w:rPr>
        <w:t xml:space="preserve"> values were obtained by triplet testing.</w:t>
      </w:r>
    </w:p>
    <w:p w14:paraId="2E55A5B1" w14:textId="77777777" w:rsidR="0056092E" w:rsidRDefault="0056092E">
      <w:pPr>
        <w:rPr>
          <w:rFonts w:ascii="Arial" w:hAnsi="Arial" w:cs="Arial"/>
          <w:sz w:val="18"/>
          <w:szCs w:val="18"/>
          <w:vertAlign w:val="superscript"/>
        </w:rPr>
      </w:pPr>
    </w:p>
    <w:p w14:paraId="26C24B39" w14:textId="77777777" w:rsidR="0056092E" w:rsidRDefault="0056092E">
      <w:pPr>
        <w:rPr>
          <w:rFonts w:ascii="Arial" w:hAnsi="Arial" w:cs="Arial"/>
          <w:sz w:val="18"/>
          <w:szCs w:val="18"/>
          <w:vertAlign w:val="superscript"/>
        </w:rPr>
      </w:pPr>
    </w:p>
    <w:p w14:paraId="06CC8DF8" w14:textId="77777777" w:rsidR="0056092E" w:rsidRDefault="00000000">
      <w:pPr>
        <w:widowControl/>
        <w:jc w:val="left"/>
        <w:rPr>
          <w:rFonts w:ascii="Times New Roman" w:eastAsia="等线" w:hAnsi="Times New Roman" w:cs="Times New Roman"/>
          <w:b/>
          <w:bCs/>
          <w:color w:val="000000"/>
          <w:kern w:val="0"/>
          <w:sz w:val="24"/>
        </w:rPr>
      </w:pPr>
      <w:r>
        <w:rPr>
          <w:rFonts w:ascii="Times New Roman" w:eastAsia="等线" w:hAnsi="Times New Roman" w:cs="Times New Roman"/>
          <w:b/>
          <w:kern w:val="0"/>
          <w:sz w:val="24"/>
        </w:rPr>
        <w:t xml:space="preserve">Table </w:t>
      </w:r>
      <w:r>
        <w:rPr>
          <w:rFonts w:ascii="Times New Roman" w:eastAsia="等线" w:hAnsi="Times New Roman" w:cs="Times New Roman" w:hint="eastAsia"/>
          <w:b/>
          <w:kern w:val="0"/>
          <w:sz w:val="24"/>
        </w:rPr>
        <w:t>S</w:t>
      </w:r>
      <w:r>
        <w:rPr>
          <w:rFonts w:ascii="Times New Roman" w:eastAsia="等线" w:hAnsi="Times New Roman" w:cs="Times New Roman"/>
          <w:b/>
          <w:kern w:val="0"/>
          <w:sz w:val="24"/>
        </w:rPr>
        <w:t>3</w:t>
      </w:r>
      <w:r>
        <w:rPr>
          <w:rFonts w:ascii="Times New Roman" w:eastAsia="等线" w:hAnsi="Times New Roman" w:cs="Times New Roman" w:hint="eastAsia"/>
          <w:b/>
          <w:kern w:val="0"/>
          <w:sz w:val="24"/>
        </w:rPr>
        <w:t xml:space="preserve">. </w:t>
      </w:r>
      <w:r>
        <w:rPr>
          <w:rFonts w:ascii="Times New Roman" w:eastAsia="等线" w:hAnsi="Times New Roman" w:cs="Times New Roman" w:hint="eastAsia"/>
          <w:b/>
          <w:bCs/>
          <w:color w:val="000000"/>
          <w:kern w:val="0"/>
          <w:sz w:val="24"/>
        </w:rPr>
        <w:t>(separate file)</w:t>
      </w:r>
    </w:p>
    <w:p w14:paraId="706F28C6" w14:textId="77777777" w:rsidR="0056092E" w:rsidRDefault="00000000">
      <w:pPr>
        <w:autoSpaceDE w:val="0"/>
        <w:autoSpaceDN w:val="0"/>
        <w:adjustRightInd w:val="0"/>
        <w:spacing w:before="240" w:line="276" w:lineRule="auto"/>
        <w:rPr>
          <w:rFonts w:ascii="Times New Roman" w:eastAsia="等线" w:hAnsi="Times New Roman" w:cs="Times New Roman"/>
          <w:bCs/>
          <w:kern w:val="0"/>
          <w:sz w:val="24"/>
        </w:rPr>
      </w:pPr>
      <w:r>
        <w:rPr>
          <w:rFonts w:ascii="Times New Roman" w:eastAsia="等线" w:hAnsi="Times New Roman" w:cs="Times New Roman"/>
          <w:bCs/>
          <w:kern w:val="0"/>
          <w:sz w:val="24"/>
        </w:rPr>
        <w:t>Selectivity of IHMT-RAF-128 against 405 kinases using DiscoverX’s KINOMEScan assay.</w:t>
      </w:r>
    </w:p>
    <w:p w14:paraId="737C3148" w14:textId="77777777" w:rsidR="0056092E" w:rsidRDefault="0056092E">
      <w:pPr>
        <w:rPr>
          <w:rFonts w:ascii="Arial" w:hAnsi="Arial" w:cs="Arial"/>
          <w:sz w:val="18"/>
          <w:szCs w:val="18"/>
          <w:vertAlign w:val="superscript"/>
        </w:rPr>
        <w:sectPr w:rsidR="0056092E">
          <w:pgSz w:w="11906" w:h="16838"/>
          <w:pgMar w:top="1440" w:right="1800" w:bottom="1440" w:left="1800" w:header="851" w:footer="992" w:gutter="0"/>
          <w:cols w:space="425"/>
          <w:docGrid w:type="lines" w:linePitch="312"/>
        </w:sectPr>
      </w:pPr>
    </w:p>
    <w:p w14:paraId="7E7B9302" w14:textId="77777777" w:rsidR="0056092E" w:rsidRDefault="00000000">
      <w:pPr>
        <w:spacing w:line="360" w:lineRule="auto"/>
        <w:rPr>
          <w:rFonts w:ascii="Times New Roman" w:eastAsia="等线" w:hAnsi="Times New Roman" w:cs="Times New Roman"/>
          <w:bCs/>
          <w:kern w:val="0"/>
          <w:sz w:val="24"/>
        </w:rPr>
      </w:pPr>
      <w:r>
        <w:rPr>
          <w:rFonts w:ascii="Times New Roman" w:hAnsi="Times New Roman" w:cs="Times New Roman"/>
          <w:b/>
          <w:sz w:val="24"/>
        </w:rPr>
        <w:lastRenderedPageBreak/>
        <w:t xml:space="preserve">Table </w:t>
      </w:r>
      <w:r>
        <w:rPr>
          <w:rFonts w:ascii="Times New Roman" w:hAnsi="Times New Roman" w:cs="Times New Roman" w:hint="eastAsia"/>
          <w:b/>
          <w:sz w:val="24"/>
        </w:rPr>
        <w:t>S</w:t>
      </w:r>
      <w:r>
        <w:rPr>
          <w:rFonts w:ascii="Times New Roman" w:hAnsi="Times New Roman" w:cs="Times New Roman"/>
          <w:b/>
          <w:sz w:val="24"/>
        </w:rPr>
        <w:t>4</w:t>
      </w:r>
      <w:r>
        <w:rPr>
          <w:rFonts w:ascii="Times New Roman" w:hAnsi="Times New Roman" w:cs="Times New Roman" w:hint="eastAsia"/>
          <w:b/>
          <w:sz w:val="24"/>
        </w:rPr>
        <w:t xml:space="preserve">: </w:t>
      </w:r>
      <w:r>
        <w:rPr>
          <w:rFonts w:ascii="Times New Roman" w:eastAsia="等线" w:hAnsi="Times New Roman" w:cs="Times New Roman"/>
          <w:bCs/>
          <w:kern w:val="0"/>
          <w:sz w:val="24"/>
        </w:rPr>
        <w:t>Anti-proliferative effect of IHMT-RAF-128, LY3009120, and Vemurafenib on cancer cells harboring RAF and RAS mutation.</w:t>
      </w:r>
    </w:p>
    <w:tbl>
      <w:tblPr>
        <w:tblW w:w="8506" w:type="dxa"/>
        <w:tblInd w:w="-34" w:type="dxa"/>
        <w:tblLayout w:type="fixed"/>
        <w:tblLook w:val="04A0" w:firstRow="1" w:lastRow="0" w:firstColumn="1" w:lastColumn="0" w:noHBand="0" w:noVBand="1"/>
      </w:tblPr>
      <w:tblGrid>
        <w:gridCol w:w="1272"/>
        <w:gridCol w:w="1705"/>
        <w:gridCol w:w="1418"/>
        <w:gridCol w:w="1559"/>
        <w:gridCol w:w="1276"/>
        <w:gridCol w:w="1276"/>
      </w:tblGrid>
      <w:tr w:rsidR="0056092E" w14:paraId="17EA1BBF"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C3BDAB"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Cell line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503266"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Type</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AA2E66"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Mutation</w:t>
            </w: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C2D380"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IHMT-RAF-128 (GI</w:t>
            </w:r>
            <w:r>
              <w:rPr>
                <w:rFonts w:ascii="Times New Roman" w:eastAsia="宋体" w:hAnsi="Times New Roman" w:cs="Times New Roman"/>
                <w:b/>
                <w:bCs/>
                <w:color w:val="000000"/>
                <w:kern w:val="0"/>
                <w:sz w:val="18"/>
                <w:szCs w:val="18"/>
                <w:vertAlign w:val="subscript"/>
              </w:rPr>
              <w:t>50</w:t>
            </w:r>
            <w:r>
              <w:rPr>
                <w:rFonts w:ascii="Times New Roman" w:eastAsia="宋体" w:hAnsi="Times New Roman" w:cs="Times New Roman"/>
                <w:b/>
                <w:bCs/>
                <w:color w:val="000000"/>
                <w:kern w:val="0"/>
                <w:sz w:val="18"/>
                <w:szCs w:val="18"/>
              </w:rPr>
              <w:t>: μM)</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38A42D"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 xml:space="preserve">LY3009120 </w:t>
            </w:r>
          </w:p>
          <w:p w14:paraId="4FFF218C"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(GI</w:t>
            </w:r>
            <w:r>
              <w:rPr>
                <w:rFonts w:ascii="Times New Roman" w:eastAsia="宋体" w:hAnsi="Times New Roman" w:cs="Times New Roman"/>
                <w:b/>
                <w:bCs/>
                <w:color w:val="000000"/>
                <w:kern w:val="0"/>
                <w:sz w:val="18"/>
                <w:szCs w:val="18"/>
                <w:vertAlign w:val="subscript"/>
              </w:rPr>
              <w:t>50</w:t>
            </w:r>
            <w:r>
              <w:rPr>
                <w:rFonts w:ascii="Times New Roman" w:eastAsia="宋体" w:hAnsi="Times New Roman" w:cs="Times New Roman"/>
                <w:b/>
                <w:bCs/>
                <w:color w:val="000000"/>
                <w:kern w:val="0"/>
                <w:sz w:val="18"/>
                <w:szCs w:val="18"/>
              </w:rPr>
              <w:t>: μM)</w:t>
            </w:r>
          </w:p>
        </w:tc>
        <w:tc>
          <w:tcPr>
            <w:tcW w:w="127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B6D17A"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Vemurafenib</w:t>
            </w:r>
          </w:p>
          <w:p w14:paraId="458EF216" w14:textId="77777777" w:rsidR="0056092E" w:rsidRDefault="00000000">
            <w:pPr>
              <w:widowControl/>
              <w:jc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 xml:space="preserve"> (GI</w:t>
            </w:r>
            <w:r>
              <w:rPr>
                <w:rFonts w:ascii="Times New Roman" w:eastAsia="宋体" w:hAnsi="Times New Roman" w:cs="Times New Roman"/>
                <w:b/>
                <w:bCs/>
                <w:color w:val="000000"/>
                <w:kern w:val="0"/>
                <w:sz w:val="18"/>
                <w:szCs w:val="18"/>
                <w:vertAlign w:val="subscript"/>
              </w:rPr>
              <w:t>50</w:t>
            </w:r>
            <w:r>
              <w:rPr>
                <w:rFonts w:ascii="Times New Roman" w:eastAsia="宋体" w:hAnsi="Times New Roman" w:cs="Times New Roman"/>
                <w:b/>
                <w:bCs/>
                <w:color w:val="000000"/>
                <w:kern w:val="0"/>
                <w:sz w:val="18"/>
                <w:szCs w:val="18"/>
              </w:rPr>
              <w:t>: μM)</w:t>
            </w:r>
          </w:p>
        </w:tc>
      </w:tr>
      <w:tr w:rsidR="0056092E" w14:paraId="31429BA7"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73B7E"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SK-GT-4</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200B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Esophageal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12C30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KRAS-G12A</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FB24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2.6</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6975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17FC9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05268337"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A2B3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H358</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9874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NSCLC</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7402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KRAS-G12C</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5DD9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8271C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0.56</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482B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4CEF3BE4"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4905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ASPC-1</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1949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Pancreatic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E804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KRAS-G12D</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1B332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871EF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0.44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BA68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2265F9E4"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966E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Capan-2</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E8EC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Pancreatic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84BB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KRAS-G12V</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DD38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2.2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9657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59A1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01D2CA09"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071E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CAL62</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8D743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Thyroid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B14E8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KRAS-G12R</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D9ED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3F1E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4FE0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1A978BF0"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D6D2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MDA-MB-231</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209C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Breast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EDEB2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KRAS-G13D/ BRAF-G464V</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62815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09E35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0.29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62710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7918A9F4"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E040F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KYSE-30</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9283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Esophageal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F8695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HRAS-Q61L</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E4AF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BF5C3E"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0.96</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2A74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142561F9"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D014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PF382</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67FD5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ALL</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F54B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NRAS-G12S</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2B7D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3A38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42AA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r>
      <w:tr w:rsidR="0056092E" w14:paraId="627F41F0"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C595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ASH-3</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CF85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Thyroid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FD3E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NRAS-G61K</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F05A5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7BD1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EC9C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287B3334"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1176F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NALM-6</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CE4D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ALL</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3545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NRAS-A146T</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B821D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0.68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F8106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0.6</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9EF3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r>
      <w:tr w:rsidR="0056092E" w14:paraId="50E92C3D"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680F0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CAL-12T</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15882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NSCLC</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4859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BRAF-G466V</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5309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0.64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36091E"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0.68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088BD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8.5</w:t>
            </w:r>
          </w:p>
        </w:tc>
      </w:tr>
      <w:tr w:rsidR="0056092E" w14:paraId="3987E69B"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53136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H2087</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1C17D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NSCLC</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CB0FC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NRAS-Q61K/ BRAF-L597V</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2A525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59AC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0.038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0004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72A15F59"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6AC5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COLO205</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E4BE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Colon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222BD8"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BRAF-V600E</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8B1F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D143C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0.002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1FAD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0.15</w:t>
            </w:r>
          </w:p>
        </w:tc>
      </w:tr>
      <w:tr w:rsidR="0056092E" w14:paraId="54BA5584"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3D79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SK-MEL-28</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0271E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Melanoma</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79D28"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BRAF-V600E</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4C7E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0.048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5772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0.034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9900A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0.26</w:t>
            </w:r>
          </w:p>
        </w:tc>
      </w:tr>
      <w:tr w:rsidR="0056092E" w14:paraId="24F99196"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6F7CC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A375</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381C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Melanoma</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6060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BRAF-V600E</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1515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A75E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0.008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AA368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w:t>
            </w:r>
          </w:p>
        </w:tc>
      </w:tr>
      <w:tr w:rsidR="0056092E" w14:paraId="4F498FD8"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2ED1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8305C</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5ECE78"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Thyroid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3AB2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BRAF-V600E</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69138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E727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1A0BF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125CA221"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20232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BxPC3</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0F57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Pancreatic cancer</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5CAD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BRAF-V487-P492&gt;A deletion</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2A60B"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0.38</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8BFF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0.12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99458"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1.066</w:t>
            </w:r>
          </w:p>
        </w:tc>
      </w:tr>
      <w:tr w:rsidR="0056092E" w14:paraId="1CDD2238"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47B4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HEL</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9D12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AML</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9526F"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WT-RAS</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C259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3A2330"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4B76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357A728C"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6878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CHO</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3AF17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Chinese hamster ovary</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DE90C"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25F8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6B228"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2D574A"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r w:rsidR="0056092E" w14:paraId="0708C46C"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93555"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BEAS-2B</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CFDAD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Normal bronchial epithelium</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0C3A1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D23C1"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F15AB6"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1C969"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10</w:t>
            </w:r>
          </w:p>
        </w:tc>
      </w:tr>
      <w:tr w:rsidR="0056092E" w14:paraId="24E3317F" w14:textId="77777777">
        <w:trPr>
          <w:trHeight w:val="482"/>
        </w:trPr>
        <w:tc>
          <w:tcPr>
            <w:tcW w:w="12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41FB3"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MCF-10A</w:t>
            </w:r>
          </w:p>
        </w:tc>
        <w:tc>
          <w:tcPr>
            <w:tcW w:w="17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210644"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Normal breast epithelial cell line</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A62CD"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AD354E"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2BB37"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50A92" w14:textId="77777777" w:rsidR="0056092E" w:rsidRDefault="00000000">
            <w:pPr>
              <w:widowControl/>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&gt;10</w:t>
            </w:r>
          </w:p>
        </w:tc>
      </w:tr>
    </w:tbl>
    <w:p w14:paraId="3AEEA04B" w14:textId="77777777" w:rsidR="0056092E" w:rsidRDefault="0056092E">
      <w:pPr>
        <w:rPr>
          <w:rFonts w:ascii="Arial" w:hAnsi="Arial" w:cs="Arial"/>
          <w:sz w:val="18"/>
          <w:szCs w:val="18"/>
          <w:vertAlign w:val="superscript"/>
        </w:rPr>
      </w:pPr>
    </w:p>
    <w:p w14:paraId="6F882ED7" w14:textId="77777777" w:rsidR="0056092E" w:rsidRDefault="00000000">
      <w:pPr>
        <w:spacing w:line="360" w:lineRule="auto"/>
        <w:rPr>
          <w:rFonts w:ascii="Times New Roman" w:hAnsi="Times New Roman" w:cs="Times New Roman"/>
          <w:bCs/>
          <w:kern w:val="0"/>
          <w:sz w:val="24"/>
        </w:rPr>
      </w:pPr>
      <w:r>
        <w:rPr>
          <w:rFonts w:ascii="Times New Roman" w:hAnsi="Times New Roman" w:cs="Times New Roman" w:hint="eastAsia"/>
          <w:b/>
          <w:kern w:val="0"/>
          <w:sz w:val="24"/>
        </w:rPr>
        <w:t>T</w:t>
      </w:r>
      <w:r>
        <w:rPr>
          <w:rFonts w:ascii="Times New Roman" w:hAnsi="Times New Roman" w:cs="Times New Roman"/>
          <w:b/>
          <w:kern w:val="0"/>
          <w:sz w:val="24"/>
        </w:rPr>
        <w:t xml:space="preserve">able S5: </w:t>
      </w:r>
      <w:r>
        <w:rPr>
          <w:rFonts w:ascii="Times New Roman" w:hAnsi="Times New Roman" w:cs="Times New Roman"/>
          <w:bCs/>
          <w:kern w:val="0"/>
          <w:sz w:val="24"/>
        </w:rPr>
        <w:t>Pharmacokinetic Profile of IHMT-RAF-128 in M</w:t>
      </w:r>
      <w:r>
        <w:rPr>
          <w:rFonts w:ascii="Times New Roman" w:hAnsi="Times New Roman" w:cs="Times New Roman" w:hint="eastAsia"/>
          <w:bCs/>
          <w:kern w:val="0"/>
          <w:sz w:val="24"/>
        </w:rPr>
        <w:t>i</w:t>
      </w:r>
      <w:r>
        <w:rPr>
          <w:rFonts w:ascii="Times New Roman" w:hAnsi="Times New Roman" w:cs="Times New Roman"/>
          <w:bCs/>
          <w:kern w:val="0"/>
          <w:sz w:val="24"/>
        </w:rPr>
        <w:t>ce</w:t>
      </w:r>
      <w:r>
        <w:rPr>
          <w:rFonts w:ascii="Times New Roman" w:hAnsi="Times New Roman" w:cs="Times New Roman"/>
          <w:bCs/>
          <w:i/>
          <w:iCs/>
          <w:kern w:val="0"/>
          <w:sz w:val="24"/>
          <w:vertAlign w:val="superscript"/>
        </w:rPr>
        <w:t>a</w:t>
      </w:r>
      <w:r>
        <w:rPr>
          <w:rFonts w:ascii="Times New Roman" w:hAnsi="Times New Roman" w:cs="Times New Roman"/>
          <w:bCs/>
          <w:kern w:val="0"/>
          <w:sz w:val="24"/>
        </w:rPr>
        <w:t xml:space="preserve"> and Rats</w:t>
      </w:r>
      <w:r>
        <w:rPr>
          <w:rFonts w:ascii="Times New Roman" w:hAnsi="Times New Roman" w:cs="Times New Roman"/>
          <w:bCs/>
          <w:i/>
          <w:iCs/>
          <w:kern w:val="0"/>
          <w:sz w:val="24"/>
          <w:vertAlign w:val="superscript"/>
        </w:rPr>
        <w:t>b</w:t>
      </w:r>
      <w:r>
        <w:rPr>
          <w:rFonts w:ascii="Times New Roman" w:hAnsi="Times New Roman" w:cs="Times New Roman"/>
          <w:bCs/>
          <w:kern w:val="0"/>
          <w:sz w:val="24"/>
        </w:rPr>
        <w:t>.</w:t>
      </w:r>
    </w:p>
    <w:p w14:paraId="5679E6E4" w14:textId="77777777" w:rsidR="0056092E" w:rsidRDefault="0056092E">
      <w:pPr>
        <w:spacing w:line="360" w:lineRule="auto"/>
        <w:rPr>
          <w:rFonts w:ascii="Times New Roman" w:hAnsi="Times New Roman" w:cs="Times New Roman"/>
          <w:b/>
          <w:kern w:val="0"/>
        </w:rPr>
      </w:pPr>
    </w:p>
    <w:tbl>
      <w:tblPr>
        <w:tblStyle w:val="a7"/>
        <w:tblW w:w="0" w:type="auto"/>
        <w:tblLook w:val="04A0" w:firstRow="1" w:lastRow="0" w:firstColumn="1" w:lastColumn="0" w:noHBand="0" w:noVBand="1"/>
      </w:tblPr>
      <w:tblGrid>
        <w:gridCol w:w="2235"/>
        <w:gridCol w:w="1701"/>
        <w:gridCol w:w="1559"/>
        <w:gridCol w:w="1417"/>
        <w:gridCol w:w="1610"/>
      </w:tblGrid>
      <w:tr w:rsidR="0056092E" w14:paraId="11EE5CBE" w14:textId="77777777">
        <w:trPr>
          <w:trHeight w:val="510"/>
        </w:trPr>
        <w:tc>
          <w:tcPr>
            <w:tcW w:w="2235" w:type="dxa"/>
            <w:vMerge w:val="restart"/>
            <w:vAlign w:val="center"/>
          </w:tcPr>
          <w:p w14:paraId="1D9B8B2D" w14:textId="77777777" w:rsidR="0056092E" w:rsidRDefault="00000000">
            <w:pPr>
              <w:jc w:val="center"/>
              <w:rPr>
                <w:rFonts w:ascii="Times New Roman" w:hAnsi="Times New Roman" w:cs="Times New Roman"/>
                <w:b/>
                <w:kern w:val="0"/>
                <w:sz w:val="22"/>
                <w:szCs w:val="28"/>
              </w:rPr>
            </w:pPr>
            <w:r>
              <w:rPr>
                <w:rFonts w:ascii="Times New Roman" w:hAnsi="Times New Roman" w:cs="Times New Roman"/>
                <w:b/>
                <w:kern w:val="0"/>
                <w:sz w:val="22"/>
                <w:szCs w:val="28"/>
              </w:rPr>
              <w:lastRenderedPageBreak/>
              <w:t>IHMT-RAF-128</w:t>
            </w:r>
          </w:p>
        </w:tc>
        <w:tc>
          <w:tcPr>
            <w:tcW w:w="3260" w:type="dxa"/>
            <w:gridSpan w:val="2"/>
          </w:tcPr>
          <w:p w14:paraId="733708B9" w14:textId="77777777" w:rsidR="0056092E" w:rsidRDefault="00000000">
            <w:pPr>
              <w:widowControl/>
              <w:jc w:val="center"/>
              <w:rPr>
                <w:rFonts w:ascii="Times New Roman" w:hAnsi="Times New Roman" w:cs="Times New Roman"/>
                <w:b/>
                <w:kern w:val="0"/>
                <w:sz w:val="22"/>
                <w:szCs w:val="28"/>
              </w:rPr>
            </w:pPr>
            <w:r>
              <w:rPr>
                <w:rFonts w:ascii="Times New Roman" w:hAnsi="Times New Roman" w:cs="Times New Roman"/>
                <w:b/>
                <w:kern w:val="0"/>
                <w:sz w:val="22"/>
                <w:szCs w:val="28"/>
              </w:rPr>
              <w:t>Mice</w:t>
            </w:r>
          </w:p>
        </w:tc>
        <w:tc>
          <w:tcPr>
            <w:tcW w:w="3027" w:type="dxa"/>
            <w:gridSpan w:val="2"/>
          </w:tcPr>
          <w:p w14:paraId="21569712" w14:textId="77777777" w:rsidR="0056092E" w:rsidRDefault="00000000">
            <w:pPr>
              <w:widowControl/>
              <w:jc w:val="center"/>
              <w:rPr>
                <w:rFonts w:ascii="Times New Roman" w:hAnsi="Times New Roman" w:cs="Times New Roman"/>
                <w:b/>
                <w:kern w:val="0"/>
                <w:sz w:val="22"/>
                <w:szCs w:val="28"/>
              </w:rPr>
            </w:pPr>
            <w:r>
              <w:rPr>
                <w:rFonts w:ascii="Times New Roman" w:hAnsi="Times New Roman" w:cs="Times New Roman"/>
                <w:b/>
                <w:kern w:val="0"/>
                <w:sz w:val="22"/>
                <w:szCs w:val="28"/>
              </w:rPr>
              <w:t>Rats</w:t>
            </w:r>
          </w:p>
        </w:tc>
      </w:tr>
      <w:tr w:rsidR="0056092E" w14:paraId="10CBC5CC" w14:textId="77777777">
        <w:trPr>
          <w:trHeight w:val="510"/>
        </w:trPr>
        <w:tc>
          <w:tcPr>
            <w:tcW w:w="2235" w:type="dxa"/>
            <w:vMerge/>
          </w:tcPr>
          <w:p w14:paraId="00689847" w14:textId="77777777" w:rsidR="0056092E" w:rsidRDefault="0056092E">
            <w:pPr>
              <w:widowControl/>
              <w:jc w:val="left"/>
              <w:rPr>
                <w:rFonts w:ascii="Times New Roman" w:hAnsi="Times New Roman" w:cs="Times New Roman"/>
                <w:bCs/>
                <w:kern w:val="0"/>
                <w:sz w:val="22"/>
                <w:szCs w:val="28"/>
              </w:rPr>
            </w:pPr>
          </w:p>
        </w:tc>
        <w:tc>
          <w:tcPr>
            <w:tcW w:w="1701" w:type="dxa"/>
          </w:tcPr>
          <w:p w14:paraId="47A6988F"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i.v. (1mg/kg)</w:t>
            </w:r>
          </w:p>
        </w:tc>
        <w:tc>
          <w:tcPr>
            <w:tcW w:w="1559" w:type="dxa"/>
          </w:tcPr>
          <w:p w14:paraId="5D378BB4"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p.o. (10mg/kg)</w:t>
            </w:r>
          </w:p>
        </w:tc>
        <w:tc>
          <w:tcPr>
            <w:tcW w:w="1417" w:type="dxa"/>
          </w:tcPr>
          <w:p w14:paraId="36F753E1"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i.v. (1mg/kg)</w:t>
            </w:r>
          </w:p>
        </w:tc>
        <w:tc>
          <w:tcPr>
            <w:tcW w:w="1610" w:type="dxa"/>
          </w:tcPr>
          <w:p w14:paraId="4959B043"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p.o. (10mg/kg)</w:t>
            </w:r>
          </w:p>
        </w:tc>
      </w:tr>
      <w:tr w:rsidR="0056092E" w14:paraId="057CFF5F" w14:textId="77777777">
        <w:trPr>
          <w:trHeight w:val="510"/>
        </w:trPr>
        <w:tc>
          <w:tcPr>
            <w:tcW w:w="2235" w:type="dxa"/>
          </w:tcPr>
          <w:p w14:paraId="746FD336"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AUC</w:t>
            </w:r>
            <w:r>
              <w:rPr>
                <w:rFonts w:ascii="Times New Roman" w:hAnsi="Times New Roman" w:cs="Times New Roman"/>
                <w:bCs/>
                <w:kern w:val="0"/>
                <w:sz w:val="22"/>
                <w:szCs w:val="28"/>
                <w:vertAlign w:val="subscript"/>
              </w:rPr>
              <w:t>0-t</w:t>
            </w:r>
            <w:r>
              <w:rPr>
                <w:rFonts w:ascii="Times New Roman" w:hAnsi="Times New Roman" w:cs="Times New Roman"/>
                <w:bCs/>
                <w:kern w:val="0"/>
                <w:sz w:val="22"/>
                <w:szCs w:val="28"/>
              </w:rPr>
              <w:t xml:space="preserve"> (ng/mL·h)</w:t>
            </w:r>
          </w:p>
        </w:tc>
        <w:tc>
          <w:tcPr>
            <w:tcW w:w="1701" w:type="dxa"/>
          </w:tcPr>
          <w:p w14:paraId="0106AFFD"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741</w:t>
            </w:r>
          </w:p>
        </w:tc>
        <w:tc>
          <w:tcPr>
            <w:tcW w:w="1559" w:type="dxa"/>
          </w:tcPr>
          <w:p w14:paraId="789A29A4"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4143</w:t>
            </w:r>
          </w:p>
        </w:tc>
        <w:tc>
          <w:tcPr>
            <w:tcW w:w="1417" w:type="dxa"/>
          </w:tcPr>
          <w:p w14:paraId="4D3C6347"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742</w:t>
            </w:r>
          </w:p>
        </w:tc>
        <w:tc>
          <w:tcPr>
            <w:tcW w:w="1610" w:type="dxa"/>
          </w:tcPr>
          <w:p w14:paraId="20B972FC"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10930</w:t>
            </w:r>
          </w:p>
        </w:tc>
      </w:tr>
      <w:tr w:rsidR="0056092E" w14:paraId="13CBE064" w14:textId="77777777">
        <w:trPr>
          <w:trHeight w:val="510"/>
        </w:trPr>
        <w:tc>
          <w:tcPr>
            <w:tcW w:w="2235" w:type="dxa"/>
          </w:tcPr>
          <w:p w14:paraId="275DA07A"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AUC</w:t>
            </w:r>
            <w:r>
              <w:rPr>
                <w:rFonts w:ascii="Times New Roman" w:hAnsi="Times New Roman" w:cs="Times New Roman"/>
                <w:bCs/>
                <w:kern w:val="0"/>
                <w:sz w:val="22"/>
                <w:szCs w:val="28"/>
                <w:vertAlign w:val="subscript"/>
              </w:rPr>
              <w:t>0-∞</w:t>
            </w:r>
            <w:r>
              <w:rPr>
                <w:rFonts w:ascii="Times New Roman" w:hAnsi="Times New Roman" w:cs="Times New Roman"/>
                <w:bCs/>
                <w:kern w:val="0"/>
                <w:sz w:val="22"/>
                <w:szCs w:val="28"/>
              </w:rPr>
              <w:t xml:space="preserve"> (ng/mL·h)</w:t>
            </w:r>
          </w:p>
        </w:tc>
        <w:tc>
          <w:tcPr>
            <w:tcW w:w="1701" w:type="dxa"/>
          </w:tcPr>
          <w:p w14:paraId="4DE22E4E"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761</w:t>
            </w:r>
          </w:p>
        </w:tc>
        <w:tc>
          <w:tcPr>
            <w:tcW w:w="1559" w:type="dxa"/>
          </w:tcPr>
          <w:p w14:paraId="791732D6"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4864</w:t>
            </w:r>
          </w:p>
        </w:tc>
        <w:tc>
          <w:tcPr>
            <w:tcW w:w="1417" w:type="dxa"/>
          </w:tcPr>
          <w:p w14:paraId="0A06270B"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765</w:t>
            </w:r>
          </w:p>
        </w:tc>
        <w:tc>
          <w:tcPr>
            <w:tcW w:w="1610" w:type="dxa"/>
          </w:tcPr>
          <w:p w14:paraId="291488AB"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11021</w:t>
            </w:r>
          </w:p>
        </w:tc>
      </w:tr>
      <w:tr w:rsidR="0056092E" w14:paraId="166E4D08" w14:textId="77777777">
        <w:trPr>
          <w:trHeight w:val="510"/>
        </w:trPr>
        <w:tc>
          <w:tcPr>
            <w:tcW w:w="2235" w:type="dxa"/>
          </w:tcPr>
          <w:p w14:paraId="0F6C0EC2"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C</w:t>
            </w:r>
            <w:r>
              <w:rPr>
                <w:rFonts w:ascii="Times New Roman" w:hAnsi="Times New Roman" w:cs="Times New Roman"/>
                <w:bCs/>
                <w:kern w:val="0"/>
                <w:sz w:val="22"/>
                <w:szCs w:val="28"/>
                <w:vertAlign w:val="subscript"/>
              </w:rPr>
              <w:t>max</w:t>
            </w:r>
            <w:r>
              <w:rPr>
                <w:rFonts w:ascii="Times New Roman" w:hAnsi="Times New Roman" w:cs="Times New Roman"/>
                <w:bCs/>
                <w:kern w:val="0"/>
                <w:sz w:val="22"/>
                <w:szCs w:val="28"/>
              </w:rPr>
              <w:t xml:space="preserve"> (ng/mL·h)</w:t>
            </w:r>
          </w:p>
        </w:tc>
        <w:tc>
          <w:tcPr>
            <w:tcW w:w="1701" w:type="dxa"/>
          </w:tcPr>
          <w:p w14:paraId="3F7EE552"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1193</w:t>
            </w:r>
          </w:p>
        </w:tc>
        <w:tc>
          <w:tcPr>
            <w:tcW w:w="1559" w:type="dxa"/>
          </w:tcPr>
          <w:p w14:paraId="02304127"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931</w:t>
            </w:r>
          </w:p>
        </w:tc>
        <w:tc>
          <w:tcPr>
            <w:tcW w:w="1417" w:type="dxa"/>
          </w:tcPr>
          <w:p w14:paraId="104017CA"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914</w:t>
            </w:r>
          </w:p>
        </w:tc>
        <w:tc>
          <w:tcPr>
            <w:tcW w:w="1610" w:type="dxa"/>
          </w:tcPr>
          <w:p w14:paraId="05DD50B8"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1482</w:t>
            </w:r>
          </w:p>
        </w:tc>
      </w:tr>
      <w:tr w:rsidR="0056092E" w14:paraId="1549031B" w14:textId="77777777">
        <w:trPr>
          <w:trHeight w:val="510"/>
        </w:trPr>
        <w:tc>
          <w:tcPr>
            <w:tcW w:w="2235" w:type="dxa"/>
          </w:tcPr>
          <w:p w14:paraId="208DE980"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T</w:t>
            </w:r>
            <w:r>
              <w:rPr>
                <w:rFonts w:ascii="Times New Roman" w:hAnsi="Times New Roman" w:cs="Times New Roman"/>
                <w:bCs/>
                <w:kern w:val="0"/>
                <w:sz w:val="22"/>
                <w:szCs w:val="28"/>
                <w:vertAlign w:val="subscript"/>
              </w:rPr>
              <w:t>max</w:t>
            </w:r>
            <w:r>
              <w:rPr>
                <w:rFonts w:ascii="Times New Roman" w:hAnsi="Times New Roman" w:cs="Times New Roman"/>
                <w:bCs/>
                <w:kern w:val="0"/>
                <w:sz w:val="22"/>
                <w:szCs w:val="28"/>
              </w:rPr>
              <w:t xml:space="preserve"> (h)</w:t>
            </w:r>
          </w:p>
        </w:tc>
        <w:tc>
          <w:tcPr>
            <w:tcW w:w="1701" w:type="dxa"/>
          </w:tcPr>
          <w:p w14:paraId="7F4392D0"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0.033</w:t>
            </w:r>
          </w:p>
        </w:tc>
        <w:tc>
          <w:tcPr>
            <w:tcW w:w="1559" w:type="dxa"/>
          </w:tcPr>
          <w:p w14:paraId="5E64220F"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0.25</w:t>
            </w:r>
          </w:p>
        </w:tc>
        <w:tc>
          <w:tcPr>
            <w:tcW w:w="1417" w:type="dxa"/>
          </w:tcPr>
          <w:p w14:paraId="427B73E3"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0.033</w:t>
            </w:r>
          </w:p>
        </w:tc>
        <w:tc>
          <w:tcPr>
            <w:tcW w:w="1610" w:type="dxa"/>
          </w:tcPr>
          <w:p w14:paraId="1519AE86"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0.67</w:t>
            </w:r>
          </w:p>
        </w:tc>
      </w:tr>
      <w:tr w:rsidR="0056092E" w14:paraId="3498C438" w14:textId="77777777">
        <w:trPr>
          <w:trHeight w:val="510"/>
        </w:trPr>
        <w:tc>
          <w:tcPr>
            <w:tcW w:w="2235" w:type="dxa"/>
          </w:tcPr>
          <w:p w14:paraId="2D08CDAB"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T</w:t>
            </w:r>
            <w:r>
              <w:rPr>
                <w:rFonts w:ascii="Times New Roman" w:hAnsi="Times New Roman" w:cs="Times New Roman"/>
                <w:bCs/>
                <w:kern w:val="0"/>
                <w:sz w:val="22"/>
                <w:szCs w:val="28"/>
                <w:vertAlign w:val="subscript"/>
              </w:rPr>
              <w:t>1/2</w:t>
            </w:r>
            <w:r>
              <w:rPr>
                <w:rFonts w:ascii="Times New Roman" w:hAnsi="Times New Roman" w:cs="Times New Roman"/>
                <w:bCs/>
                <w:kern w:val="0"/>
                <w:sz w:val="22"/>
                <w:szCs w:val="28"/>
              </w:rPr>
              <w:t xml:space="preserve"> (h)</w:t>
            </w:r>
          </w:p>
        </w:tc>
        <w:tc>
          <w:tcPr>
            <w:tcW w:w="1701" w:type="dxa"/>
          </w:tcPr>
          <w:p w14:paraId="45C6EF10"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1.1</w:t>
            </w:r>
          </w:p>
        </w:tc>
        <w:tc>
          <w:tcPr>
            <w:tcW w:w="1559" w:type="dxa"/>
          </w:tcPr>
          <w:p w14:paraId="7BCE1FC3"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3.08</w:t>
            </w:r>
          </w:p>
        </w:tc>
        <w:tc>
          <w:tcPr>
            <w:tcW w:w="1417" w:type="dxa"/>
          </w:tcPr>
          <w:p w14:paraId="2DA56BB6"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3.01</w:t>
            </w:r>
          </w:p>
        </w:tc>
        <w:tc>
          <w:tcPr>
            <w:tcW w:w="1610" w:type="dxa"/>
          </w:tcPr>
          <w:p w14:paraId="3E21DFF0"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3.02</w:t>
            </w:r>
          </w:p>
        </w:tc>
      </w:tr>
      <w:tr w:rsidR="0056092E" w14:paraId="448E0C57" w14:textId="77777777">
        <w:trPr>
          <w:trHeight w:val="510"/>
        </w:trPr>
        <w:tc>
          <w:tcPr>
            <w:tcW w:w="2235" w:type="dxa"/>
          </w:tcPr>
          <w:p w14:paraId="63AC5D80"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MRT</w:t>
            </w:r>
            <w:r>
              <w:rPr>
                <w:rFonts w:ascii="Times New Roman" w:hAnsi="Times New Roman" w:cs="Times New Roman"/>
                <w:bCs/>
                <w:kern w:val="0"/>
                <w:sz w:val="22"/>
                <w:szCs w:val="28"/>
                <w:vertAlign w:val="subscript"/>
              </w:rPr>
              <w:t>0</w:t>
            </w:r>
            <w:r>
              <w:rPr>
                <w:rFonts w:ascii="Times New Roman" w:hAnsi="Times New Roman" w:cs="Times New Roman"/>
                <w:bCs/>
                <w:kern w:val="0"/>
                <w:sz w:val="22"/>
                <w:szCs w:val="28"/>
                <w:vertAlign w:val="subscript"/>
              </w:rPr>
              <w:noBreakHyphen/>
              <w:t xml:space="preserve"> ∞</w:t>
            </w:r>
            <w:r>
              <w:rPr>
                <w:rFonts w:ascii="Times New Roman" w:hAnsi="Times New Roman" w:cs="Times New Roman"/>
                <w:bCs/>
                <w:kern w:val="0"/>
                <w:sz w:val="22"/>
                <w:szCs w:val="28"/>
              </w:rPr>
              <w:t xml:space="preserve"> (h)</w:t>
            </w:r>
          </w:p>
        </w:tc>
        <w:tc>
          <w:tcPr>
            <w:tcW w:w="1701" w:type="dxa"/>
          </w:tcPr>
          <w:p w14:paraId="668BEA70"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1.28</w:t>
            </w:r>
          </w:p>
        </w:tc>
        <w:tc>
          <w:tcPr>
            <w:tcW w:w="1559" w:type="dxa"/>
          </w:tcPr>
          <w:p w14:paraId="20ADBCF5"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6.84</w:t>
            </w:r>
          </w:p>
        </w:tc>
        <w:tc>
          <w:tcPr>
            <w:tcW w:w="1417" w:type="dxa"/>
          </w:tcPr>
          <w:p w14:paraId="4436B68E"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2.33</w:t>
            </w:r>
          </w:p>
        </w:tc>
        <w:tc>
          <w:tcPr>
            <w:tcW w:w="1610" w:type="dxa"/>
          </w:tcPr>
          <w:p w14:paraId="02063E3B"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6.81</w:t>
            </w:r>
          </w:p>
        </w:tc>
      </w:tr>
      <w:tr w:rsidR="0056092E" w14:paraId="3BFA4FA4" w14:textId="77777777">
        <w:trPr>
          <w:trHeight w:val="510"/>
        </w:trPr>
        <w:tc>
          <w:tcPr>
            <w:tcW w:w="2235" w:type="dxa"/>
          </w:tcPr>
          <w:p w14:paraId="187C3436" w14:textId="77777777" w:rsidR="0056092E" w:rsidRDefault="00000000">
            <w:pPr>
              <w:widowControl/>
              <w:jc w:val="left"/>
              <w:rPr>
                <w:rFonts w:ascii="Times New Roman" w:hAnsi="Times New Roman" w:cs="Times New Roman"/>
                <w:bCs/>
                <w:kern w:val="0"/>
                <w:sz w:val="22"/>
                <w:szCs w:val="28"/>
              </w:rPr>
            </w:pPr>
            <w:r>
              <w:rPr>
                <w:rFonts w:ascii="Times New Roman" w:hAnsi="Times New Roman" w:cs="Times New Roman"/>
                <w:bCs/>
                <w:kern w:val="0"/>
                <w:sz w:val="22"/>
                <w:szCs w:val="28"/>
              </w:rPr>
              <w:t>F (%)</w:t>
            </w:r>
          </w:p>
        </w:tc>
        <w:tc>
          <w:tcPr>
            <w:tcW w:w="1701" w:type="dxa"/>
          </w:tcPr>
          <w:p w14:paraId="6FEBB47C"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w:t>
            </w:r>
          </w:p>
        </w:tc>
        <w:tc>
          <w:tcPr>
            <w:tcW w:w="1559" w:type="dxa"/>
          </w:tcPr>
          <w:p w14:paraId="4077F414"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63.90%</w:t>
            </w:r>
          </w:p>
        </w:tc>
        <w:tc>
          <w:tcPr>
            <w:tcW w:w="1417" w:type="dxa"/>
          </w:tcPr>
          <w:p w14:paraId="54DB86FF"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w:t>
            </w:r>
          </w:p>
        </w:tc>
        <w:tc>
          <w:tcPr>
            <w:tcW w:w="1610" w:type="dxa"/>
          </w:tcPr>
          <w:p w14:paraId="04D6B56A" w14:textId="77777777" w:rsidR="0056092E" w:rsidRDefault="00000000">
            <w:pPr>
              <w:widowControl/>
              <w:jc w:val="center"/>
              <w:rPr>
                <w:rFonts w:ascii="Times New Roman" w:hAnsi="Times New Roman" w:cs="Times New Roman"/>
                <w:bCs/>
                <w:kern w:val="0"/>
                <w:sz w:val="22"/>
                <w:szCs w:val="28"/>
              </w:rPr>
            </w:pPr>
            <w:r>
              <w:rPr>
                <w:rFonts w:ascii="Times New Roman" w:hAnsi="Times New Roman" w:cs="Times New Roman"/>
                <w:bCs/>
                <w:kern w:val="0"/>
                <w:sz w:val="22"/>
                <w:szCs w:val="28"/>
              </w:rPr>
              <w:t>144.10%</w:t>
            </w:r>
          </w:p>
        </w:tc>
      </w:tr>
    </w:tbl>
    <w:p w14:paraId="0CCE1FE5" w14:textId="77777777" w:rsidR="0056092E" w:rsidRDefault="0056092E">
      <w:pPr>
        <w:widowControl/>
        <w:rPr>
          <w:rFonts w:ascii="Times New Roman" w:hAnsi="Times New Roman" w:cs="Times New Roman"/>
          <w:b/>
          <w:kern w:val="0"/>
        </w:rPr>
      </w:pPr>
    </w:p>
    <w:p w14:paraId="5AAA5B72" w14:textId="77777777" w:rsidR="0056092E" w:rsidRDefault="00000000">
      <w:pPr>
        <w:rPr>
          <w:rFonts w:ascii="等线" w:eastAsia="等线" w:hAnsi="等线" w:cs="Times New Roman"/>
          <w:bCs/>
          <w:sz w:val="24"/>
        </w:rPr>
      </w:pPr>
      <w:r>
        <w:rPr>
          <w:rFonts w:ascii="Times New Roman" w:hAnsi="Times New Roman" w:cs="Times New Roman"/>
          <w:bCs/>
          <w:i/>
          <w:iCs/>
          <w:kern w:val="0"/>
          <w:sz w:val="24"/>
          <w:vertAlign w:val="superscript"/>
        </w:rPr>
        <w:t>a</w:t>
      </w:r>
      <w:r>
        <w:rPr>
          <w:rFonts w:ascii="Times New Roman" w:hAnsi="Times New Roman" w:cs="Times New Roman"/>
          <w:bCs/>
          <w:kern w:val="0"/>
          <w:sz w:val="24"/>
        </w:rPr>
        <w:t>The Pharmacokinetic in mice were obtained based on average plasma concentration-time curve in i.v. (intravenous administration) or p.o. (</w:t>
      </w:r>
      <w:r>
        <w:rPr>
          <w:rFonts w:ascii="Times New Roman" w:hAnsi="Times New Roman"/>
          <w:bCs/>
          <w:sz w:val="24"/>
        </w:rPr>
        <w:t>oral administration</w:t>
      </w:r>
      <w:r>
        <w:rPr>
          <w:rFonts w:ascii="Times New Roman" w:hAnsi="Times New Roman" w:cs="Times New Roman"/>
          <w:bCs/>
          <w:kern w:val="0"/>
          <w:sz w:val="24"/>
        </w:rPr>
        <w:t xml:space="preserve">) group of 33 mice. </w:t>
      </w:r>
      <w:r>
        <w:rPr>
          <w:rFonts w:ascii="Times New Roman" w:hAnsi="Times New Roman" w:cs="Times New Roman"/>
          <w:bCs/>
          <w:i/>
          <w:iCs/>
          <w:kern w:val="0"/>
          <w:sz w:val="24"/>
          <w:vertAlign w:val="superscript"/>
        </w:rPr>
        <w:t>b</w:t>
      </w:r>
      <w:r>
        <w:rPr>
          <w:rFonts w:ascii="Times New Roman" w:hAnsi="Times New Roman" w:cs="Times New Roman"/>
          <w:bCs/>
          <w:kern w:val="0"/>
          <w:sz w:val="24"/>
        </w:rPr>
        <w:t xml:space="preserve"> Three rats in each i.v. or p.o. group.</w:t>
      </w:r>
      <w:r>
        <w:rPr>
          <w:rFonts w:ascii="Times New Roman" w:hAnsi="Times New Roman" w:cs="Times New Roman"/>
          <w:bCs/>
          <w:kern w:val="0"/>
          <w:sz w:val="24"/>
        </w:rPr>
        <w:br w:type="page"/>
      </w:r>
    </w:p>
    <w:p w14:paraId="54831AA6" w14:textId="77777777" w:rsidR="0056092E" w:rsidRDefault="00000000">
      <w:pPr>
        <w:widowControl/>
        <w:rPr>
          <w:rFonts w:ascii="Times New Roman" w:hAnsi="Times New Roman" w:cs="Times New Roman"/>
          <w:b/>
          <w:kern w:val="0"/>
        </w:rPr>
      </w:pPr>
      <w:r>
        <w:rPr>
          <w:rFonts w:ascii="Times New Roman" w:hAnsi="Times New Roman" w:cs="Times New Roman" w:hint="eastAsia"/>
          <w:b/>
          <w:noProof/>
          <w:kern w:val="0"/>
        </w:rPr>
        <w:lastRenderedPageBreak/>
        <w:drawing>
          <wp:inline distT="0" distB="0" distL="114300" distR="114300" wp14:anchorId="50ECB7B8" wp14:editId="2450E19E">
            <wp:extent cx="4959350" cy="5023485"/>
            <wp:effectExtent l="0" t="0" r="12700" b="571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4"/>
                    <a:srcRect l="4633" t="6371" r="35401" b="35526"/>
                    <a:stretch>
                      <a:fillRect/>
                    </a:stretch>
                  </pic:blipFill>
                  <pic:spPr>
                    <a:xfrm>
                      <a:off x="0" y="0"/>
                      <a:ext cx="4959350" cy="5023485"/>
                    </a:xfrm>
                    <a:prstGeom prst="rect">
                      <a:avLst/>
                    </a:prstGeom>
                  </pic:spPr>
                </pic:pic>
              </a:graphicData>
            </a:graphic>
          </wp:inline>
        </w:drawing>
      </w:r>
    </w:p>
    <w:p w14:paraId="44A24445" w14:textId="77777777" w:rsidR="0056092E" w:rsidRDefault="00000000">
      <w:pPr>
        <w:spacing w:line="360" w:lineRule="auto"/>
        <w:rPr>
          <w:rFonts w:ascii="Times New Roman" w:hAnsi="Times New Roman" w:cs="Times New Roman"/>
          <w:sz w:val="24"/>
        </w:rPr>
      </w:pPr>
      <w:r>
        <w:rPr>
          <w:rFonts w:ascii="Times New Roman" w:hAnsi="Times New Roman" w:cs="Times New Roman" w:hint="eastAsia"/>
          <w:b/>
          <w:kern w:val="0"/>
          <w:sz w:val="24"/>
        </w:rPr>
        <w:t>Figure</w:t>
      </w:r>
      <w:r>
        <w:rPr>
          <w:rFonts w:ascii="Times New Roman" w:hAnsi="Times New Roman" w:cs="Times New Roman"/>
          <w:b/>
          <w:kern w:val="0"/>
          <w:sz w:val="24"/>
        </w:rPr>
        <w:t xml:space="preserve"> </w:t>
      </w:r>
      <w:r>
        <w:rPr>
          <w:rFonts w:ascii="Times New Roman" w:hAnsi="Times New Roman" w:cs="Times New Roman" w:hint="eastAsia"/>
          <w:b/>
          <w:kern w:val="0"/>
          <w:sz w:val="24"/>
        </w:rPr>
        <w:t xml:space="preserve">S1 </w:t>
      </w:r>
      <w:r>
        <w:rPr>
          <w:rFonts w:ascii="Times New Roman" w:hAnsi="Times New Roman" w:cs="Times New Roman"/>
          <w:sz w:val="24"/>
        </w:rPr>
        <w:t xml:space="preserve">Immunohistochemistry staining of the tumor tissues with </w:t>
      </w:r>
      <w:r>
        <w:rPr>
          <w:rFonts w:ascii="Times New Roman" w:hAnsi="Times New Roman" w:cs="Times New Roman" w:hint="eastAsia"/>
          <w:sz w:val="24"/>
        </w:rPr>
        <w:t>IHMT-RAF-128</w:t>
      </w:r>
      <w:r>
        <w:rPr>
          <w:rFonts w:ascii="Times New Roman" w:hAnsi="Times New Roman" w:cs="Times New Roman"/>
          <w:sz w:val="24"/>
        </w:rPr>
        <w:t xml:space="preserve"> treatment</w:t>
      </w:r>
      <w:r>
        <w:rPr>
          <w:rFonts w:ascii="Times New Roman" w:hAnsi="Times New Roman" w:cs="Times New Roman" w:hint="eastAsia"/>
          <w:sz w:val="24"/>
        </w:rPr>
        <w:t xml:space="preserve"> (</w:t>
      </w:r>
      <w:r>
        <w:rPr>
          <w:rFonts w:ascii="Times New Roman" w:hAnsi="Times New Roman" w:cs="Times New Roman"/>
          <w:sz w:val="24"/>
        </w:rPr>
        <w:t>Blue arrowheads, positive signals</w:t>
      </w:r>
      <w:r>
        <w:rPr>
          <w:rFonts w:ascii="Times New Roman" w:hAnsi="Times New Roman" w:cs="Times New Roman" w:hint="eastAsia"/>
          <w:sz w:val="24"/>
        </w:rPr>
        <w:t>) (A)</w:t>
      </w:r>
      <w:r>
        <w:rPr>
          <w:rFonts w:ascii="Times New Roman" w:hAnsi="Times New Roman" w:cs="Times New Roman"/>
          <w:sz w:val="24"/>
        </w:rPr>
        <w:t xml:space="preserve">. </w:t>
      </w:r>
      <w:r>
        <w:rPr>
          <w:rFonts w:ascii="Times New Roman" w:hAnsi="Times New Roman" w:cs="Times New Roman" w:hint="eastAsia"/>
          <w:sz w:val="24"/>
        </w:rPr>
        <w:t>The percentage of Ki67 and TUNEL positive cells was also calculated and shown as figure B.</w:t>
      </w:r>
    </w:p>
    <w:p w14:paraId="2021EF79" w14:textId="77777777" w:rsidR="0056092E" w:rsidRDefault="0056092E">
      <w:pPr>
        <w:rPr>
          <w:rFonts w:ascii="Times New Roman" w:eastAsia="宋体" w:hAnsi="Times New Roman" w:cs="Times New Roman"/>
          <w:sz w:val="22"/>
        </w:rPr>
      </w:pPr>
    </w:p>
    <w:sectPr w:rsidR="005609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EFF" w:usb1="C0007843" w:usb2="00000009" w:usb3="00000000" w:csb0="400001FF" w:csb1="FFFF0000"/>
  </w:font>
  <w:font w:name="Times">
    <w:altName w:val="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IxZTJlNGFiMWY4YzYzZGQzNDg1NWMyMGE0ZDk3ZmEifQ=="/>
  </w:docVars>
  <w:rsids>
    <w:rsidRoot w:val="00C32C59"/>
    <w:rsid w:val="00035286"/>
    <w:rsid w:val="00062A76"/>
    <w:rsid w:val="00097A60"/>
    <w:rsid w:val="000A164C"/>
    <w:rsid w:val="000D0DDF"/>
    <w:rsid w:val="00124645"/>
    <w:rsid w:val="00132A20"/>
    <w:rsid w:val="00142D19"/>
    <w:rsid w:val="0017677F"/>
    <w:rsid w:val="001B51AC"/>
    <w:rsid w:val="001D2A40"/>
    <w:rsid w:val="00204BE2"/>
    <w:rsid w:val="00234F7D"/>
    <w:rsid w:val="00253B43"/>
    <w:rsid w:val="00272BB8"/>
    <w:rsid w:val="00284248"/>
    <w:rsid w:val="00286421"/>
    <w:rsid w:val="002866F2"/>
    <w:rsid w:val="00293A55"/>
    <w:rsid w:val="002E278C"/>
    <w:rsid w:val="00313CD6"/>
    <w:rsid w:val="00315E6B"/>
    <w:rsid w:val="00384010"/>
    <w:rsid w:val="003B3CA4"/>
    <w:rsid w:val="00423DE9"/>
    <w:rsid w:val="004257F8"/>
    <w:rsid w:val="0048406F"/>
    <w:rsid w:val="004A1305"/>
    <w:rsid w:val="004C230E"/>
    <w:rsid w:val="0056092E"/>
    <w:rsid w:val="00565674"/>
    <w:rsid w:val="005709B5"/>
    <w:rsid w:val="005725FF"/>
    <w:rsid w:val="00576C93"/>
    <w:rsid w:val="00592812"/>
    <w:rsid w:val="005A6A01"/>
    <w:rsid w:val="005B06C6"/>
    <w:rsid w:val="005B4527"/>
    <w:rsid w:val="005C0A76"/>
    <w:rsid w:val="005E0D02"/>
    <w:rsid w:val="00610234"/>
    <w:rsid w:val="006415F7"/>
    <w:rsid w:val="00677704"/>
    <w:rsid w:val="006A1D0B"/>
    <w:rsid w:val="006C63E7"/>
    <w:rsid w:val="006E1238"/>
    <w:rsid w:val="006F431A"/>
    <w:rsid w:val="0070580B"/>
    <w:rsid w:val="00712551"/>
    <w:rsid w:val="00730D57"/>
    <w:rsid w:val="00737744"/>
    <w:rsid w:val="007A6BC7"/>
    <w:rsid w:val="007D123D"/>
    <w:rsid w:val="007E0EFA"/>
    <w:rsid w:val="00800FDF"/>
    <w:rsid w:val="00844947"/>
    <w:rsid w:val="00861137"/>
    <w:rsid w:val="008C5F0F"/>
    <w:rsid w:val="00911EBA"/>
    <w:rsid w:val="009546F3"/>
    <w:rsid w:val="00A14AC1"/>
    <w:rsid w:val="00A315C0"/>
    <w:rsid w:val="00A809AB"/>
    <w:rsid w:val="00A84474"/>
    <w:rsid w:val="00AA73A6"/>
    <w:rsid w:val="00AB1A55"/>
    <w:rsid w:val="00AB2D69"/>
    <w:rsid w:val="00AB6B40"/>
    <w:rsid w:val="00AC5E78"/>
    <w:rsid w:val="00AD2164"/>
    <w:rsid w:val="00AD222A"/>
    <w:rsid w:val="00B06513"/>
    <w:rsid w:val="00B8572F"/>
    <w:rsid w:val="00BE2387"/>
    <w:rsid w:val="00C32C59"/>
    <w:rsid w:val="00C76D5E"/>
    <w:rsid w:val="00CF1FA9"/>
    <w:rsid w:val="00D076D9"/>
    <w:rsid w:val="00D1699D"/>
    <w:rsid w:val="00D471FC"/>
    <w:rsid w:val="00DC2C8B"/>
    <w:rsid w:val="00DC528A"/>
    <w:rsid w:val="00E47BCB"/>
    <w:rsid w:val="00E874BD"/>
    <w:rsid w:val="00F030B2"/>
    <w:rsid w:val="00F61ED8"/>
    <w:rsid w:val="00F7397F"/>
    <w:rsid w:val="00FC6DDA"/>
    <w:rsid w:val="00FD06E9"/>
    <w:rsid w:val="00FE41E3"/>
    <w:rsid w:val="0242121F"/>
    <w:rsid w:val="02477A60"/>
    <w:rsid w:val="041871BE"/>
    <w:rsid w:val="044A30F0"/>
    <w:rsid w:val="06393FA1"/>
    <w:rsid w:val="0796725F"/>
    <w:rsid w:val="0AF740F5"/>
    <w:rsid w:val="0BB820A6"/>
    <w:rsid w:val="0D7528A6"/>
    <w:rsid w:val="0FF557E7"/>
    <w:rsid w:val="13CF3A4E"/>
    <w:rsid w:val="17084E70"/>
    <w:rsid w:val="19C03362"/>
    <w:rsid w:val="1C6040AF"/>
    <w:rsid w:val="1D743260"/>
    <w:rsid w:val="1FE66BAA"/>
    <w:rsid w:val="20F97294"/>
    <w:rsid w:val="23AF2798"/>
    <w:rsid w:val="23B837FA"/>
    <w:rsid w:val="280F5EBA"/>
    <w:rsid w:val="2CA927FA"/>
    <w:rsid w:val="2CCB0DD2"/>
    <w:rsid w:val="2D105445"/>
    <w:rsid w:val="2F834DE9"/>
    <w:rsid w:val="2FD72CD1"/>
    <w:rsid w:val="310962B6"/>
    <w:rsid w:val="312559AD"/>
    <w:rsid w:val="323446D8"/>
    <w:rsid w:val="33022C64"/>
    <w:rsid w:val="3A5D15D2"/>
    <w:rsid w:val="3C5E04E8"/>
    <w:rsid w:val="3CD125CE"/>
    <w:rsid w:val="3CE34F44"/>
    <w:rsid w:val="41961147"/>
    <w:rsid w:val="4426724D"/>
    <w:rsid w:val="499E68FE"/>
    <w:rsid w:val="49B41218"/>
    <w:rsid w:val="50DC291C"/>
    <w:rsid w:val="529A2398"/>
    <w:rsid w:val="53547CA2"/>
    <w:rsid w:val="546D671E"/>
    <w:rsid w:val="57E77332"/>
    <w:rsid w:val="58720931"/>
    <w:rsid w:val="58977827"/>
    <w:rsid w:val="597602AE"/>
    <w:rsid w:val="59BD32BD"/>
    <w:rsid w:val="5DDB1F64"/>
    <w:rsid w:val="5FD76833"/>
    <w:rsid w:val="62917037"/>
    <w:rsid w:val="631A1066"/>
    <w:rsid w:val="64540796"/>
    <w:rsid w:val="6AA47B81"/>
    <w:rsid w:val="6B071153"/>
    <w:rsid w:val="6B630387"/>
    <w:rsid w:val="6CA70B01"/>
    <w:rsid w:val="6E8977BA"/>
    <w:rsid w:val="717402AD"/>
    <w:rsid w:val="759D1EFF"/>
    <w:rsid w:val="78BC4594"/>
    <w:rsid w:val="78EB51F6"/>
    <w:rsid w:val="7B944695"/>
    <w:rsid w:val="7E2F1EDD"/>
    <w:rsid w:val="7E610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B02721"/>
  <w15:docId w15:val="{49CFFAFB-0E66-4E49-AF0E-486C3018E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footnote reference" w:semiHidden="1" w:uiPriority="99"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uiPriority w:val="99"/>
    <w:qFormat/>
    <w:rPr>
      <w:rFonts w:ascii="Courier New" w:hAnsi="Courier New" w:cs="Courier New"/>
      <w:sz w:val="20"/>
      <w:szCs w:val="20"/>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qFormat/>
    <w:rPr>
      <w:color w:val="0000FF"/>
      <w:u w:val="single"/>
    </w:rPr>
  </w:style>
  <w:style w:type="character" w:styleId="a9">
    <w:name w:val="footnote reference"/>
    <w:uiPriority w:val="99"/>
    <w:semiHidden/>
    <w:qFormat/>
    <w:rPr>
      <w:rFonts w:ascii="Times New Roman" w:hAnsi="Times New Roman" w:cs="Times New Roman"/>
      <w:vertAlign w:val="superscript"/>
    </w:rPr>
  </w:style>
  <w:style w:type="paragraph" w:customStyle="1" w:styleId="FACorrespondingAuthorFootnote">
    <w:name w:val="FA_Corresponding_Author_Footnote"/>
    <w:basedOn w:val="a"/>
    <w:next w:val="a"/>
    <w:qFormat/>
    <w:pPr>
      <w:widowControl/>
      <w:spacing w:after="200" w:line="480" w:lineRule="auto"/>
    </w:pPr>
    <w:rPr>
      <w:rFonts w:ascii="Times" w:hAnsi="Times" w:cs="Times New Roman"/>
      <w:kern w:val="0"/>
      <w:sz w:val="24"/>
      <w:szCs w:val="20"/>
      <w:lang w:eastAsia="en-US"/>
    </w:rPr>
  </w:style>
  <w:style w:type="character" w:customStyle="1" w:styleId="font11">
    <w:name w:val="font11"/>
    <w:basedOn w:val="a0"/>
    <w:qFormat/>
    <w:rPr>
      <w:rFonts w:ascii="宋体" w:eastAsia="宋体" w:hAnsi="宋体" w:cs="宋体" w:hint="eastAsia"/>
      <w:b/>
      <w:color w:val="000000"/>
      <w:sz w:val="18"/>
      <w:szCs w:val="18"/>
      <w:u w:val="none"/>
    </w:rPr>
  </w:style>
  <w:style w:type="character" w:customStyle="1" w:styleId="font21">
    <w:name w:val="font21"/>
    <w:basedOn w:val="a0"/>
    <w:qFormat/>
    <w:rPr>
      <w:rFonts w:ascii="Times New Roman" w:hAnsi="Times New Roman" w:cs="Times New Roman" w:hint="default"/>
      <w:b/>
      <w:color w:val="000000"/>
      <w:sz w:val="18"/>
      <w:szCs w:val="18"/>
      <w:u w:val="none"/>
    </w:rPr>
  </w:style>
  <w:style w:type="character" w:customStyle="1" w:styleId="a5">
    <w:name w:val="页眉 字符"/>
    <w:basedOn w:val="a0"/>
    <w:link w:val="a4"/>
    <w:qFormat/>
    <w:rPr>
      <w:rFonts w:asciiTheme="minorHAnsi" w:eastAsiaTheme="minorEastAsia" w:hAnsiTheme="minorHAnsi" w:cstheme="minorBidi"/>
      <w:kern w:val="2"/>
      <w:sz w:val="18"/>
      <w:szCs w:val="24"/>
    </w:rPr>
  </w:style>
  <w:style w:type="paragraph" w:styleId="aa">
    <w:name w:val="List Paragraph"/>
    <w:basedOn w:val="a"/>
    <w:uiPriority w:val="99"/>
    <w:qFormat/>
    <w:pPr>
      <w:ind w:firstLineChars="200" w:firstLine="420"/>
    </w:pPr>
  </w:style>
  <w:style w:type="character" w:customStyle="1" w:styleId="1">
    <w:name w:val="书籍标题1"/>
    <w:basedOn w:val="a0"/>
    <w:uiPriority w:val="33"/>
    <w:qFormat/>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2027</TotalTime>
  <Pages>7</Pages>
  <Words>726</Words>
  <Characters>4140</Characters>
  <Application>Microsoft Office Word</Application>
  <DocSecurity>0</DocSecurity>
  <Lines>34</Lines>
  <Paragraphs>9</Paragraphs>
  <ScaleCrop>false</ScaleCrop>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dc:creator>
  <cp:lastModifiedBy>000</cp:lastModifiedBy>
  <cp:revision>121</cp:revision>
  <dcterms:created xsi:type="dcterms:W3CDTF">2020-07-13T08:09:00Z</dcterms:created>
  <dcterms:modified xsi:type="dcterms:W3CDTF">2022-12-14T07:41:00Z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927015C2DED3450F88E72A9272FD95BD</vt:lpwstr>
  </property>
</Properties>
</file>