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F4D96" w14:textId="639AFBF0" w:rsidR="00A964B2" w:rsidRDefault="00C46DAE">
      <w:r w:rsidRPr="008516B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3F37A86" wp14:editId="0EB05B32">
            <wp:extent cx="3024000" cy="184294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842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DCA86" w14:textId="77777777" w:rsidR="00C46DAE" w:rsidRPr="008516B6" w:rsidRDefault="00C46DAE" w:rsidP="00C46DAE">
      <w:pPr>
        <w:jc w:val="left"/>
        <w:rPr>
          <w:rFonts w:ascii="Times New Roman" w:hAnsi="Times New Roman" w:cs="Times New Roman"/>
          <w:sz w:val="20"/>
          <w:szCs w:val="20"/>
        </w:rPr>
      </w:pPr>
      <w:r w:rsidRPr="008516B6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Pr="008516B6">
        <w:rPr>
          <w:rFonts w:ascii="Times New Roman" w:hAnsi="Times New Roman" w:cs="Times New Roman"/>
          <w:sz w:val="20"/>
          <w:szCs w:val="20"/>
        </w:rPr>
        <w:t xml:space="preserve"> The comparison of species distribution map reflects the near source species of sequenced sample species. Each fan represents a species. The larger the fan area, the greater the number of sequences aligned to the species</w:t>
      </w:r>
    </w:p>
    <w:p w14:paraId="4BC02018" w14:textId="77777777" w:rsidR="00C46DAE" w:rsidRPr="00C46DAE" w:rsidRDefault="00C46DAE">
      <w:pPr>
        <w:rPr>
          <w:rFonts w:hint="eastAsia"/>
        </w:rPr>
      </w:pPr>
    </w:p>
    <w:sectPr w:rsidR="00C46DAE" w:rsidRPr="00C46D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2NDAzNDK0MDO2NLJQ0lEKTi0uzszPAykwrAUA9JFtWCwAAAA="/>
  </w:docVars>
  <w:rsids>
    <w:rsidRoot w:val="00C46DAE"/>
    <w:rsid w:val="00A964B2"/>
    <w:rsid w:val="00C4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85F17"/>
  <w15:chartTrackingRefBased/>
  <w15:docId w15:val="{C6CB0246-EE5D-465A-97CC-8A8EAA111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8613852874229</dc:creator>
  <cp:keywords/>
  <dc:description/>
  <cp:lastModifiedBy>8613852874229</cp:lastModifiedBy>
  <cp:revision>1</cp:revision>
  <dcterms:created xsi:type="dcterms:W3CDTF">2022-12-12T09:23:00Z</dcterms:created>
  <dcterms:modified xsi:type="dcterms:W3CDTF">2022-12-12T09:25:00Z</dcterms:modified>
</cp:coreProperties>
</file>