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1309D" w14:textId="77777777" w:rsidR="00EE5FE1" w:rsidRDefault="00000000">
      <w:pPr>
        <w:pStyle w:val="Heading1"/>
        <w:rPr>
          <w:sz w:val="32"/>
          <w:szCs w:val="32"/>
        </w:rPr>
      </w:pPr>
      <w:bookmarkStart w:id="0" w:name="_1uyu45xnpnfc" w:colFirst="0" w:colLast="0"/>
      <w:bookmarkEnd w:id="0"/>
      <w:r>
        <w:rPr>
          <w:b/>
          <w:sz w:val="32"/>
          <w:szCs w:val="32"/>
        </w:rPr>
        <w:t>Supplemental Figures</w:t>
      </w:r>
      <w:r>
        <w:rPr>
          <w:sz w:val="32"/>
          <w:szCs w:val="32"/>
        </w:rPr>
        <w:t xml:space="preserve"> for “Towards a platform quantitative systems pharmacology (QSP) model for preclinical to clinical translation of antibody-drug conjugated (ADCs)”</w:t>
      </w:r>
    </w:p>
    <w:p w14:paraId="79D2CC9A" w14:textId="77777777" w:rsidR="00EE5FE1" w:rsidRDefault="00000000">
      <w:pPr>
        <w:jc w:val="both"/>
      </w:pPr>
      <w:r>
        <w:t>Journal of Pharmacokinetics/Pharmacodynamics</w:t>
      </w:r>
    </w:p>
    <w:p w14:paraId="27001A6C" w14:textId="77777777" w:rsidR="00EE5FE1" w:rsidRDefault="00EE5FE1">
      <w:pPr>
        <w:jc w:val="both"/>
      </w:pPr>
    </w:p>
    <w:p w14:paraId="4A02590E" w14:textId="77777777" w:rsidR="00EE5FE1" w:rsidRDefault="00000000">
      <w:pPr>
        <w:jc w:val="both"/>
      </w:pPr>
      <w:r>
        <w:t xml:space="preserve">Bruna Scheuher, Khem Raj </w:t>
      </w:r>
      <w:proofErr w:type="spellStart"/>
      <w:r>
        <w:t>Ghusinga</w:t>
      </w:r>
      <w:proofErr w:type="spellEnd"/>
      <w:r>
        <w:t xml:space="preserve">, Kimiko McGirr, </w:t>
      </w:r>
      <w:proofErr w:type="spellStart"/>
      <w:r>
        <w:t>Maksymilian</w:t>
      </w:r>
      <w:proofErr w:type="spellEnd"/>
      <w:r>
        <w:t xml:space="preserve"> Nowak, Sheetal Panday, Joshua Apgar, </w:t>
      </w:r>
      <w:proofErr w:type="spellStart"/>
      <w:r>
        <w:t>Kalyanasundaram</w:t>
      </w:r>
      <w:proofErr w:type="spellEnd"/>
      <w:r>
        <w:t xml:space="preserve"> </w:t>
      </w:r>
      <w:proofErr w:type="gramStart"/>
      <w:r>
        <w:t>Subramanian</w:t>
      </w:r>
      <w:proofErr w:type="gramEnd"/>
      <w:r>
        <w:t xml:space="preserve"> and Alison Betts</w:t>
      </w:r>
    </w:p>
    <w:p w14:paraId="571F5449" w14:textId="77777777" w:rsidR="00EE5FE1" w:rsidRDefault="00EE5FE1">
      <w:pPr>
        <w:jc w:val="both"/>
      </w:pPr>
    </w:p>
    <w:p w14:paraId="67F16B6E" w14:textId="77777777" w:rsidR="00EE5FE1" w:rsidRDefault="00000000">
      <w:pPr>
        <w:rPr>
          <w:b/>
        </w:rPr>
      </w:pPr>
      <w:r>
        <w:t>Corresponding author: Alison Betts, Applied BioMath, 561 Virginia Road, Concord MA 01742</w:t>
      </w:r>
      <w:r>
        <w:br/>
        <w:t xml:space="preserve">Email: </w:t>
      </w:r>
      <w:hyperlink r:id="rId4">
        <w:r>
          <w:rPr>
            <w:color w:val="1155CC"/>
            <w:u w:val="single"/>
          </w:rPr>
          <w:t>alison.betts@appliedbiomath.com</w:t>
        </w:r>
      </w:hyperlink>
    </w:p>
    <w:p w14:paraId="33B33EEB" w14:textId="77777777" w:rsidR="00EE5FE1" w:rsidRDefault="00EE5FE1">
      <w:pPr>
        <w:rPr>
          <w:b/>
        </w:rPr>
      </w:pPr>
    </w:p>
    <w:p w14:paraId="7E817CAF" w14:textId="77777777" w:rsidR="00EE5FE1" w:rsidRDefault="00EE5FE1">
      <w:pPr>
        <w:jc w:val="center"/>
        <w:rPr>
          <w:b/>
        </w:rPr>
      </w:pPr>
    </w:p>
    <w:p w14:paraId="48993212" w14:textId="77777777" w:rsidR="00EE5FE1" w:rsidRDefault="00EE5FE1">
      <w:pPr>
        <w:jc w:val="center"/>
        <w:rPr>
          <w:b/>
        </w:rPr>
      </w:pPr>
    </w:p>
    <w:p w14:paraId="3822B6FA" w14:textId="77777777" w:rsidR="00EE5FE1" w:rsidRDefault="00000000">
      <w:pPr>
        <w:rPr>
          <w:b/>
        </w:rPr>
      </w:pPr>
      <w:r>
        <w:rPr>
          <w:b/>
        </w:rPr>
        <w:t xml:space="preserve">Figure S1A:  Schematic representation of the </w:t>
      </w:r>
      <w:r>
        <w:rPr>
          <w:b/>
          <w:i/>
        </w:rPr>
        <w:t>in vitro</w:t>
      </w:r>
      <w:r>
        <w:rPr>
          <w:b/>
        </w:rPr>
        <w:t xml:space="preserve"> model</w:t>
      </w:r>
    </w:p>
    <w:p w14:paraId="26D277E1" w14:textId="77777777" w:rsidR="00EE5FE1" w:rsidRDefault="00EE5FE1">
      <w:pPr>
        <w:rPr>
          <w:b/>
        </w:rPr>
      </w:pPr>
    </w:p>
    <w:p w14:paraId="734DAB28" w14:textId="77777777" w:rsidR="00EE5FE1" w:rsidRDefault="00000000">
      <w:pP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40BAB45A" wp14:editId="55A5C386">
            <wp:extent cx="4167188" cy="3425909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7188" cy="34259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AC151F" w14:textId="77777777" w:rsidR="00EE5FE1" w:rsidRDefault="00000000">
      <w:pPr>
        <w:rPr>
          <w:b/>
        </w:rPr>
      </w:pPr>
      <w:r>
        <w:br w:type="page"/>
      </w:r>
    </w:p>
    <w:p w14:paraId="35B2F5D8" w14:textId="77777777" w:rsidR="00EE5FE1" w:rsidRDefault="00000000">
      <w:r>
        <w:rPr>
          <w:b/>
        </w:rPr>
        <w:lastRenderedPageBreak/>
        <w:t>Figure S1B: Observed (</w:t>
      </w:r>
      <w:r>
        <w:rPr>
          <w:b/>
          <w:i/>
        </w:rPr>
        <w:t>symbols</w:t>
      </w:r>
      <w:r>
        <w:rPr>
          <w:b/>
        </w:rPr>
        <w:t>) and in vitro model calibrated or predicted (</w:t>
      </w:r>
      <w:r>
        <w:rPr>
          <w:b/>
          <w:i/>
        </w:rPr>
        <w:t>lines</w:t>
      </w:r>
      <w:r>
        <w:rPr>
          <w:b/>
        </w:rPr>
        <w:t xml:space="preserve">) trastuzumab internalization data. (A) </w:t>
      </w:r>
      <w:r>
        <w:t xml:space="preserve">Model calibration: </w:t>
      </w:r>
      <w:r>
        <w:rPr>
          <w:vertAlign w:val="superscript"/>
        </w:rPr>
        <w:t>125</w:t>
      </w:r>
      <w:r>
        <w:t xml:space="preserve">I- trastuzumab was incubated (gray shaded area) with SK-BR-3 breast cancer cells and cell surface, dissociated, </w:t>
      </w:r>
      <w:proofErr w:type="gramStart"/>
      <w:r>
        <w:t>internalized</w:t>
      </w:r>
      <w:proofErr w:type="gramEnd"/>
      <w:r>
        <w:t xml:space="preserve"> and catabolized radioactivity was measured </w:t>
      </w:r>
      <w:r>
        <w:rPr>
          <w:b/>
        </w:rPr>
        <w:t xml:space="preserve">(B) </w:t>
      </w:r>
      <w:r>
        <w:t xml:space="preserve">Model validation: Trastuzumab was incubated with BT-474 cancer cells and internalized trastuzumab was measured </w:t>
      </w:r>
    </w:p>
    <w:p w14:paraId="2D8E200F" w14:textId="77777777" w:rsidR="00EE5FE1" w:rsidRDefault="00EE5FE1"/>
    <w:p w14:paraId="4070A8F4" w14:textId="77777777" w:rsidR="00EE5FE1" w:rsidRDefault="00000000">
      <w:pPr>
        <w:rPr>
          <w:b/>
        </w:rPr>
      </w:pPr>
      <w:r>
        <w:rPr>
          <w:b/>
        </w:rPr>
        <w:t>(A)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(B)</w:t>
      </w:r>
    </w:p>
    <w:p w14:paraId="3D0E79C0" w14:textId="77777777" w:rsidR="00EE5FE1" w:rsidRDefault="00EE5FE1">
      <w:pPr>
        <w:rPr>
          <w:sz w:val="24"/>
          <w:szCs w:val="24"/>
        </w:rPr>
      </w:pPr>
    </w:p>
    <w:p w14:paraId="6F617DCF" w14:textId="77777777" w:rsidR="00EE5FE1" w:rsidRDefault="00000000">
      <w:r>
        <w:rPr>
          <w:noProof/>
        </w:rPr>
        <w:drawing>
          <wp:inline distT="114300" distB="114300" distL="114300" distR="114300" wp14:anchorId="534ADBEC" wp14:editId="79E3CA51">
            <wp:extent cx="2907890" cy="2166938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7890" cy="2166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32D5809C" wp14:editId="43B3ABD3">
            <wp:extent cx="2871788" cy="2141096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1788" cy="2141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245DD9" w14:textId="77777777" w:rsidR="00EE5FE1" w:rsidRDefault="00EE5FE1">
      <w:pPr>
        <w:jc w:val="center"/>
      </w:pPr>
    </w:p>
    <w:p w14:paraId="3030F3D2" w14:textId="77777777" w:rsidR="00EE5FE1" w:rsidRDefault="00000000">
      <w:pPr>
        <w:rPr>
          <w:b/>
        </w:rPr>
      </w:pPr>
      <w:r>
        <w:rPr>
          <w:b/>
        </w:rPr>
        <w:t>Figure S2: Schematic representation of the mouse model</w:t>
      </w:r>
    </w:p>
    <w:p w14:paraId="61069CA6" w14:textId="77777777" w:rsidR="00EE5FE1" w:rsidRDefault="00EE5FE1">
      <w:pPr>
        <w:rPr>
          <w:b/>
        </w:rPr>
      </w:pPr>
    </w:p>
    <w:p w14:paraId="55B47295" w14:textId="77777777" w:rsidR="00EE5FE1" w:rsidRDefault="00EE5FE1">
      <w:pPr>
        <w:rPr>
          <w:b/>
        </w:rPr>
      </w:pPr>
    </w:p>
    <w:p w14:paraId="069C95A6" w14:textId="77777777" w:rsidR="00EE5FE1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5ED39E9C" wp14:editId="7778A228">
            <wp:extent cx="5943600" cy="349250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25BAC6" w14:textId="77777777" w:rsidR="00EE5FE1" w:rsidRDefault="00000000">
      <w:pPr>
        <w:rPr>
          <w:b/>
        </w:rPr>
      </w:pPr>
      <w:r>
        <w:br w:type="page"/>
      </w:r>
    </w:p>
    <w:p w14:paraId="027B23FC" w14:textId="77777777" w:rsidR="00EE5FE1" w:rsidRDefault="00000000">
      <w:pPr>
        <w:rPr>
          <w:b/>
        </w:rPr>
      </w:pPr>
      <w:r>
        <w:rPr>
          <w:b/>
        </w:rPr>
        <w:lastRenderedPageBreak/>
        <w:t>Figure S3: Observed (</w:t>
      </w:r>
      <w:r>
        <w:rPr>
          <w:b/>
          <w:i/>
        </w:rPr>
        <w:t>symbols</w:t>
      </w:r>
      <w:r>
        <w:rPr>
          <w:b/>
        </w:rPr>
        <w:t>) and model calibrated (</w:t>
      </w:r>
      <w:r>
        <w:rPr>
          <w:b/>
          <w:i/>
        </w:rPr>
        <w:t>lines</w:t>
      </w:r>
      <w:r>
        <w:rPr>
          <w:b/>
        </w:rPr>
        <w:t>) plasma PK profiles for ADC and total antibody following single dose IV administration of (A) T-DM1</w:t>
      </w:r>
      <w:r>
        <w:t xml:space="preserve"> </w:t>
      </w:r>
      <w:r>
        <w:rPr>
          <w:b/>
        </w:rPr>
        <w:t>and (B) T-</w:t>
      </w:r>
      <w:proofErr w:type="spellStart"/>
      <w:r>
        <w:rPr>
          <w:b/>
        </w:rPr>
        <w:t>DXd</w:t>
      </w:r>
      <w:proofErr w:type="spellEnd"/>
      <w:r>
        <w:rPr>
          <w:b/>
        </w:rPr>
        <w:t xml:space="preserve"> at 3 mg/kg to non-tumor bearing mice. </w:t>
      </w:r>
      <w:r>
        <w:t>The model was used to fit the data for both ADCs simultaneously, and only deconjugation rate was allowed to vary between ADCs.</w:t>
      </w:r>
      <w:r>
        <w:br/>
      </w:r>
      <w:r>
        <w:rPr>
          <w:b/>
        </w:rPr>
        <w:t xml:space="preserve">Observed (symbols) and model predicted (lines) plasma PK profiles following IV administration of (C) a </w:t>
      </w:r>
      <w:proofErr w:type="spellStart"/>
      <w:r>
        <w:rPr>
          <w:b/>
        </w:rPr>
        <w:t>maytansine</w:t>
      </w:r>
      <w:proofErr w:type="spellEnd"/>
      <w:r>
        <w:rPr>
          <w:b/>
        </w:rPr>
        <w:t xml:space="preserve"> with structural similarity to DM1 at 0.1mg/kg and (D) </w:t>
      </w:r>
      <w:proofErr w:type="spellStart"/>
      <w:r>
        <w:rPr>
          <w:b/>
        </w:rPr>
        <w:t>DXd</w:t>
      </w:r>
      <w:proofErr w:type="spellEnd"/>
      <w:r>
        <w:rPr>
          <w:b/>
        </w:rPr>
        <w:t xml:space="preserve"> at 1 mg/kg to non-tumor bearing mice. </w:t>
      </w:r>
      <w:r>
        <w:t>The model was used to fit the data for both payloads simultaneously, and only half-life was allowed to vary for each payload.</w:t>
      </w:r>
    </w:p>
    <w:p w14:paraId="49203D28" w14:textId="77777777" w:rsidR="00EE5FE1" w:rsidRDefault="00EE5FE1">
      <w:pPr>
        <w:rPr>
          <w:b/>
        </w:rPr>
      </w:pPr>
    </w:p>
    <w:p w14:paraId="74D713BA" w14:textId="77777777" w:rsidR="00EE5FE1" w:rsidRDefault="00000000">
      <w:pPr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 wp14:anchorId="69F1D06A" wp14:editId="7CD56452">
            <wp:extent cx="5943600" cy="5930900"/>
            <wp:effectExtent l="0" t="0" r="0" b="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t="9" b="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0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1CC280" w14:textId="77777777" w:rsidR="00EE5FE1" w:rsidRDefault="00000000">
      <w:pPr>
        <w:rPr>
          <w:b/>
        </w:rPr>
      </w:pPr>
      <w:r>
        <w:br w:type="page"/>
      </w:r>
    </w:p>
    <w:p w14:paraId="3C5E9320" w14:textId="180F7080" w:rsidR="00EE5FE1" w:rsidRDefault="00000000">
      <w:r>
        <w:rPr>
          <w:b/>
        </w:rPr>
        <w:lastRenderedPageBreak/>
        <w:t>Figure S4: Observed (</w:t>
      </w:r>
      <w:r>
        <w:rPr>
          <w:b/>
          <w:i/>
        </w:rPr>
        <w:t>symbols</w:t>
      </w:r>
      <w:r>
        <w:rPr>
          <w:b/>
        </w:rPr>
        <w:t>) and in vivo PK/PD model calibrated (</w:t>
      </w:r>
      <w:r>
        <w:rPr>
          <w:b/>
          <w:i/>
        </w:rPr>
        <w:t>lines</w:t>
      </w:r>
      <w:r>
        <w:rPr>
          <w:b/>
        </w:rPr>
        <w:t xml:space="preserve">) tumor growth inhibition by T-DM1 in KPL4 and BT474 xenograft mouse studies. </w:t>
      </w:r>
    </w:p>
    <w:p w14:paraId="133EF863" w14:textId="77777777" w:rsidR="00EE5FE1" w:rsidRDefault="00EE5FE1"/>
    <w:p w14:paraId="71CBA58F" w14:textId="77777777" w:rsidR="00EE5FE1" w:rsidRDefault="00000000">
      <w:pPr>
        <w:rPr>
          <w:b/>
        </w:rPr>
      </w:pPr>
      <w:r>
        <w:rPr>
          <w:b/>
          <w:noProof/>
        </w:rPr>
        <w:drawing>
          <wp:inline distT="114300" distB="114300" distL="114300" distR="114300" wp14:anchorId="21769A9F" wp14:editId="5E1690EA">
            <wp:extent cx="5943600" cy="2819400"/>
            <wp:effectExtent l="0" t="0" r="0" b="0"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7C3DDF" w14:textId="77777777" w:rsidR="000B2C58" w:rsidRDefault="000B2C58">
      <w:pPr>
        <w:rPr>
          <w:b/>
        </w:rPr>
      </w:pPr>
    </w:p>
    <w:p w14:paraId="36D2C5D5" w14:textId="47376721" w:rsidR="00EE5FE1" w:rsidRDefault="00000000">
      <w:pPr>
        <w:rPr>
          <w:b/>
        </w:rPr>
      </w:pPr>
      <w:r>
        <w:rPr>
          <w:b/>
        </w:rPr>
        <w:t>Figure S5: Global sensitivity analysis of Human T-DM1 model parameters.</w:t>
      </w:r>
      <w:r>
        <w:t xml:space="preserve"> Latin hypercube partial rank correlation coefficient (LHS- PRCC) was performed to understand which parameters impacted tumor growth volume (summarized by AUC of tumor volume). Parameters shown had a Bonferroni-adjusted p-value &gt; 0.05 and are ordered from greatest to least sensitive based on their PRCC value. Drug parameters (e.g. DAR) were sampled from a linear uniform distribution (red), while most system parameters (e.g. biological parameters) were sampled from a log normal distribution (blue). </w:t>
      </w:r>
    </w:p>
    <w:p w14:paraId="3E8216AD" w14:textId="77777777" w:rsidR="00EE5FE1" w:rsidRDefault="00EE5FE1">
      <w:pPr>
        <w:rPr>
          <w:b/>
        </w:rPr>
      </w:pPr>
    </w:p>
    <w:p w14:paraId="1FACBC26" w14:textId="77777777" w:rsidR="00EE5FE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480" w:hanging="480"/>
        <w:rPr>
          <w:b/>
        </w:rPr>
      </w:pPr>
      <w:r>
        <w:rPr>
          <w:b/>
          <w:noProof/>
        </w:rPr>
        <w:drawing>
          <wp:inline distT="114300" distB="114300" distL="114300" distR="114300" wp14:anchorId="22C241F8" wp14:editId="11697C39">
            <wp:extent cx="6166474" cy="2875711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6474" cy="28757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E5FE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E1"/>
    <w:rsid w:val="000B2C58"/>
    <w:rsid w:val="00D94673"/>
    <w:rsid w:val="00E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AD1A"/>
  <w15:docId w15:val="{F765EE5F-BCDE-4841-B30D-E47B0EFF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alison.betts@appliedbiomath.com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Betts</dc:creator>
  <cp:lastModifiedBy>Alison Betts</cp:lastModifiedBy>
  <cp:revision>3</cp:revision>
  <dcterms:created xsi:type="dcterms:W3CDTF">2022-12-12T23:03:00Z</dcterms:created>
  <dcterms:modified xsi:type="dcterms:W3CDTF">2022-12-12T23:04:00Z</dcterms:modified>
</cp:coreProperties>
</file>