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E3EBE" w14:textId="5BE82427" w:rsidR="00C4091B" w:rsidRPr="00646F3D" w:rsidRDefault="00C4091B" w:rsidP="00C4091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 2</w:t>
      </w:r>
      <w:r w:rsidRPr="00646F3D">
        <w:rPr>
          <w:rFonts w:ascii="Times New Roman" w:hAnsi="Times New Roman" w:cs="Times New Roman"/>
        </w:rPr>
        <w:t>: Evidence of pathogenicity*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6611"/>
      </w:tblGrid>
      <w:tr w:rsidR="00C4091B" w:rsidRPr="00646F3D" w14:paraId="1985195B" w14:textId="77777777" w:rsidTr="00CB4D0F">
        <w:tc>
          <w:tcPr>
            <w:tcW w:w="1271" w:type="dxa"/>
          </w:tcPr>
          <w:p w14:paraId="1719BECA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Very strong</w:t>
            </w:r>
          </w:p>
        </w:tc>
        <w:tc>
          <w:tcPr>
            <w:tcW w:w="1134" w:type="dxa"/>
          </w:tcPr>
          <w:p w14:paraId="51B914F6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PVS1</w:t>
            </w:r>
          </w:p>
        </w:tc>
        <w:tc>
          <w:tcPr>
            <w:tcW w:w="6611" w:type="dxa"/>
          </w:tcPr>
          <w:p w14:paraId="44660971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Null variant (</w:t>
            </w:r>
            <w:proofErr w:type="spellStart"/>
            <w:proofErr w:type="gramStart"/>
            <w:r w:rsidRPr="00646F3D">
              <w:rPr>
                <w:rFonts w:ascii="Times New Roman" w:hAnsi="Times New Roman" w:cs="Times New Roman"/>
              </w:rPr>
              <w:t>nonsense,frameshift</w:t>
            </w:r>
            <w:proofErr w:type="spellEnd"/>
            <w:proofErr w:type="gramEnd"/>
            <w:r w:rsidRPr="00646F3D">
              <w:rPr>
                <w:rFonts w:ascii="Times New Roman" w:hAnsi="Times New Roman" w:cs="Times New Roman"/>
              </w:rPr>
              <w:t>, canonical ±1 r splice site, initiation codon, single or multiexon deletion) in a gene where LF is a known mechanism of disease</w:t>
            </w:r>
          </w:p>
        </w:tc>
      </w:tr>
      <w:tr w:rsidR="00C4091B" w:rsidRPr="00646F3D" w14:paraId="032C194C" w14:textId="77777777" w:rsidTr="00CB4D0F">
        <w:tc>
          <w:tcPr>
            <w:tcW w:w="1271" w:type="dxa"/>
          </w:tcPr>
          <w:p w14:paraId="222A81B7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Strong</w:t>
            </w:r>
          </w:p>
        </w:tc>
        <w:tc>
          <w:tcPr>
            <w:tcW w:w="1134" w:type="dxa"/>
          </w:tcPr>
          <w:p w14:paraId="53BF1229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PS1</w:t>
            </w:r>
          </w:p>
        </w:tc>
        <w:tc>
          <w:tcPr>
            <w:tcW w:w="6611" w:type="dxa"/>
          </w:tcPr>
          <w:p w14:paraId="64289013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Same amino acid change as a previously established pathogenic variant regardless of nucleotide change</w:t>
            </w:r>
          </w:p>
        </w:tc>
      </w:tr>
      <w:tr w:rsidR="00C4091B" w:rsidRPr="00646F3D" w14:paraId="41ACB02E" w14:textId="77777777" w:rsidTr="00CB4D0F">
        <w:tc>
          <w:tcPr>
            <w:tcW w:w="1271" w:type="dxa"/>
          </w:tcPr>
          <w:p w14:paraId="4DD33DC5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BF57B25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PS2</w:t>
            </w:r>
          </w:p>
        </w:tc>
        <w:tc>
          <w:tcPr>
            <w:tcW w:w="6611" w:type="dxa"/>
          </w:tcPr>
          <w:p w14:paraId="53821D59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De novo (both maternity and paternity confirmed) in a patient with the disease and no family history</w:t>
            </w:r>
          </w:p>
        </w:tc>
      </w:tr>
      <w:tr w:rsidR="00C4091B" w:rsidRPr="00646F3D" w14:paraId="7CF33B56" w14:textId="77777777" w:rsidTr="00CB4D0F">
        <w:tc>
          <w:tcPr>
            <w:tcW w:w="1271" w:type="dxa"/>
          </w:tcPr>
          <w:p w14:paraId="18EFAE2E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DF9C98B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PS3</w:t>
            </w:r>
          </w:p>
        </w:tc>
        <w:tc>
          <w:tcPr>
            <w:tcW w:w="6611" w:type="dxa"/>
          </w:tcPr>
          <w:p w14:paraId="32B5A121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Well-established in vitro or in vivo functional studies supportive of a damaging effect on the gene or gene product</w:t>
            </w:r>
          </w:p>
        </w:tc>
      </w:tr>
      <w:tr w:rsidR="00C4091B" w:rsidRPr="00646F3D" w14:paraId="1D35754A" w14:textId="77777777" w:rsidTr="00CB4D0F">
        <w:tc>
          <w:tcPr>
            <w:tcW w:w="1271" w:type="dxa"/>
          </w:tcPr>
          <w:p w14:paraId="1A3855F8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E46CB27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PS4</w:t>
            </w:r>
          </w:p>
        </w:tc>
        <w:tc>
          <w:tcPr>
            <w:tcW w:w="6611" w:type="dxa"/>
          </w:tcPr>
          <w:p w14:paraId="7CECA2FB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The prevalence of the variant in affected individuals is significantly increased compared with the prevalence in controls</w:t>
            </w:r>
          </w:p>
        </w:tc>
      </w:tr>
      <w:tr w:rsidR="00C4091B" w:rsidRPr="00646F3D" w14:paraId="2B985D65" w14:textId="77777777" w:rsidTr="00CB4D0F">
        <w:tc>
          <w:tcPr>
            <w:tcW w:w="1271" w:type="dxa"/>
          </w:tcPr>
          <w:p w14:paraId="26E16656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134" w:type="dxa"/>
          </w:tcPr>
          <w:p w14:paraId="301FAB8A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PM1</w:t>
            </w:r>
          </w:p>
        </w:tc>
        <w:tc>
          <w:tcPr>
            <w:tcW w:w="6611" w:type="dxa"/>
          </w:tcPr>
          <w:p w14:paraId="4A048CBF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Located in a mutational hot spot and/or critical and well-established functional domain (e.g., active site of an enzyme) without benign variation</w:t>
            </w:r>
          </w:p>
        </w:tc>
      </w:tr>
      <w:tr w:rsidR="00C4091B" w:rsidRPr="00646F3D" w14:paraId="08B7EC46" w14:textId="77777777" w:rsidTr="00CB4D0F">
        <w:tc>
          <w:tcPr>
            <w:tcW w:w="1271" w:type="dxa"/>
          </w:tcPr>
          <w:p w14:paraId="0F43B5A6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39C5F7F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PM2</w:t>
            </w:r>
          </w:p>
        </w:tc>
        <w:tc>
          <w:tcPr>
            <w:tcW w:w="6611" w:type="dxa"/>
          </w:tcPr>
          <w:p w14:paraId="11085BD6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46F3D">
              <w:rPr>
                <w:rFonts w:ascii="Times New Roman" w:hAnsi="Times New Roman" w:cs="Times New Roman"/>
                <w:color w:val="000000"/>
              </w:rPr>
              <w:t>Absent from controls (or at extremely low frequency if recessive) in Exome Sequencing Project, 1000 Genomes Project, or Exome Aggregation Consortium</w:t>
            </w:r>
          </w:p>
        </w:tc>
      </w:tr>
      <w:tr w:rsidR="00C4091B" w:rsidRPr="00646F3D" w14:paraId="677925DD" w14:textId="77777777" w:rsidTr="00CB4D0F">
        <w:tc>
          <w:tcPr>
            <w:tcW w:w="1271" w:type="dxa"/>
          </w:tcPr>
          <w:p w14:paraId="12EFF081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9EA4BC0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PM3</w:t>
            </w:r>
          </w:p>
        </w:tc>
        <w:tc>
          <w:tcPr>
            <w:tcW w:w="6611" w:type="dxa"/>
          </w:tcPr>
          <w:p w14:paraId="4C68B1C8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 xml:space="preserve">For recessive disorders, detected in </w:t>
            </w:r>
            <w:r w:rsidRPr="00646F3D">
              <w:rPr>
                <w:rFonts w:ascii="Times New Roman" w:hAnsi="Times New Roman" w:cs="Times New Roman"/>
                <w:i/>
                <w:iCs/>
              </w:rPr>
              <w:t xml:space="preserve">trans </w:t>
            </w:r>
            <w:r w:rsidRPr="00646F3D">
              <w:rPr>
                <w:rFonts w:ascii="Times New Roman" w:hAnsi="Times New Roman" w:cs="Times New Roman"/>
              </w:rPr>
              <w:t>with a pathogenic variant</w:t>
            </w:r>
          </w:p>
        </w:tc>
      </w:tr>
      <w:tr w:rsidR="00C4091B" w:rsidRPr="00646F3D" w14:paraId="20AAA0C0" w14:textId="77777777" w:rsidTr="00CB4D0F">
        <w:tc>
          <w:tcPr>
            <w:tcW w:w="1271" w:type="dxa"/>
          </w:tcPr>
          <w:p w14:paraId="2DAE71D1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851334C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PM4</w:t>
            </w:r>
          </w:p>
        </w:tc>
        <w:tc>
          <w:tcPr>
            <w:tcW w:w="6611" w:type="dxa"/>
          </w:tcPr>
          <w:p w14:paraId="7E29B250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Protein length changes as a result of in-frame deletions/insertions in a nonrepeat region or stop-loss variants</w:t>
            </w:r>
          </w:p>
        </w:tc>
      </w:tr>
      <w:tr w:rsidR="00C4091B" w:rsidRPr="00646F3D" w14:paraId="1ECA081D" w14:textId="77777777" w:rsidTr="00CB4D0F">
        <w:tc>
          <w:tcPr>
            <w:tcW w:w="1271" w:type="dxa"/>
          </w:tcPr>
          <w:p w14:paraId="4CE598A0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F1D18C7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PM5</w:t>
            </w:r>
          </w:p>
        </w:tc>
        <w:tc>
          <w:tcPr>
            <w:tcW w:w="6611" w:type="dxa"/>
          </w:tcPr>
          <w:p w14:paraId="3A4C5E4A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Novel missense change at an amino acid residue where a different missense change determined to be pathogenic has been seen before</w:t>
            </w:r>
          </w:p>
        </w:tc>
      </w:tr>
      <w:tr w:rsidR="00C4091B" w:rsidRPr="00646F3D" w14:paraId="11913DC8" w14:textId="77777777" w:rsidTr="00CB4D0F">
        <w:tc>
          <w:tcPr>
            <w:tcW w:w="1271" w:type="dxa"/>
          </w:tcPr>
          <w:p w14:paraId="47A60219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6AB5073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PM6</w:t>
            </w:r>
          </w:p>
        </w:tc>
        <w:tc>
          <w:tcPr>
            <w:tcW w:w="6611" w:type="dxa"/>
          </w:tcPr>
          <w:p w14:paraId="353A1DAD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Assumed de novo, but without confirmation of paternity and maternity</w:t>
            </w:r>
          </w:p>
        </w:tc>
      </w:tr>
      <w:tr w:rsidR="00C4091B" w:rsidRPr="00646F3D" w14:paraId="0CDD1C33" w14:textId="77777777" w:rsidTr="00CB4D0F">
        <w:tc>
          <w:tcPr>
            <w:tcW w:w="1271" w:type="dxa"/>
          </w:tcPr>
          <w:p w14:paraId="0BFBE386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Supporting</w:t>
            </w:r>
          </w:p>
        </w:tc>
        <w:tc>
          <w:tcPr>
            <w:tcW w:w="1134" w:type="dxa"/>
          </w:tcPr>
          <w:p w14:paraId="59543231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PP1</w:t>
            </w:r>
          </w:p>
        </w:tc>
        <w:tc>
          <w:tcPr>
            <w:tcW w:w="6611" w:type="dxa"/>
          </w:tcPr>
          <w:p w14:paraId="0E166994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Co</w:t>
            </w:r>
            <w:r>
              <w:rPr>
                <w:rFonts w:ascii="Times New Roman" w:hAnsi="Times New Roman" w:cs="Times New Roman"/>
              </w:rPr>
              <w:t>-</w:t>
            </w:r>
            <w:r w:rsidRPr="00646F3D">
              <w:rPr>
                <w:rFonts w:ascii="Times New Roman" w:hAnsi="Times New Roman" w:cs="Times New Roman"/>
              </w:rPr>
              <w:t>segregation with disease in multiple affected family members in a gene definitively known to cause the disease</w:t>
            </w:r>
          </w:p>
        </w:tc>
      </w:tr>
      <w:tr w:rsidR="00C4091B" w:rsidRPr="00646F3D" w14:paraId="5B1FD86E" w14:textId="77777777" w:rsidTr="00CB4D0F">
        <w:tc>
          <w:tcPr>
            <w:tcW w:w="1271" w:type="dxa"/>
          </w:tcPr>
          <w:p w14:paraId="198F844E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1D36B85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PP2</w:t>
            </w:r>
          </w:p>
        </w:tc>
        <w:tc>
          <w:tcPr>
            <w:tcW w:w="6611" w:type="dxa"/>
          </w:tcPr>
          <w:p w14:paraId="16D09639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Missense variant in a gene that has a low rate of benign missense variation and in which missense variants are a common mechanism of disease</w:t>
            </w:r>
          </w:p>
        </w:tc>
      </w:tr>
      <w:tr w:rsidR="00C4091B" w:rsidRPr="00646F3D" w14:paraId="1236C3ED" w14:textId="77777777" w:rsidTr="00CB4D0F">
        <w:tc>
          <w:tcPr>
            <w:tcW w:w="1271" w:type="dxa"/>
          </w:tcPr>
          <w:p w14:paraId="6FBED7FD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770F18F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PP3</w:t>
            </w:r>
          </w:p>
        </w:tc>
        <w:tc>
          <w:tcPr>
            <w:tcW w:w="6611" w:type="dxa"/>
          </w:tcPr>
          <w:p w14:paraId="12EFBD1D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Multiple lines of computational evidence support a deleterious effect on the gene or gene product (conservation, evolutionary, splicing impact, etc.)</w:t>
            </w:r>
          </w:p>
        </w:tc>
      </w:tr>
      <w:tr w:rsidR="00C4091B" w:rsidRPr="00646F3D" w14:paraId="12B9B595" w14:textId="77777777" w:rsidTr="00CB4D0F">
        <w:tc>
          <w:tcPr>
            <w:tcW w:w="1271" w:type="dxa"/>
          </w:tcPr>
          <w:p w14:paraId="5A070C06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B653378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PP4</w:t>
            </w:r>
          </w:p>
        </w:tc>
        <w:tc>
          <w:tcPr>
            <w:tcW w:w="6611" w:type="dxa"/>
          </w:tcPr>
          <w:p w14:paraId="54747502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 xml:space="preserve">Patient’s phenotype or family history is highly specific for a disease with a single genetic </w:t>
            </w:r>
            <w:proofErr w:type="spellStart"/>
            <w:r w:rsidRPr="00646F3D">
              <w:rPr>
                <w:rFonts w:ascii="Times New Roman" w:hAnsi="Times New Roman" w:cs="Times New Roman"/>
              </w:rPr>
              <w:t>etiology</w:t>
            </w:r>
            <w:proofErr w:type="spellEnd"/>
          </w:p>
        </w:tc>
      </w:tr>
      <w:tr w:rsidR="00C4091B" w:rsidRPr="00646F3D" w14:paraId="466EC515" w14:textId="77777777" w:rsidTr="00CB4D0F">
        <w:tc>
          <w:tcPr>
            <w:tcW w:w="1271" w:type="dxa"/>
          </w:tcPr>
          <w:p w14:paraId="7977BF29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1ED8448" w14:textId="77777777" w:rsidR="00C4091B" w:rsidRPr="00646F3D" w:rsidRDefault="00C4091B" w:rsidP="00CB4D0F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PP5</w:t>
            </w:r>
          </w:p>
        </w:tc>
        <w:tc>
          <w:tcPr>
            <w:tcW w:w="6611" w:type="dxa"/>
          </w:tcPr>
          <w:p w14:paraId="0FF85F5A" w14:textId="77777777" w:rsidR="00C4091B" w:rsidRPr="00646F3D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Reputable source recently reports variant as pathogenic, but the evidence is not available to the laboratory to perform an independent evaluation</w:t>
            </w:r>
          </w:p>
        </w:tc>
      </w:tr>
    </w:tbl>
    <w:p w14:paraId="228B88C1" w14:textId="77777777" w:rsidR="00C4091B" w:rsidRDefault="00C4091B" w:rsidP="00C4091B">
      <w:pPr>
        <w:rPr>
          <w:rFonts w:ascii="Times New Roman" w:hAnsi="Times New Roman" w:cs="Times New Roman"/>
        </w:rPr>
      </w:pPr>
      <w:r w:rsidRPr="00E54B9C">
        <w:rPr>
          <w:rFonts w:ascii="Times New Roman" w:hAnsi="Times New Roman" w:cs="Times New Roman"/>
        </w:rPr>
        <w:t>*ACMG standards and guidelines on interpretation of sequence variants, 2015</w:t>
      </w:r>
      <w:r>
        <w:rPr>
          <w:rFonts w:ascii="Times New Roman" w:hAnsi="Times New Roman" w:cs="Times New Roman"/>
        </w:rPr>
        <w:t xml:space="preserve"> [51]</w:t>
      </w:r>
    </w:p>
    <w:p w14:paraId="5E0A0A96" w14:textId="77777777" w:rsidR="00C4091B" w:rsidRPr="00E54B9C" w:rsidRDefault="00C4091B" w:rsidP="00C4091B">
      <w:pPr>
        <w:rPr>
          <w:rFonts w:ascii="Times New Roman" w:hAnsi="Times New Roman" w:cs="Times New Roman"/>
        </w:rPr>
      </w:pPr>
    </w:p>
    <w:p w14:paraId="4244F85B" w14:textId="0736A695" w:rsidR="00C4091B" w:rsidRPr="00E54B9C" w:rsidRDefault="00C4091B" w:rsidP="00C4091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 3</w:t>
      </w:r>
      <w:r w:rsidRPr="00E54B9C">
        <w:rPr>
          <w:rFonts w:ascii="Times New Roman" w:hAnsi="Times New Roman" w:cs="Times New Roman"/>
        </w:rPr>
        <w:t>: Classification of pathogenic and likely pathogenic variants*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178"/>
      </w:tblGrid>
      <w:tr w:rsidR="00C4091B" w:rsidRPr="00E54B9C" w14:paraId="43C3DA4E" w14:textId="77777777" w:rsidTr="00CB4D0F">
        <w:tc>
          <w:tcPr>
            <w:tcW w:w="1838" w:type="dxa"/>
          </w:tcPr>
          <w:p w14:paraId="6AF8890F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Pathogenic</w:t>
            </w:r>
          </w:p>
        </w:tc>
        <w:tc>
          <w:tcPr>
            <w:tcW w:w="7178" w:type="dxa"/>
          </w:tcPr>
          <w:p w14:paraId="5BAEE1A9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>(</w:t>
            </w:r>
            <w:proofErr w:type="spellStart"/>
            <w:r w:rsidRPr="00E54B9C">
              <w:rPr>
                <w:rFonts w:ascii="Times New Roman" w:hAnsi="Times New Roman" w:cs="Times New Roman"/>
              </w:rPr>
              <w:t>i</w:t>
            </w:r>
            <w:proofErr w:type="spellEnd"/>
            <w:r w:rsidRPr="00E54B9C">
              <w:rPr>
                <w:rFonts w:ascii="Times New Roman" w:hAnsi="Times New Roman" w:cs="Times New Roman"/>
              </w:rPr>
              <w:t xml:space="preserve">) 1 Very strong (PVS1)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AND</w:t>
            </w:r>
          </w:p>
          <w:p w14:paraId="5F13E8BC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(a) ≥1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19D4540F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(b) ≥2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01A97C2D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(c) 1 Moderate (PM1–PM6) and 1 supporting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54B9C">
              <w:rPr>
                <w:rFonts w:ascii="Times New Roman" w:hAnsi="Times New Roman" w:cs="Times New Roman"/>
              </w:rPr>
              <w:t xml:space="preserve">(PP1–PP5)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5E0D6AB7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(d) ≥2 Supporting (PP1–PP5)</w:t>
            </w:r>
          </w:p>
        </w:tc>
      </w:tr>
      <w:tr w:rsidR="00C4091B" w:rsidRPr="00E54B9C" w14:paraId="10B6AF24" w14:textId="77777777" w:rsidTr="00CB4D0F">
        <w:tc>
          <w:tcPr>
            <w:tcW w:w="1838" w:type="dxa"/>
          </w:tcPr>
          <w:p w14:paraId="4B9AAFE3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14:paraId="085A713C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(ii) ≥2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C4091B" w:rsidRPr="00E54B9C" w14:paraId="4C45BDC0" w14:textId="77777777" w:rsidTr="00CB4D0F">
        <w:tc>
          <w:tcPr>
            <w:tcW w:w="1838" w:type="dxa"/>
          </w:tcPr>
          <w:p w14:paraId="4B69AF3A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14:paraId="307411EC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(iii) 1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AND</w:t>
            </w:r>
          </w:p>
          <w:p w14:paraId="6FE05A02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(a)≥3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0CE9DF50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(b)2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>≥2</w:t>
            </w:r>
            <w:r>
              <w:rPr>
                <w:rFonts w:ascii="Times New Roman" w:hAnsi="Times New Roman" w:cs="Times New Roman"/>
              </w:rPr>
              <w:t xml:space="preserve"> s</w:t>
            </w:r>
            <w:r w:rsidRPr="00E54B9C">
              <w:rPr>
                <w:rFonts w:ascii="Times New Roman" w:hAnsi="Times New Roman" w:cs="Times New Roman"/>
              </w:rPr>
              <w:t xml:space="preserve">upporting (PP1–PP5)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0328B8CA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(c)1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>≥4 supporting (PP1–PP5)</w:t>
            </w:r>
          </w:p>
        </w:tc>
      </w:tr>
      <w:tr w:rsidR="00C4091B" w:rsidRPr="00E54B9C" w14:paraId="0E78C47E" w14:textId="77777777" w:rsidTr="00CB4D0F">
        <w:tc>
          <w:tcPr>
            <w:tcW w:w="1838" w:type="dxa"/>
          </w:tcPr>
          <w:p w14:paraId="2A8D5A93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lastRenderedPageBreak/>
              <w:t>Likely pathogenic</w:t>
            </w:r>
          </w:p>
        </w:tc>
        <w:tc>
          <w:tcPr>
            <w:tcW w:w="7178" w:type="dxa"/>
          </w:tcPr>
          <w:p w14:paraId="0BD8927F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(</w:t>
            </w:r>
            <w:proofErr w:type="spellStart"/>
            <w:r w:rsidRPr="00E54B9C">
              <w:rPr>
                <w:rFonts w:ascii="Times New Roman" w:hAnsi="Times New Roman" w:cs="Times New Roman"/>
              </w:rPr>
              <w:t>i</w:t>
            </w:r>
            <w:proofErr w:type="spellEnd"/>
            <w:r w:rsidRPr="00E54B9C">
              <w:rPr>
                <w:rFonts w:ascii="Times New Roman" w:hAnsi="Times New Roman" w:cs="Times New Roman"/>
              </w:rPr>
              <w:t xml:space="preserve">) 1 Very strong (PVS1)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 xml:space="preserve">1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C4091B" w:rsidRPr="00E54B9C" w14:paraId="03DA0CA1" w14:textId="77777777" w:rsidTr="00CB4D0F">
        <w:tc>
          <w:tcPr>
            <w:tcW w:w="1838" w:type="dxa"/>
          </w:tcPr>
          <w:p w14:paraId="4A16CBA6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14:paraId="678F69C8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(ii) 1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 xml:space="preserve">1–2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C4091B" w:rsidRPr="00E54B9C" w14:paraId="4687A243" w14:textId="77777777" w:rsidTr="00CB4D0F">
        <w:tc>
          <w:tcPr>
            <w:tcW w:w="1838" w:type="dxa"/>
          </w:tcPr>
          <w:p w14:paraId="5F233056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14:paraId="640247C1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(iii) 1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 xml:space="preserve">≥2 supporting (PP1–PP5)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C4091B" w:rsidRPr="00E54B9C" w14:paraId="030A0F35" w14:textId="77777777" w:rsidTr="00CB4D0F">
        <w:tc>
          <w:tcPr>
            <w:tcW w:w="1838" w:type="dxa"/>
          </w:tcPr>
          <w:p w14:paraId="5C68B470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14:paraId="37DF0D32" w14:textId="77777777" w:rsidR="00C4091B" w:rsidRPr="00E54B9C" w:rsidRDefault="00C4091B" w:rsidP="00CB4D0F">
            <w:pPr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(iv) ≥3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C4091B" w:rsidRPr="00E54B9C" w14:paraId="0353EAC3" w14:textId="77777777" w:rsidTr="00CB4D0F">
        <w:tc>
          <w:tcPr>
            <w:tcW w:w="1838" w:type="dxa"/>
          </w:tcPr>
          <w:p w14:paraId="33F62824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14:paraId="056EB64A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(v) 2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 xml:space="preserve">≥2 supporting (PP1–PP5)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C4091B" w:rsidRPr="00E54B9C" w14:paraId="31B6C2E4" w14:textId="77777777" w:rsidTr="00CB4D0F">
        <w:tc>
          <w:tcPr>
            <w:tcW w:w="1838" w:type="dxa"/>
          </w:tcPr>
          <w:p w14:paraId="4561DEF5" w14:textId="77777777" w:rsidR="00C4091B" w:rsidRPr="00E54B9C" w:rsidRDefault="00C4091B" w:rsidP="00CB4D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14:paraId="56B3259C" w14:textId="77777777" w:rsidR="00C4091B" w:rsidRPr="00E54B9C" w:rsidRDefault="00C4091B" w:rsidP="00CB4D0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(vi) 1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>≥4 supporting (PP1–PP5)</w:t>
            </w:r>
          </w:p>
        </w:tc>
      </w:tr>
    </w:tbl>
    <w:p w14:paraId="4B5F69E9" w14:textId="77777777" w:rsidR="00C4091B" w:rsidRDefault="00C4091B" w:rsidP="00C4091B">
      <w:r w:rsidRPr="00E54B9C">
        <w:rPr>
          <w:rFonts w:ascii="Times New Roman" w:hAnsi="Times New Roman" w:cs="Times New Roman"/>
        </w:rPr>
        <w:t>*ACMG standards and guidelines on interpretation of sequence variants, 2015</w:t>
      </w:r>
      <w:r>
        <w:rPr>
          <w:rFonts w:ascii="Times New Roman" w:hAnsi="Times New Roman" w:cs="Times New Roman"/>
        </w:rPr>
        <w:t xml:space="preserve"> [51]</w:t>
      </w:r>
    </w:p>
    <w:p w14:paraId="152813AA" w14:textId="77777777" w:rsidR="0086028A" w:rsidRDefault="0086028A"/>
    <w:sectPr w:rsidR="008602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911C2A" w14:textId="77777777" w:rsidR="00DA43AA" w:rsidRDefault="00DA43AA" w:rsidP="00C4091B">
      <w:pPr>
        <w:spacing w:after="0" w:line="240" w:lineRule="auto"/>
      </w:pPr>
      <w:r>
        <w:separator/>
      </w:r>
    </w:p>
  </w:endnote>
  <w:endnote w:type="continuationSeparator" w:id="0">
    <w:p w14:paraId="0FB5FFE2" w14:textId="77777777" w:rsidR="00DA43AA" w:rsidRDefault="00DA43AA" w:rsidP="00C40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8BFE67" w14:textId="77777777" w:rsidR="00DA43AA" w:rsidRDefault="00DA43AA" w:rsidP="00C4091B">
      <w:pPr>
        <w:spacing w:after="0" w:line="240" w:lineRule="auto"/>
      </w:pPr>
      <w:r>
        <w:separator/>
      </w:r>
    </w:p>
  </w:footnote>
  <w:footnote w:type="continuationSeparator" w:id="0">
    <w:p w14:paraId="7AAD4D51" w14:textId="77777777" w:rsidR="00DA43AA" w:rsidRDefault="00DA43AA" w:rsidP="00C409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28A"/>
    <w:rsid w:val="0086028A"/>
    <w:rsid w:val="00965F3D"/>
    <w:rsid w:val="00B80B8B"/>
    <w:rsid w:val="00C4091B"/>
    <w:rsid w:val="00DA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EFB9E"/>
  <w15:chartTrackingRefBased/>
  <w15:docId w15:val="{41F16DD2-F779-4507-80A6-70FD2B19D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91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09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91B"/>
  </w:style>
  <w:style w:type="paragraph" w:styleId="Footer">
    <w:name w:val="footer"/>
    <w:basedOn w:val="Normal"/>
    <w:link w:val="FooterChar"/>
    <w:uiPriority w:val="99"/>
    <w:unhideWhenUsed/>
    <w:rsid w:val="00C409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91B"/>
  </w:style>
  <w:style w:type="table" w:styleId="TableGrid">
    <w:name w:val="Table Grid"/>
    <w:basedOn w:val="TableNormal"/>
    <w:uiPriority w:val="39"/>
    <w:rsid w:val="00C40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m51463</dc:creator>
  <cp:keywords/>
  <dc:description/>
  <cp:lastModifiedBy>Sunita</cp:lastModifiedBy>
  <cp:revision>2</cp:revision>
  <dcterms:created xsi:type="dcterms:W3CDTF">2020-09-10T17:24:00Z</dcterms:created>
  <dcterms:modified xsi:type="dcterms:W3CDTF">2020-09-10T17:24:00Z</dcterms:modified>
</cp:coreProperties>
</file>