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97C" w:rsidRDefault="00E9522D" w:rsidP="0012097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Additional table 1:</w:t>
      </w:r>
      <w:r w:rsidR="0012097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Disorders tested in this study</w:t>
      </w:r>
    </w:p>
    <w:tbl>
      <w:tblPr>
        <w:tblpPr w:leftFromText="180" w:rightFromText="180" w:bottomFromText="160" w:vertAnchor="text" w:horzAnchor="margin" w:tblpXSpec="right" w:tblpY="799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6"/>
        <w:gridCol w:w="2504"/>
        <w:gridCol w:w="839"/>
        <w:gridCol w:w="1472"/>
        <w:gridCol w:w="1184"/>
        <w:gridCol w:w="2461"/>
      </w:tblGrid>
      <w:tr w:rsidR="00C6549D" w:rsidTr="005B4146">
        <w:trPr>
          <w:trHeight w:val="29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Pr="00C6549D" w:rsidRDefault="00C654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654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Sno</w:t>
            </w:r>
            <w:proofErr w:type="spellEnd"/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Disorder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Inherit-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ance</w:t>
            </w:r>
            <w:proofErr w:type="spellEnd"/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Phenotype OMIM no.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 name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 function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Adrenoleukodystrophy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300100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ABCD1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ATP-Binding Cassette Subfamily D</w:t>
            </w:r>
            <w:r w:rsidR="005B4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(Peroxisomal fatty acid transport)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Argininosuccinic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aciduria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207900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ASL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Argininosuccinate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lyase</w:t>
            </w:r>
            <w:proofErr w:type="spellEnd"/>
            <w:r w:rsidR="005B4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  <w:p w:rsidR="005B4146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(Urea cycle)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Ataxia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telengiectasia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208900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ATM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DNA Repair gene family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 Albinism type 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203100,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Tyrosinase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(Melanin biosynthesis)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Albinism type II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OCA2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Melanosomal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transmembrane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protein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Albinism type III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203290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TYRP1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Tyrosinase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related protein 1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Alkaptonuria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HGD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3D7F0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Homgentisate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1,2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dioxygenase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(Phenylalanine metabolism)</w:t>
            </w:r>
          </w:p>
        </w:tc>
      </w:tr>
      <w:tr w:rsidR="00C6549D" w:rsidTr="005B4146">
        <w:trPr>
          <w:trHeight w:val="3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Alpha 1 antitrypsin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613490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SERPINA1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3D7F0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Serpin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Peptidase inhibitor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Biotinidase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253260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BTD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3D7F0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Biotinidase (Biotin metabolism)</w:t>
            </w:r>
          </w:p>
        </w:tc>
      </w:tr>
      <w:tr w:rsidR="00C6549D" w:rsidTr="005B4146">
        <w:trPr>
          <w:trHeight w:val="34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Beta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Ketothiolase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203750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ACAT1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3D7F0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Acetyl-CoA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Acetyltransferase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Ketone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body metabolism)</w:t>
            </w:r>
          </w:p>
        </w:tc>
      </w:tr>
      <w:tr w:rsidR="00C6549D" w:rsidTr="005B4146">
        <w:trPr>
          <w:trHeight w:val="61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Congenital disorder of glycosylation type 1A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212065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PMM2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Phosphomannomutase</w:t>
            </w:r>
            <w:proofErr w:type="spellEnd"/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Canavan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271900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ASPA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Aspartoacylase</w:t>
            </w:r>
            <w:proofErr w:type="spellEnd"/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Citrullinemia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215700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ASS1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Argininosuccinate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synthetase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1(Urea cycle)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Cystic fibrosis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219700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CFTR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Cystic fibrosis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transmembrane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conductance regulator</w:t>
            </w:r>
          </w:p>
        </w:tc>
      </w:tr>
      <w:tr w:rsidR="00C6549D" w:rsidTr="005B4146">
        <w:trPr>
          <w:trHeight w:val="63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Carnitine palmitoyl transferase deficiency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255120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CPT1A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Carnitine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Palmitoyltransferase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 (Urea cycle)</w:t>
            </w:r>
          </w:p>
        </w:tc>
      </w:tr>
      <w:tr w:rsidR="00C6549D" w:rsidTr="005B4146">
        <w:trPr>
          <w:trHeight w:val="42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Congenital adrenal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hyperplasia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201910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CYP21A2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Cytochrome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P450</w:t>
            </w:r>
            <w:r w:rsidR="00983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family </w:t>
            </w:r>
            <w:r w:rsidR="00983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 xml:space="preserve">enzyme (Adrenal </w:t>
            </w:r>
            <w:proofErr w:type="spellStart"/>
            <w:r w:rsidR="00983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steroidogenesis</w:t>
            </w:r>
            <w:proofErr w:type="spellEnd"/>
            <w:r w:rsidR="00983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17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Limb girdle muscle dystrophy AD 4/AR1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618129/253600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CAPN3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Calpain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3 (Muscle protein</w:t>
            </w:r>
            <w:r w:rsidR="004B12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AD 3A/AR 1A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601544/220290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GJB2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Gap junction protein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18A/ Usher syndrome type 1C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602092/276904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USH1C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Harmonin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(Inner ear hair cell protein)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AD 36/AR 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606705/600974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TMC1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Transmembrane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channel-like protein (Cochlear protein)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8/10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601072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TMPRSS3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Transmembrane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protease serine 3 (Inner ear signalling pathway) 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12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601067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CDH23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6E0DE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Cadherin23 (Inner ear hair cell protein)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Epidermolysis bullosa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dystrophica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131750/226600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COL7A1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21D" w:rsidRDefault="004B121D" w:rsidP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Collagen, type VII</w:t>
            </w:r>
          </w:p>
          <w:p w:rsidR="004B121D" w:rsidRDefault="004B121D" w:rsidP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(Epithelial protein)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Epidermolysis bullosa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junctional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LAMC2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Laminin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Gamma</w:t>
            </w:r>
            <w:r w:rsidR="001166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 (Epithelial protein)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Epidermolysis bullosa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junctional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Amelogenesis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imperfecta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226650/104530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LAMB3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Laminin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Beta</w:t>
            </w:r>
            <w:r w:rsidR="001166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 (Epithelial protein)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Epidermolysis bullosa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junctional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/ epithelial recurrent erosion dystrophy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226730, 122400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COL17A1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21D" w:rsidRDefault="004B121D" w:rsidP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Collagen, type XVII</w:t>
            </w:r>
          </w:p>
          <w:p w:rsidR="00C6549D" w:rsidRDefault="004B121D" w:rsidP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(Epithelial protein)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Epidermolysis Bullosa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Junctional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226650/131800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ITGB4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Integrin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Beta-4 (Epithelial protein)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Fanconi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anemia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complementation group 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227645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FANCC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DNA repair gene (Group C)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Fabry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301500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Alpha-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Galactosidase</w:t>
            </w:r>
            <w:proofErr w:type="spellEnd"/>
          </w:p>
        </w:tc>
      </w:tr>
      <w:tr w:rsidR="00C6549D" w:rsidTr="005B4146">
        <w:trPr>
          <w:trHeight w:val="3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Familial hypercholesterolemia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AD, 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143890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LDLR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Low density lipoprotein receptor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Supression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of cholesterol synthesis)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Familial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hyperinsulinemic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hypoglycaemia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AD, 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256450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ABCC8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 Binding Cassette, subfamily C, Member 8 (pancreatic beta cell potassium channels)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Glutaric aciduria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231670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GCDH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Glutaryl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CoA-dehydrogenase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33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Galactosemia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GALT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Galactose-1-phosphate uridyl transferase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Gaucher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230800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GBA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Acid Beta-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glucosidase</w:t>
            </w:r>
            <w:proofErr w:type="spellEnd"/>
            <w:r w:rsidR="00E00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(lysosomal enzyme)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GM1 gangliosidosis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GLB1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Beta-1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galactosidase</w:t>
            </w:r>
            <w:proofErr w:type="spellEnd"/>
            <w:r w:rsidR="00E00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</w:tc>
      </w:tr>
      <w:tr w:rsidR="00C6549D" w:rsidTr="005B4146">
        <w:trPr>
          <w:trHeight w:val="41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GM2 gangliosidosis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272800/268800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HEXA, HEXB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Hexosaminidase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A/B</w:t>
            </w:r>
          </w:p>
        </w:tc>
      </w:tr>
      <w:tr w:rsidR="00C6549D" w:rsidTr="005B4146">
        <w:trPr>
          <w:trHeight w:val="48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Glycogen storage disease type 1A, 1B and 3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G6PC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Glucose-6-phosphatase</w:t>
            </w:r>
          </w:p>
        </w:tc>
      </w:tr>
      <w:tr w:rsidR="00C6549D" w:rsidTr="005B4146">
        <w:trPr>
          <w:trHeight w:val="48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1B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232220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SLC37A4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Solute carrier family 37, Member 4</w:t>
            </w:r>
          </w:p>
          <w:p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(Glucose-6 Phosphate transporter)</w:t>
            </w:r>
          </w:p>
        </w:tc>
      </w:tr>
      <w:tr w:rsidR="00C6549D" w:rsidTr="005B4146">
        <w:trPr>
          <w:trHeight w:val="48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AGL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Amylo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1,6-glucosidase (Glycogen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Debrancher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enzyme)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Homocystinuria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236200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CBS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Cystathionine Beta-synthase </w:t>
            </w:r>
          </w:p>
        </w:tc>
      </w:tr>
      <w:tr w:rsidR="00C6549D" w:rsidTr="005B4146">
        <w:trPr>
          <w:trHeight w:val="41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Hereditary fructose intolerance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229600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ALDOB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Aldolase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oxygenase-1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614034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HMOX1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oxygenase-1</w:t>
            </w:r>
          </w:p>
        </w:tc>
      </w:tr>
      <w:tr w:rsidR="00C654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Hemophilia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 (factor 8 deficiency)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306700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F8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Coagulation factor 8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Hemophilia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 (factor 9 deficiency)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306900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F9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P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Coagulation factor 9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Neurodegeneration with brain iron accumulation 1/HARP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234200/607236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PANK2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Pantothenate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kinase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2 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Ichthyosis, congenital, AR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242300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TGM1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Transglutaminase-1</w:t>
            </w:r>
          </w:p>
        </w:tc>
      </w:tr>
      <w:tr w:rsidR="00794EB5" w:rsidTr="005B4146">
        <w:trPr>
          <w:trHeight w:val="53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Ichthyosis, congenital, AR 4A, 4B (harlequin)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601277/242500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ABCA12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BE5A18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 Binding Cassette Subfamily A, Member 12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Keratinocyte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protein)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Krabbe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E392C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Galactosylceramidase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sphingolipid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metabolism)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Meckel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Gruber syndrome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607361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TMEM67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E392C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Transmembrane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protein 67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Ciliogenesis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794EB5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Medium chain acyl CoA dehydrogenase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201450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ACADM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E392C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Acyl-CoA dehydrogenase, medium chain</w:t>
            </w:r>
            <w:r w:rsidR="00E00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(fatty acid </w:t>
            </w:r>
            <w:r w:rsidR="00E00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oxidation)</w:t>
            </w:r>
          </w:p>
        </w:tc>
      </w:tr>
      <w:tr w:rsidR="00794EB5" w:rsidTr="005B4146">
        <w:trPr>
          <w:trHeight w:val="32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51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Metachromatic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leukodystrophy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250100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ARSA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E00B0E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Arylsulfatase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 (lysosomal enzyme)</w:t>
            </w:r>
          </w:p>
        </w:tc>
      </w:tr>
      <w:tr w:rsidR="00794EB5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Mucopolysaccharidosis type 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607014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IDUA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E00B0E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Alpha-L-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Iduronidase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183C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(lysosomal enzyme)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Mucopolysaccharidosis type II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309900,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IDS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E00B0E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Iduronate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2-Sulfatase </w:t>
            </w:r>
            <w:r w:rsidR="00183C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(lysosomal enzyme)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Mucopolysaccharidosis type IVA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253000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GALNS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E00B0E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Galactosamine-6-Sulfate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Sulfatase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183C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(lysosomal enzyme)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Mucopolysaccharidosis type VI 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ARSB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83CDA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Arylsulfatase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 (lysosomal enzyme)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Maple syrup urine disease type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BCKDHA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83CDA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Branched chain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acid dehydrogenase E1, Alpha Polypeptide</w:t>
            </w:r>
          </w:p>
        </w:tc>
      </w:tr>
      <w:tr w:rsidR="00794EB5" w:rsidTr="005B4146">
        <w:trPr>
          <w:trHeight w:val="53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Maple syrup urine disease type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Ib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BCKDHB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83CDA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Branched chain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acid dehydrogenase E1, </w:t>
            </w:r>
            <w:r w:rsidR="004E2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Beta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Polypeptide</w:t>
            </w:r>
          </w:p>
        </w:tc>
      </w:tr>
      <w:tr w:rsidR="00794EB5" w:rsidTr="005B4146">
        <w:trPr>
          <w:trHeight w:val="53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Maple syrup urine disease type II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DBT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4E24D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Dihydrolipoamide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branched-chain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transacylase</w:t>
            </w:r>
            <w:proofErr w:type="spellEnd"/>
          </w:p>
        </w:tc>
      </w:tr>
      <w:tr w:rsidR="00794EB5" w:rsidTr="005B4146">
        <w:trPr>
          <w:trHeight w:val="53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251100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B94C7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MMAA (Cobalamin translocation)</w:t>
            </w:r>
          </w:p>
        </w:tc>
      </w:tr>
      <w:tr w:rsidR="00794EB5" w:rsidTr="005B4146">
        <w:trPr>
          <w:trHeight w:val="5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251110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B94C7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Cobalamin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Adenosyltransferase</w:t>
            </w:r>
            <w:proofErr w:type="spellEnd"/>
          </w:p>
        </w:tc>
      </w:tr>
      <w:tr w:rsidR="00794EB5" w:rsidTr="005B4146">
        <w:trPr>
          <w:trHeight w:val="5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277400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MMACHC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B94C7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Metabolism of Cobalamin associated C</w:t>
            </w:r>
          </w:p>
        </w:tc>
      </w:tr>
      <w:tr w:rsidR="00794EB5" w:rsidTr="005B4146">
        <w:trPr>
          <w:trHeight w:val="5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Megalencephalic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leukoencephalopathy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with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subcortical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cysts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604004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MLC1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B94C7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Modulator of VRAC Current 1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Astrocyte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junctions)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Nonketotic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hyperglycinemia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605899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GLDC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Glycine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decarboxylase</w:t>
            </w:r>
            <w:proofErr w:type="spellEnd"/>
          </w:p>
        </w:tc>
      </w:tr>
      <w:tr w:rsidR="00794EB5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Neuronal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ceroid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lipofuscinosis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256730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PPT1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Palmitoyl-Protein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Thioesterase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 (Metabolism of lipid modified proteins)</w:t>
            </w:r>
          </w:p>
        </w:tc>
      </w:tr>
      <w:tr w:rsidR="00794EB5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Neuronal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ceroid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lipofuscinosis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type 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TPP1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Tripeptidyl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Peptidase 1 (lysosomal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exopeptidase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794EB5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Neuronal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ceroid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lipofuscinosis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CLN3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Lysosomal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transmembrane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protein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A and 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257200/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607616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SMPD1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Sphingomyelin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phosphodiesterase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 (lysosomal enzyme)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68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C1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257220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NPC1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Intracellular cholesterol transporter 1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C2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607625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NPC2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Intracellular cholesterol transporter 2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Osteopetrosis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AR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259700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TCIRG1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 cell immune regulator 1</w:t>
            </w:r>
          </w:p>
        </w:tc>
      </w:tr>
      <w:tr w:rsidR="00794EB5" w:rsidTr="005B4146">
        <w:trPr>
          <w:trHeight w:val="40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Ornithine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transcarbamylase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311250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OTC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Ornithine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carbamoyltransferase</w:t>
            </w:r>
            <w:proofErr w:type="spellEnd"/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Phenylketonuria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261600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PAH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Phenylalanine hydroxylase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Propionicacidemia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606054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PCCA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carboxylase, Alpha subunit</w:t>
            </w:r>
          </w:p>
        </w:tc>
      </w:tr>
      <w:tr w:rsidR="00794EB5" w:rsidTr="005B4146">
        <w:trPr>
          <w:trHeight w:val="27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Propionicacidemia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606054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PCCB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Pr="006769B0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-CoA carboxylase, Beta subunit</w:t>
            </w:r>
          </w:p>
        </w:tc>
      </w:tr>
      <w:tr w:rsidR="00794EB5" w:rsidTr="005B4146">
        <w:trPr>
          <w:trHeight w:val="27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Polycystic kidney disease 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263200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PKHD1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Ciliary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IPT domain containing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fibrocystin</w:t>
            </w:r>
            <w:proofErr w:type="spellEnd"/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II (Pompe disease)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232300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Glucosidase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Alpha, Acid (lysosomal enzyme)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Pendred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274600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SLC26A4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Solute carrier family 26, Member 4 (vestibular aqueduct anion transporter)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Primary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hyperoxaluria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259900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AGXT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Alanine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glyoxylate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aminotransferase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(peroxisomal enzyme)</w:t>
            </w:r>
          </w:p>
        </w:tc>
      </w:tr>
      <w:tr w:rsidR="00794EB5" w:rsidTr="005B4146">
        <w:trPr>
          <w:trHeight w:val="7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Progressive familial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intrahepatic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cholestasis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211600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ATP8B1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Class I, Type 8B, Member 1</w:t>
            </w:r>
          </w:p>
        </w:tc>
      </w:tr>
      <w:tr w:rsidR="00794EB5" w:rsidTr="005B4146">
        <w:trPr>
          <w:trHeight w:val="44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Progressive familial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intrahepatic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cholestasis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type 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601847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ABCB11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 binding cassette, subfamily B, member 11</w:t>
            </w:r>
          </w:p>
        </w:tc>
      </w:tr>
      <w:tr w:rsidR="00794EB5" w:rsidTr="005B4146">
        <w:trPr>
          <w:trHeight w:val="44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Progressive familial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intrahepatic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cholestasis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602347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ABCB4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 binding cassette, subfamily B, member 4</w:t>
            </w:r>
          </w:p>
        </w:tc>
      </w:tr>
      <w:tr w:rsidR="00794EB5" w:rsidTr="005B4146">
        <w:trPr>
          <w:trHeight w:val="44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Smith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Lemli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Opitz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270400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DHCR7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7-dehydrocholesterol reductase</w:t>
            </w:r>
          </w:p>
        </w:tc>
      </w:tr>
      <w:tr w:rsidR="00794EB5" w:rsidTr="005B4146">
        <w:trPr>
          <w:trHeight w:val="40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Severe combined immunodeficiency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300400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IL2RG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Interleukin 2 receptor, Gamma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Severe combined immunodeficiency 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Adenosine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deaminase</w:t>
            </w:r>
            <w:proofErr w:type="spellEnd"/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85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Tyrosinemia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276700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FAH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Fumaryl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acetoacetate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hydrolase</w:t>
            </w:r>
            <w:proofErr w:type="spellEnd"/>
          </w:p>
        </w:tc>
      </w:tr>
      <w:tr w:rsidR="00794EB5" w:rsidTr="005B4146">
        <w:trPr>
          <w:trHeight w:val="3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Very long chain acyl CoA dehydrogenase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201475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ACADVL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Acyl-CoA Dehydrogenase, Very long chain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Wilson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277900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ATP7B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Copper transporting, Beta polypeptide</w:t>
            </w:r>
          </w:p>
        </w:tc>
      </w:tr>
      <w:tr w:rsidR="00794EB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Zellweger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214100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PEX1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Peroxisome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biogenesis factor 1</w:t>
            </w:r>
          </w:p>
        </w:tc>
      </w:tr>
    </w:tbl>
    <w:p w:rsidR="00982887" w:rsidRDefault="00982887" w:rsidP="00646F3D">
      <w:pPr>
        <w:jc w:val="center"/>
        <w:rPr>
          <w:rFonts w:ascii="Times New Roman" w:hAnsi="Times New Roman" w:cs="Times New Roman"/>
        </w:rPr>
      </w:pPr>
    </w:p>
    <w:p w:rsidR="005C5BA5" w:rsidRPr="00646F3D" w:rsidRDefault="00E9522D" w:rsidP="00646F3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table 2</w:t>
      </w:r>
      <w:r w:rsidR="00073170" w:rsidRPr="00646F3D">
        <w:rPr>
          <w:rFonts w:ascii="Times New Roman" w:hAnsi="Times New Roman" w:cs="Times New Roman"/>
        </w:rPr>
        <w:t>: Evidence of pathogenicity*</w:t>
      </w:r>
    </w:p>
    <w:tbl>
      <w:tblPr>
        <w:tblStyle w:val="TableGrid"/>
        <w:tblW w:w="0" w:type="auto"/>
        <w:tblLook w:val="04A0"/>
      </w:tblPr>
      <w:tblGrid>
        <w:gridCol w:w="1271"/>
        <w:gridCol w:w="1134"/>
        <w:gridCol w:w="6611"/>
      </w:tblGrid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Very strong</w:t>
            </w: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PVS1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Null variant (</w:t>
            </w:r>
            <w:proofErr w:type="spellStart"/>
            <w:r w:rsidRPr="00646F3D">
              <w:rPr>
                <w:rFonts w:ascii="Times New Roman" w:hAnsi="Times New Roman" w:cs="Times New Roman"/>
              </w:rPr>
              <w:t>nonsense,frameshift</w:t>
            </w:r>
            <w:proofErr w:type="spellEnd"/>
            <w:r w:rsidRPr="00646F3D">
              <w:rPr>
                <w:rFonts w:ascii="Times New Roman" w:hAnsi="Times New Roman" w:cs="Times New Roman"/>
              </w:rPr>
              <w:t xml:space="preserve">, canonical ±1 r splice site, initiation </w:t>
            </w:r>
            <w:proofErr w:type="spellStart"/>
            <w:r w:rsidRPr="00646F3D">
              <w:rPr>
                <w:rFonts w:ascii="Times New Roman" w:hAnsi="Times New Roman" w:cs="Times New Roman"/>
              </w:rPr>
              <w:t>codon</w:t>
            </w:r>
            <w:proofErr w:type="spellEnd"/>
            <w:r w:rsidRPr="00646F3D">
              <w:rPr>
                <w:rFonts w:ascii="Times New Roman" w:hAnsi="Times New Roman" w:cs="Times New Roman"/>
              </w:rPr>
              <w:t xml:space="preserve">, single or </w:t>
            </w:r>
            <w:proofErr w:type="spellStart"/>
            <w:r w:rsidRPr="00646F3D">
              <w:rPr>
                <w:rFonts w:ascii="Times New Roman" w:hAnsi="Times New Roman" w:cs="Times New Roman"/>
              </w:rPr>
              <w:t>multiexon</w:t>
            </w:r>
            <w:proofErr w:type="spellEnd"/>
            <w:r w:rsidRPr="00646F3D">
              <w:rPr>
                <w:rFonts w:ascii="Times New Roman" w:hAnsi="Times New Roman" w:cs="Times New Roman"/>
              </w:rPr>
              <w:t xml:space="preserve"> deletion) in a gene where LF is a known mechanism of disease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Strong</w:t>
            </w: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PS1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Same amino acid change as a previously established pathogenic variant regardless of nucleotide</w:t>
            </w:r>
            <w:r w:rsidR="00646F3D" w:rsidRPr="00646F3D">
              <w:rPr>
                <w:rFonts w:ascii="Times New Roman" w:hAnsi="Times New Roman" w:cs="Times New Roman"/>
              </w:rPr>
              <w:t xml:space="preserve"> </w:t>
            </w:r>
            <w:r w:rsidRPr="00646F3D">
              <w:rPr>
                <w:rFonts w:ascii="Times New Roman" w:hAnsi="Times New Roman" w:cs="Times New Roman"/>
              </w:rPr>
              <w:t>change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PS2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De novo (both maternity and paternity confirmed) in a patient with the disease and no family history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PS3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Well-established in vitro or in vivo functional studies supportive of a damaging effect on the gene or gene product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PS4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The prevalence of the variant in affected individuals is significantly increased compared with the prevalence in controls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PM1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Located in a mutational hot spot and/or critical and well-established functional domain (e.g., active site of an enzyme) without benign variation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PM2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 w:rsidRPr="00646F3D">
              <w:rPr>
                <w:rFonts w:ascii="Times New Roman" w:hAnsi="Times New Roman" w:cs="Times New Roman"/>
                <w:color w:val="000000"/>
              </w:rPr>
              <w:t>Absent from controls (or at extremely low frequency if recessive) in Exome Sequencing Project, 1000 Genomes Project, or Exome Aggregation Consortium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PM3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 xml:space="preserve">For recessive disorders, detected in </w:t>
            </w:r>
            <w:r w:rsidRPr="00646F3D">
              <w:rPr>
                <w:rFonts w:ascii="Times New Roman" w:hAnsi="Times New Roman" w:cs="Times New Roman"/>
                <w:i/>
                <w:iCs/>
              </w:rPr>
              <w:t xml:space="preserve">trans </w:t>
            </w:r>
            <w:r w:rsidRPr="00646F3D">
              <w:rPr>
                <w:rFonts w:ascii="Times New Roman" w:hAnsi="Times New Roman" w:cs="Times New Roman"/>
              </w:rPr>
              <w:t>with a pathogenic variant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PM4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 xml:space="preserve">Protein length changes as a result of in-frame deletions/insertions in a </w:t>
            </w:r>
            <w:proofErr w:type="spellStart"/>
            <w:r w:rsidRPr="00646F3D">
              <w:rPr>
                <w:rFonts w:ascii="Times New Roman" w:hAnsi="Times New Roman" w:cs="Times New Roman"/>
              </w:rPr>
              <w:t>nonrepeat</w:t>
            </w:r>
            <w:proofErr w:type="spellEnd"/>
            <w:r w:rsidRPr="00646F3D">
              <w:rPr>
                <w:rFonts w:ascii="Times New Roman" w:hAnsi="Times New Roman" w:cs="Times New Roman"/>
              </w:rPr>
              <w:t xml:space="preserve"> region or stop-loss variants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PM5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Novel missense change at an amino acid residue where a different missense change determined to be pathogenic has been seen before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PM6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Assumed de novo, but without confirmation of paternity and maternity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Supporting</w:t>
            </w: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PP1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Co</w:t>
            </w:r>
            <w:r w:rsidR="00E54B9C">
              <w:rPr>
                <w:rFonts w:ascii="Times New Roman" w:hAnsi="Times New Roman" w:cs="Times New Roman"/>
              </w:rPr>
              <w:t>-</w:t>
            </w:r>
            <w:r w:rsidRPr="00646F3D">
              <w:rPr>
                <w:rFonts w:ascii="Times New Roman" w:hAnsi="Times New Roman" w:cs="Times New Roman"/>
              </w:rPr>
              <w:t>segregation with disease in multiple affected family members in a gene definitively known to cause the disease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PP2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Missense variant in a gene that has a low rate of benign missense variation and in which missense variants are a common mechanism of disease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PP3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Multiple lines of computational evidence support a deleterious effect on the gene or gene product (conservation, evolutionary, splicing impact, etc.)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PP4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Patient’s phenotype or family history is highly specific for a disease with a single genetic etiology</w:t>
            </w:r>
          </w:p>
        </w:tc>
      </w:tr>
      <w:tr w:rsidR="00073170" w:rsidRPr="00646F3D" w:rsidTr="00073170">
        <w:tc>
          <w:tcPr>
            <w:tcW w:w="1271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73170" w:rsidRPr="00646F3D" w:rsidRDefault="00073170" w:rsidP="00646F3D">
            <w:pPr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PP5</w:t>
            </w:r>
          </w:p>
        </w:tc>
        <w:tc>
          <w:tcPr>
            <w:tcW w:w="6611" w:type="dxa"/>
          </w:tcPr>
          <w:p w:rsidR="00073170" w:rsidRPr="00646F3D" w:rsidRDefault="00073170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646F3D">
              <w:rPr>
                <w:rFonts w:ascii="Times New Roman" w:hAnsi="Times New Roman" w:cs="Times New Roman"/>
              </w:rPr>
              <w:t>Reputable source recently reports variant as pathogenic, but the evidence is not available to the laboratory to perform an independent evaluation</w:t>
            </w:r>
          </w:p>
        </w:tc>
      </w:tr>
    </w:tbl>
    <w:p w:rsidR="00073170" w:rsidRDefault="00646F3D" w:rsidP="00646F3D">
      <w:pPr>
        <w:rPr>
          <w:rFonts w:ascii="Times New Roman" w:hAnsi="Times New Roman" w:cs="Times New Roman"/>
        </w:rPr>
      </w:pPr>
      <w:r w:rsidRPr="00E54B9C">
        <w:rPr>
          <w:rFonts w:ascii="Times New Roman" w:hAnsi="Times New Roman" w:cs="Times New Roman"/>
        </w:rPr>
        <w:t>*ACMG standards and guidelines on interpretation of sequence variants, 2015</w:t>
      </w:r>
      <w:r w:rsidR="00E9522D">
        <w:rPr>
          <w:rFonts w:ascii="Times New Roman" w:hAnsi="Times New Roman" w:cs="Times New Roman"/>
        </w:rPr>
        <w:t xml:space="preserve"> [</w:t>
      </w:r>
      <w:r w:rsidR="00FF487B">
        <w:rPr>
          <w:rFonts w:ascii="Times New Roman" w:hAnsi="Times New Roman" w:cs="Times New Roman"/>
        </w:rPr>
        <w:t>5</w:t>
      </w:r>
      <w:r w:rsidR="00625F5D">
        <w:rPr>
          <w:rFonts w:ascii="Times New Roman" w:hAnsi="Times New Roman" w:cs="Times New Roman"/>
        </w:rPr>
        <w:t>1</w:t>
      </w:r>
      <w:bookmarkStart w:id="0" w:name="_GoBack"/>
      <w:bookmarkEnd w:id="0"/>
      <w:r w:rsidR="00E9522D">
        <w:rPr>
          <w:rFonts w:ascii="Times New Roman" w:hAnsi="Times New Roman" w:cs="Times New Roman"/>
        </w:rPr>
        <w:t>]</w:t>
      </w:r>
    </w:p>
    <w:p w:rsidR="00982887" w:rsidRPr="00E54B9C" w:rsidRDefault="00982887" w:rsidP="00646F3D">
      <w:pPr>
        <w:rPr>
          <w:rFonts w:ascii="Times New Roman" w:hAnsi="Times New Roman" w:cs="Times New Roman"/>
        </w:rPr>
      </w:pPr>
    </w:p>
    <w:p w:rsidR="00646F3D" w:rsidRPr="00E54B9C" w:rsidRDefault="00E9522D" w:rsidP="00646F3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table 3</w:t>
      </w:r>
      <w:r w:rsidR="00646F3D" w:rsidRPr="00E54B9C">
        <w:rPr>
          <w:rFonts w:ascii="Times New Roman" w:hAnsi="Times New Roman" w:cs="Times New Roman"/>
        </w:rPr>
        <w:t>: Classification of pathogenic and likely pathogenic variants*</w:t>
      </w:r>
    </w:p>
    <w:tbl>
      <w:tblPr>
        <w:tblStyle w:val="TableGrid"/>
        <w:tblW w:w="0" w:type="auto"/>
        <w:tblLook w:val="04A0"/>
      </w:tblPr>
      <w:tblGrid>
        <w:gridCol w:w="1838"/>
        <w:gridCol w:w="7178"/>
      </w:tblGrid>
      <w:tr w:rsidR="00646F3D" w:rsidRPr="00E54B9C" w:rsidTr="00646F3D">
        <w:tc>
          <w:tcPr>
            <w:tcW w:w="1838" w:type="dxa"/>
          </w:tcPr>
          <w:p w:rsidR="00646F3D" w:rsidRPr="00E54B9C" w:rsidRDefault="00646F3D" w:rsidP="00646F3D">
            <w:pPr>
              <w:jc w:val="center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Pathogenic</w:t>
            </w:r>
          </w:p>
        </w:tc>
        <w:tc>
          <w:tcPr>
            <w:tcW w:w="7178" w:type="dxa"/>
          </w:tcPr>
          <w:p w:rsidR="00646F3D" w:rsidRPr="00E54B9C" w:rsidRDefault="00646F3D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>(</w:t>
            </w:r>
            <w:proofErr w:type="spellStart"/>
            <w:r w:rsidRPr="00E54B9C">
              <w:rPr>
                <w:rFonts w:ascii="Times New Roman" w:hAnsi="Times New Roman" w:cs="Times New Roman"/>
              </w:rPr>
              <w:t>i</w:t>
            </w:r>
            <w:proofErr w:type="spellEnd"/>
            <w:r w:rsidRPr="00E54B9C">
              <w:rPr>
                <w:rFonts w:ascii="Times New Roman" w:hAnsi="Times New Roman" w:cs="Times New Roman"/>
              </w:rPr>
              <w:t xml:space="preserve">) 1 Very strong (PVS1)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AND</w:t>
            </w:r>
          </w:p>
          <w:p w:rsidR="00646F3D" w:rsidRPr="00E54B9C" w:rsidRDefault="00646F3D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(a) ≥1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:rsidR="00646F3D" w:rsidRPr="00E54B9C" w:rsidRDefault="00646F3D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(b) ≥2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:rsidR="00646F3D" w:rsidRPr="00E54B9C" w:rsidRDefault="00646F3D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(c) 1 Moderate (PM1–PM6) and 1 supporting</w:t>
            </w:r>
            <w:r w:rsidR="00E54B9C">
              <w:rPr>
                <w:rFonts w:ascii="Times New Roman" w:hAnsi="Times New Roman" w:cs="Times New Roman"/>
              </w:rPr>
              <w:t xml:space="preserve"> </w:t>
            </w:r>
            <w:r w:rsidRPr="00E54B9C">
              <w:rPr>
                <w:rFonts w:ascii="Times New Roman" w:hAnsi="Times New Roman" w:cs="Times New Roman"/>
              </w:rPr>
              <w:t xml:space="preserve">(PP1–PP5)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:rsidR="00646F3D" w:rsidRPr="00E54B9C" w:rsidRDefault="00646F3D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(d) ≥2 Supporting (PP1–PP5)</w:t>
            </w:r>
          </w:p>
        </w:tc>
      </w:tr>
      <w:tr w:rsidR="00E54B9C" w:rsidRPr="00E54B9C" w:rsidTr="00646F3D">
        <w:tc>
          <w:tcPr>
            <w:tcW w:w="1838" w:type="dxa"/>
          </w:tcPr>
          <w:p w:rsidR="00E54B9C" w:rsidRPr="00E54B9C" w:rsidRDefault="00E54B9C" w:rsidP="00646F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:rsidR="00E54B9C" w:rsidRPr="00E54B9C" w:rsidRDefault="00E54B9C" w:rsidP="00646F3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(ii) ≥2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E54B9C" w:rsidRPr="00E54B9C" w:rsidTr="00646F3D">
        <w:tc>
          <w:tcPr>
            <w:tcW w:w="1838" w:type="dxa"/>
          </w:tcPr>
          <w:p w:rsidR="00E54B9C" w:rsidRPr="00E54B9C" w:rsidRDefault="00E54B9C" w:rsidP="00646F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:rsidR="00E54B9C" w:rsidRPr="00E54B9C" w:rsidRDefault="00E54B9C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(iii) 1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AND</w:t>
            </w:r>
          </w:p>
          <w:p w:rsidR="00E54B9C" w:rsidRPr="00E54B9C" w:rsidRDefault="00E54B9C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E54B9C">
              <w:rPr>
                <w:rFonts w:ascii="Times New Roman" w:hAnsi="Times New Roman" w:cs="Times New Roman"/>
              </w:rPr>
              <w:t xml:space="preserve">(a)≥3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:rsidR="00E54B9C" w:rsidRPr="00E54B9C" w:rsidRDefault="00E54B9C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(b)2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>≥2</w:t>
            </w:r>
            <w:r>
              <w:rPr>
                <w:rFonts w:ascii="Times New Roman" w:hAnsi="Times New Roman" w:cs="Times New Roman"/>
              </w:rPr>
              <w:t xml:space="preserve"> s</w:t>
            </w:r>
            <w:r w:rsidRPr="00E54B9C">
              <w:rPr>
                <w:rFonts w:ascii="Times New Roman" w:hAnsi="Times New Roman" w:cs="Times New Roman"/>
              </w:rPr>
              <w:t xml:space="preserve">upporting (PP1–PP5)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  <w:p w:rsidR="00E54B9C" w:rsidRPr="00E54B9C" w:rsidRDefault="00E54B9C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(c)1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>≥4 supporting (PP1–PP5)</w:t>
            </w:r>
          </w:p>
        </w:tc>
      </w:tr>
      <w:tr w:rsidR="00646F3D" w:rsidRPr="00E54B9C" w:rsidTr="00646F3D">
        <w:tc>
          <w:tcPr>
            <w:tcW w:w="1838" w:type="dxa"/>
          </w:tcPr>
          <w:p w:rsidR="00646F3D" w:rsidRPr="00E54B9C" w:rsidRDefault="00646F3D" w:rsidP="00646F3D">
            <w:pPr>
              <w:jc w:val="center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Likely pathogenic</w:t>
            </w:r>
          </w:p>
        </w:tc>
        <w:tc>
          <w:tcPr>
            <w:tcW w:w="7178" w:type="dxa"/>
          </w:tcPr>
          <w:p w:rsidR="00646F3D" w:rsidRPr="00E54B9C" w:rsidRDefault="00646F3D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>(</w:t>
            </w:r>
            <w:proofErr w:type="spellStart"/>
            <w:r w:rsidRPr="00E54B9C">
              <w:rPr>
                <w:rFonts w:ascii="Times New Roman" w:hAnsi="Times New Roman" w:cs="Times New Roman"/>
              </w:rPr>
              <w:t>i</w:t>
            </w:r>
            <w:proofErr w:type="spellEnd"/>
            <w:r w:rsidRPr="00E54B9C">
              <w:rPr>
                <w:rFonts w:ascii="Times New Roman" w:hAnsi="Times New Roman" w:cs="Times New Roman"/>
              </w:rPr>
              <w:t xml:space="preserve">) 1 Very strong (PVS1)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 xml:space="preserve">1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646F3D" w:rsidRPr="00E54B9C" w:rsidTr="00646F3D">
        <w:tc>
          <w:tcPr>
            <w:tcW w:w="1838" w:type="dxa"/>
          </w:tcPr>
          <w:p w:rsidR="00646F3D" w:rsidRPr="00E54B9C" w:rsidRDefault="00646F3D" w:rsidP="00646F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:rsidR="00646F3D" w:rsidRPr="00E54B9C" w:rsidRDefault="00E54B9C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(ii) 1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 xml:space="preserve">1–2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646F3D" w:rsidRPr="00E54B9C" w:rsidTr="00646F3D">
        <w:tc>
          <w:tcPr>
            <w:tcW w:w="1838" w:type="dxa"/>
          </w:tcPr>
          <w:p w:rsidR="00646F3D" w:rsidRPr="00E54B9C" w:rsidRDefault="00646F3D" w:rsidP="00646F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:rsidR="00646F3D" w:rsidRPr="00E54B9C" w:rsidRDefault="00E54B9C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(iii) 1 Strong (PS1–PS4)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 xml:space="preserve">≥2 supporting (PP1–PP5)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646F3D" w:rsidRPr="00E54B9C" w:rsidTr="00646F3D">
        <w:tc>
          <w:tcPr>
            <w:tcW w:w="1838" w:type="dxa"/>
          </w:tcPr>
          <w:p w:rsidR="00646F3D" w:rsidRPr="00E54B9C" w:rsidRDefault="00646F3D" w:rsidP="00646F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:rsidR="00646F3D" w:rsidRPr="00E54B9C" w:rsidRDefault="00E54B9C" w:rsidP="00E54B9C">
            <w:pPr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(iv) ≥3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646F3D" w:rsidRPr="00E54B9C" w:rsidTr="00646F3D">
        <w:tc>
          <w:tcPr>
            <w:tcW w:w="1838" w:type="dxa"/>
          </w:tcPr>
          <w:p w:rsidR="00646F3D" w:rsidRPr="00E54B9C" w:rsidRDefault="00646F3D" w:rsidP="00646F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:rsidR="00646F3D" w:rsidRPr="00E54B9C" w:rsidRDefault="00E54B9C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(v) 2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 xml:space="preserve">≥2 supporting (PP1–PP5)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>OR</w:t>
            </w:r>
          </w:p>
        </w:tc>
      </w:tr>
      <w:tr w:rsidR="00646F3D" w:rsidRPr="00E54B9C" w:rsidTr="00646F3D">
        <w:tc>
          <w:tcPr>
            <w:tcW w:w="1838" w:type="dxa"/>
          </w:tcPr>
          <w:p w:rsidR="00646F3D" w:rsidRPr="00E54B9C" w:rsidRDefault="00646F3D" w:rsidP="00646F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8" w:type="dxa"/>
          </w:tcPr>
          <w:p w:rsidR="00646F3D" w:rsidRPr="00E54B9C" w:rsidRDefault="00E54B9C" w:rsidP="00E54B9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E54B9C">
              <w:rPr>
                <w:rFonts w:ascii="Times New Roman" w:hAnsi="Times New Roman" w:cs="Times New Roman"/>
              </w:rPr>
              <w:t xml:space="preserve">(vi) 1 Moderate (PM1–PM6) </w:t>
            </w:r>
            <w:r w:rsidRPr="00E54B9C">
              <w:rPr>
                <w:rFonts w:ascii="Times New Roman" w:hAnsi="Times New Roman" w:cs="Times New Roman"/>
                <w:i/>
                <w:iCs/>
              </w:rPr>
              <w:t xml:space="preserve">AND </w:t>
            </w:r>
            <w:r w:rsidRPr="00E54B9C">
              <w:rPr>
                <w:rFonts w:ascii="Times New Roman" w:hAnsi="Times New Roman" w:cs="Times New Roman"/>
              </w:rPr>
              <w:t>≥4 supporting (PP1–PP5)</w:t>
            </w:r>
          </w:p>
        </w:tc>
      </w:tr>
    </w:tbl>
    <w:p w:rsidR="00646F3D" w:rsidRDefault="00E54B9C" w:rsidP="00E54B9C">
      <w:r w:rsidRPr="00E54B9C">
        <w:rPr>
          <w:rFonts w:ascii="Times New Roman" w:hAnsi="Times New Roman" w:cs="Times New Roman"/>
        </w:rPr>
        <w:t>*ACMG standards and guidelines on interpretation of sequence variants, 2015</w:t>
      </w:r>
      <w:r w:rsidR="00E9522D">
        <w:rPr>
          <w:rFonts w:ascii="Times New Roman" w:hAnsi="Times New Roman" w:cs="Times New Roman"/>
        </w:rPr>
        <w:t xml:space="preserve"> [</w:t>
      </w:r>
      <w:r w:rsidR="00FF487B">
        <w:rPr>
          <w:rFonts w:ascii="Times New Roman" w:hAnsi="Times New Roman" w:cs="Times New Roman"/>
        </w:rPr>
        <w:t>5</w:t>
      </w:r>
      <w:r w:rsidR="00625F5D">
        <w:rPr>
          <w:rFonts w:ascii="Times New Roman" w:hAnsi="Times New Roman" w:cs="Times New Roman"/>
        </w:rPr>
        <w:t>1</w:t>
      </w:r>
      <w:r w:rsidR="00E9522D">
        <w:rPr>
          <w:rFonts w:ascii="Times New Roman" w:hAnsi="Times New Roman" w:cs="Times New Roman"/>
        </w:rPr>
        <w:t>]</w:t>
      </w:r>
    </w:p>
    <w:sectPr w:rsidR="00646F3D" w:rsidSect="00797C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C5BA5"/>
    <w:rsid w:val="00073170"/>
    <w:rsid w:val="00104D6B"/>
    <w:rsid w:val="0011664C"/>
    <w:rsid w:val="0012097C"/>
    <w:rsid w:val="00183CDA"/>
    <w:rsid w:val="001D06B7"/>
    <w:rsid w:val="003D7F09"/>
    <w:rsid w:val="004B121D"/>
    <w:rsid w:val="004E24D0"/>
    <w:rsid w:val="005B4146"/>
    <w:rsid w:val="005C5BA5"/>
    <w:rsid w:val="00625F5D"/>
    <w:rsid w:val="00646F3D"/>
    <w:rsid w:val="006769B0"/>
    <w:rsid w:val="006E0DE6"/>
    <w:rsid w:val="00794EB5"/>
    <w:rsid w:val="00797C3B"/>
    <w:rsid w:val="007D2B92"/>
    <w:rsid w:val="007E392C"/>
    <w:rsid w:val="00982887"/>
    <w:rsid w:val="009832B1"/>
    <w:rsid w:val="00B94C70"/>
    <w:rsid w:val="00BD7BD8"/>
    <w:rsid w:val="00BE02BA"/>
    <w:rsid w:val="00BE5A18"/>
    <w:rsid w:val="00C6549D"/>
    <w:rsid w:val="00E00B0E"/>
    <w:rsid w:val="00E54B9C"/>
    <w:rsid w:val="00E9522D"/>
    <w:rsid w:val="00FF4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097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31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6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1667</Words>
  <Characters>9507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Sunita Bijarnia</dc:creator>
  <cp:lastModifiedBy>gaa0241</cp:lastModifiedBy>
  <cp:revision>2</cp:revision>
  <dcterms:created xsi:type="dcterms:W3CDTF">2020-08-25T06:21:00Z</dcterms:created>
  <dcterms:modified xsi:type="dcterms:W3CDTF">2020-08-25T06:21:00Z</dcterms:modified>
</cp:coreProperties>
</file>