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kinsoku/>
        <w:autoSpaceDE/>
        <w:autoSpaceDN/>
        <w:adjustRightInd/>
        <w:snapToGrid/>
        <w:spacing w:line="480" w:lineRule="auto"/>
        <w:jc w:val="both"/>
        <w:textAlignment w:val="auto"/>
        <w:rPr>
          <w:rFonts w:ascii="Calibri" w:hAnsi="Calibri" w:eastAsia="黑体" w:cs="Calibri"/>
          <w:bCs/>
          <w:snapToGrid/>
          <w:color w:val="000000"/>
          <w:kern w:val="2"/>
          <w:sz w:val="24"/>
          <w:szCs w:val="24"/>
        </w:rPr>
      </w:pPr>
      <w:r>
        <w:rPr>
          <w:rFonts w:hint="eastAsia" w:ascii="Calibri" w:hAnsi="Calibri" w:eastAsia="黑体" w:cs="Calibri"/>
          <w:b/>
          <w:snapToGrid/>
          <w:color w:val="auto"/>
          <w:kern w:val="2"/>
          <w:sz w:val="24"/>
          <w:szCs w:val="24"/>
        </w:rPr>
        <w:t>Additional file 1: Supplementary Fig</w:t>
      </w:r>
      <w:r>
        <w:rPr>
          <w:rFonts w:hint="eastAsia" w:ascii="Calibri" w:hAnsi="Calibri" w:eastAsia="黑体" w:cs="Calibri"/>
          <w:b/>
          <w:snapToGrid/>
          <w:color w:val="auto"/>
          <w:kern w:val="2"/>
          <w:sz w:val="24"/>
          <w:szCs w:val="24"/>
          <w:lang w:val="en-US" w:eastAsia="zh-CN"/>
        </w:rPr>
        <w:t>ure</w:t>
      </w:r>
      <w:r>
        <w:rPr>
          <w:rFonts w:hint="eastAsia" w:ascii="Calibri" w:hAnsi="Calibri" w:eastAsia="黑体" w:cs="Calibri"/>
          <w:b/>
          <w:snapToGrid/>
          <w:color w:val="auto"/>
          <w:kern w:val="2"/>
          <w:sz w:val="24"/>
          <w:szCs w:val="24"/>
        </w:rPr>
        <w:t xml:space="preserve"> S1.</w:t>
      </w:r>
      <w:r>
        <w:rPr>
          <w:rFonts w:ascii="Times New Roman" w:hAnsi="Times New Roman" w:eastAsia="黑体" w:cs="Times New Roman"/>
          <w:bCs/>
          <w:snapToGrid/>
          <w:color w:val="000000"/>
          <w:kern w:val="2"/>
          <w:szCs w:val="21"/>
        </w:rPr>
        <w:t xml:space="preserve"> Expression of BARX2 in normal tissues and cancer cell lines. (A) BARX2 expression in normal tissues, analyzed by GTEx portal; (B) BARX2 expression in cancer cell lines analyzed by CCLE.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480" w:lineRule="auto"/>
        <w:jc w:val="left"/>
        <w:textAlignment w:val="baseline"/>
        <w:rPr>
          <w:rFonts w:ascii="Arial" w:hAnsi="Arial" w:eastAsia="黑体" w:cs="Calibri"/>
          <w:bCs/>
          <w:snapToGrid w:val="0"/>
          <w:color w:val="000000"/>
          <w:kern w:val="0"/>
          <w:sz w:val="24"/>
          <w:szCs w:val="21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480" w:lineRule="auto"/>
        <w:jc w:val="left"/>
        <w:textAlignment w:val="baseline"/>
        <w:rPr>
          <w:rFonts w:ascii="Arial" w:hAnsi="Arial" w:eastAsia="黑体" w:cs="Calibri"/>
          <w:bCs/>
          <w:snapToGrid w:val="0"/>
          <w:color w:val="000000"/>
          <w:kern w:val="0"/>
          <w:sz w:val="24"/>
          <w:szCs w:val="21"/>
        </w:rPr>
      </w:pPr>
    </w:p>
    <w:p>
      <w:pPr>
        <w:widowControl w:val="0"/>
        <w:kinsoku/>
        <w:autoSpaceDE/>
        <w:autoSpaceDN/>
        <w:adjustRightInd/>
        <w:snapToGrid/>
        <w:spacing w:line="480" w:lineRule="auto"/>
        <w:jc w:val="both"/>
        <w:textAlignment w:val="auto"/>
        <w:rPr>
          <w:rFonts w:ascii="Times New Roman" w:hAnsi="Times New Roman" w:eastAsia="黑体" w:cs="Times New Roman"/>
          <w:bCs/>
          <w:snapToGrid/>
          <w:color w:val="000000"/>
          <w:kern w:val="2"/>
          <w:szCs w:val="21"/>
        </w:rPr>
      </w:pPr>
      <w:r>
        <w:rPr>
          <w:rFonts w:hint="eastAsia" w:ascii="Calibri" w:hAnsi="Calibri" w:eastAsia="黑体" w:cs="Calibri"/>
          <w:b/>
          <w:snapToGrid/>
          <w:color w:val="auto"/>
          <w:kern w:val="2"/>
          <w:sz w:val="24"/>
          <w:szCs w:val="24"/>
        </w:rPr>
        <w:t>Additional file 2: Supplementary Figure S2.</w:t>
      </w:r>
      <w:r>
        <w:rPr>
          <w:rFonts w:ascii="Times New Roman" w:hAnsi="Times New Roman" w:eastAsia="黑体" w:cs="Times New Roman"/>
          <w:bCs/>
          <w:snapToGrid/>
          <w:color w:val="000000"/>
          <w:kern w:val="2"/>
          <w:szCs w:val="21"/>
        </w:rPr>
        <w:t xml:space="preserve"> Epigenetic alterations of BARX2 in LIHC. (A) The exact location of the CpG locus in the BARX2 gene body was obtained from the UCSC database.</w:t>
      </w:r>
    </w:p>
    <w:p>
      <w:pPr>
        <w:widowControl w:val="0"/>
        <w:kinsoku/>
        <w:autoSpaceDE/>
        <w:autoSpaceDN/>
        <w:adjustRightInd/>
        <w:snapToGrid/>
        <w:spacing w:line="480" w:lineRule="auto"/>
        <w:jc w:val="both"/>
        <w:textAlignment w:val="auto"/>
        <w:rPr>
          <w:rFonts w:ascii="Times New Roman" w:hAnsi="Times New Roman" w:eastAsia="黑体" w:cs="Times New Roman"/>
          <w:bCs/>
          <w:snapToGrid/>
          <w:color w:val="000000"/>
          <w:kern w:val="2"/>
          <w:szCs w:val="21"/>
        </w:rPr>
      </w:pPr>
    </w:p>
    <w:p>
      <w:pPr>
        <w:widowControl w:val="0"/>
        <w:kinsoku/>
        <w:autoSpaceDE/>
        <w:autoSpaceDN/>
        <w:adjustRightInd/>
        <w:snapToGrid/>
        <w:spacing w:line="480" w:lineRule="auto"/>
        <w:jc w:val="both"/>
        <w:textAlignment w:val="auto"/>
        <w:rPr>
          <w:rFonts w:ascii="Times New Roman" w:hAnsi="Times New Roman" w:eastAsia="黑体" w:cs="Times New Roman"/>
          <w:bCs/>
          <w:snapToGrid/>
          <w:color w:val="000000"/>
          <w:kern w:val="2"/>
          <w:szCs w:val="21"/>
        </w:rPr>
      </w:pPr>
    </w:p>
    <w:p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Calibri" w:hAnsi="Calibri" w:eastAsia="黑体" w:cs="Calibri"/>
          <w:bCs/>
          <w:snapToGrid/>
          <w:color w:val="auto"/>
          <w:kern w:val="2"/>
          <w:sz w:val="24"/>
          <w:szCs w:val="24"/>
        </w:rPr>
      </w:pPr>
      <w:r>
        <w:rPr>
          <w:rFonts w:hint="eastAsia" w:ascii="Calibri" w:hAnsi="Calibri" w:eastAsia="黑体" w:cs="Calibri"/>
          <w:b/>
          <w:snapToGrid/>
          <w:color w:val="auto"/>
          <w:kern w:val="2"/>
          <w:sz w:val="24"/>
          <w:szCs w:val="24"/>
        </w:rPr>
        <w:t xml:space="preserve">Additional file 3: Supplementary Figure S3. </w:t>
      </w:r>
      <w:r>
        <w:rPr>
          <w:rFonts w:hint="eastAsia" w:ascii="Calibri" w:hAnsi="Calibri" w:eastAsia="黑体" w:cs="Calibri"/>
          <w:bCs/>
          <w:snapToGrid/>
          <w:color w:val="auto"/>
          <w:kern w:val="2"/>
          <w:sz w:val="24"/>
          <w:szCs w:val="24"/>
        </w:rPr>
        <w:t>Prognostic value of hub genes for OS in LIHC patients.</w:t>
      </w:r>
    </w:p>
    <w:p>
      <w:pPr>
        <w:widowControl w:val="0"/>
        <w:kinsoku/>
        <w:autoSpaceDE/>
        <w:autoSpaceDN/>
        <w:adjustRightInd/>
        <w:snapToGrid/>
        <w:spacing w:line="480" w:lineRule="auto"/>
        <w:jc w:val="both"/>
        <w:textAlignment w:val="auto"/>
        <w:rPr>
          <w:rFonts w:ascii="Times New Roman" w:hAnsi="Times New Roman" w:eastAsia="黑体" w:cs="Times New Roman"/>
          <w:bCs/>
          <w:snapToGrid/>
          <w:color w:val="000000"/>
          <w:kern w:val="2"/>
          <w:szCs w:val="21"/>
        </w:rPr>
      </w:pPr>
      <w:bookmarkStart w:id="0" w:name="_GoBack"/>
      <w:bookmarkEnd w:id="0"/>
      <w:r>
        <w:rPr>
          <w:rFonts w:hint="eastAsia" w:ascii="Calibri" w:hAnsi="Calibri" w:eastAsia="黑体" w:cs="Calibri"/>
          <w:b/>
          <w:snapToGrid/>
          <w:color w:val="auto"/>
          <w:kern w:val="2"/>
          <w:sz w:val="24"/>
          <w:szCs w:val="24"/>
        </w:rPr>
        <w:t>Supplementary Table S1.</w:t>
      </w:r>
      <w:r>
        <w:rPr>
          <w:rFonts w:ascii="Times New Roman" w:hAnsi="Times New Roman" w:eastAsia="黑体" w:cs="Times New Roman"/>
          <w:bCs/>
          <w:snapToGrid/>
          <w:color w:val="000000"/>
          <w:kern w:val="2"/>
          <w:szCs w:val="21"/>
        </w:rPr>
        <w:t xml:space="preserve"> The co‑expressed genes associated with BARX2 expression in LIHC.</w:t>
      </w:r>
    </w:p>
    <w:p>
      <w:pPr>
        <w:widowControl w:val="0"/>
        <w:kinsoku/>
        <w:autoSpaceDE/>
        <w:autoSpaceDN/>
        <w:adjustRightInd/>
        <w:snapToGrid/>
        <w:spacing w:line="480" w:lineRule="auto"/>
        <w:jc w:val="both"/>
        <w:textAlignment w:val="auto"/>
        <w:rPr>
          <w:rFonts w:ascii="Times New Roman" w:hAnsi="Times New Roman" w:eastAsia="黑体" w:cs="Times New Roman"/>
          <w:bCs/>
          <w:snapToGrid/>
          <w:color w:val="000000"/>
          <w:kern w:val="2"/>
          <w:szCs w:val="21"/>
        </w:rPr>
      </w:pPr>
      <w:r>
        <w:rPr>
          <w:rFonts w:hint="eastAsia" w:ascii="Calibri" w:hAnsi="Calibri" w:eastAsia="黑体" w:cs="Calibri"/>
          <w:b/>
          <w:snapToGrid/>
          <w:color w:val="auto"/>
          <w:kern w:val="2"/>
          <w:sz w:val="24"/>
          <w:szCs w:val="24"/>
        </w:rPr>
        <w:t>Supplementary Table S2.</w:t>
      </w:r>
      <w:r>
        <w:rPr>
          <w:rFonts w:ascii="Times New Roman" w:hAnsi="Times New Roman" w:eastAsia="黑体" w:cs="Times New Roman"/>
          <w:bCs/>
          <w:snapToGrid/>
          <w:color w:val="000000"/>
          <w:kern w:val="2"/>
          <w:szCs w:val="21"/>
        </w:rPr>
        <w:t xml:space="preserve"> The differentially expressed genes between the BARX2high and BARX2low group of LIHC patients.</w:t>
      </w:r>
    </w:p>
    <w:p>
      <w:pPr>
        <w:widowControl w:val="0"/>
        <w:kinsoku/>
        <w:autoSpaceDE/>
        <w:autoSpaceDN/>
        <w:adjustRightInd/>
        <w:snapToGrid/>
        <w:spacing w:line="480" w:lineRule="auto"/>
        <w:jc w:val="both"/>
        <w:textAlignment w:val="auto"/>
        <w:rPr>
          <w:rFonts w:ascii="Times New Roman" w:hAnsi="Times New Roman" w:eastAsia="黑体" w:cs="Times New Roman"/>
          <w:bCs/>
          <w:snapToGrid/>
          <w:color w:val="000000"/>
          <w:kern w:val="2"/>
          <w:szCs w:val="21"/>
        </w:rPr>
      </w:pPr>
      <w:r>
        <w:rPr>
          <w:rFonts w:hint="eastAsia" w:ascii="Calibri" w:hAnsi="Calibri" w:eastAsia="黑体" w:cs="Calibri"/>
          <w:b/>
          <w:snapToGrid/>
          <w:color w:val="auto"/>
          <w:kern w:val="2"/>
          <w:sz w:val="24"/>
          <w:szCs w:val="24"/>
        </w:rPr>
        <w:t>Supplementary Table S3.</w:t>
      </w:r>
      <w:r>
        <w:rPr>
          <w:rFonts w:ascii="Times New Roman" w:hAnsi="Times New Roman" w:eastAsia="黑体" w:cs="Times New Roman"/>
          <w:bCs/>
          <w:snapToGrid/>
          <w:color w:val="000000"/>
          <w:kern w:val="2"/>
          <w:szCs w:val="21"/>
        </w:rPr>
        <w:t xml:space="preserve"> The overlapping genes between significantly co‑expressed genes and significantly differentially expressed genes of BARX2 in LIHC.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BhOWY3ZjdiYzQ5ZjVmZDExNmMzZGE5NjUyYTc4NzQifQ=="/>
  </w:docVars>
  <w:rsids>
    <w:rsidRoot w:val="0277227D"/>
    <w:rsid w:val="0277227D"/>
    <w:rsid w:val="37331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2022-12-15T15:44:00Z</dcterms:created>
  <dc:creator>小鱼仙倌</dc:creator>
  <cp:lastModifiedBy>小鱼仙倌</cp:lastModifiedBy>
  <dcterms:modified xsi:type="dcterms:W3CDTF">2022-12-15T15:45:21Z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32782B627AF0409BBC463A21112058EC</vt:lpwstr>
  </property>
</Properties>
</file>