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956D4D" w14:textId="77777777" w:rsidR="00535B77" w:rsidRDefault="00535B77" w:rsidP="00535B77">
      <w:pPr>
        <w:spacing w:line="360" w:lineRule="auto"/>
        <w:ind w:left="284" w:hanging="284"/>
        <w:jc w:val="center"/>
        <w:rPr>
          <w:rFonts w:ascii="Times New Roman" w:hAnsi="Times New Roman" w:cs="Times New Roman"/>
          <w:b/>
          <w:bCs/>
          <w:sz w:val="28"/>
          <w:szCs w:val="28"/>
        </w:rPr>
      </w:pPr>
      <w:r w:rsidRPr="00B54C3C">
        <w:rPr>
          <w:rFonts w:ascii="Times New Roman" w:hAnsi="Times New Roman" w:cs="Times New Roman"/>
          <w:b/>
          <w:bCs/>
          <w:sz w:val="28"/>
          <w:szCs w:val="28"/>
        </w:rPr>
        <w:t xml:space="preserve">Constituent-based quasi-linear viscoelasticity: </w:t>
      </w:r>
    </w:p>
    <w:p w14:paraId="2B8EEB94" w14:textId="77777777" w:rsidR="00535B77" w:rsidRDefault="00535B77" w:rsidP="00535B77">
      <w:pPr>
        <w:spacing w:line="360" w:lineRule="auto"/>
        <w:ind w:left="284" w:hanging="284"/>
        <w:jc w:val="center"/>
        <w:rPr>
          <w:rFonts w:ascii="Times New Roman" w:hAnsi="Times New Roman" w:cs="Times New Roman"/>
          <w:b/>
          <w:bCs/>
          <w:sz w:val="28"/>
          <w:szCs w:val="28"/>
        </w:rPr>
      </w:pPr>
      <w:r>
        <w:rPr>
          <w:rFonts w:ascii="Times New Roman" w:hAnsi="Times New Roman" w:cs="Times New Roman"/>
          <w:b/>
          <w:bCs/>
          <w:sz w:val="28"/>
          <w:szCs w:val="28"/>
        </w:rPr>
        <w:t>A</w:t>
      </w:r>
      <w:r w:rsidRPr="00B54C3C">
        <w:rPr>
          <w:rFonts w:ascii="Times New Roman" w:hAnsi="Times New Roman" w:cs="Times New Roman"/>
          <w:b/>
          <w:bCs/>
          <w:sz w:val="28"/>
          <w:szCs w:val="28"/>
        </w:rPr>
        <w:t xml:space="preserve"> revised quasi-linear modelling framework to capture non-linear viscoelasticity </w:t>
      </w:r>
      <w:r>
        <w:rPr>
          <w:rFonts w:ascii="Times New Roman" w:hAnsi="Times New Roman" w:cs="Times New Roman"/>
          <w:b/>
          <w:bCs/>
          <w:sz w:val="28"/>
          <w:szCs w:val="28"/>
        </w:rPr>
        <w:t>in</w:t>
      </w:r>
      <w:r w:rsidRPr="00B54C3C">
        <w:rPr>
          <w:rFonts w:ascii="Times New Roman" w:hAnsi="Times New Roman" w:cs="Times New Roman"/>
          <w:b/>
          <w:bCs/>
          <w:sz w:val="28"/>
          <w:szCs w:val="28"/>
        </w:rPr>
        <w:t xml:space="preserve"> arteries</w:t>
      </w:r>
    </w:p>
    <w:p w14:paraId="24F066FB" w14:textId="41A3CF3D" w:rsidR="00535B77" w:rsidRPr="00A05CB8" w:rsidRDefault="00535B77" w:rsidP="00535B77">
      <w:pPr>
        <w:spacing w:line="360" w:lineRule="auto"/>
        <w:ind w:left="284" w:hanging="284"/>
        <w:jc w:val="center"/>
        <w:rPr>
          <w:rFonts w:ascii="Times New Roman" w:hAnsi="Times New Roman" w:cs="Times New Roman"/>
          <w:sz w:val="22"/>
          <w:szCs w:val="22"/>
          <w:vertAlign w:val="superscript"/>
        </w:rPr>
      </w:pPr>
      <w:r w:rsidRPr="00A05CB8">
        <w:rPr>
          <w:rFonts w:ascii="Times New Roman" w:hAnsi="Times New Roman" w:cs="Times New Roman"/>
          <w:sz w:val="22"/>
          <w:szCs w:val="22"/>
        </w:rPr>
        <w:t xml:space="preserve">Alessandro </w:t>
      </w:r>
      <w:proofErr w:type="spellStart"/>
      <w:r w:rsidRPr="00A05CB8">
        <w:rPr>
          <w:rFonts w:ascii="Times New Roman" w:hAnsi="Times New Roman" w:cs="Times New Roman"/>
          <w:sz w:val="22"/>
          <w:szCs w:val="22"/>
        </w:rPr>
        <w:t>Giudici</w:t>
      </w:r>
      <w:proofErr w:type="spellEnd"/>
      <w:r w:rsidRPr="00A05CB8">
        <w:rPr>
          <w:rFonts w:ascii="Times New Roman" w:hAnsi="Times New Roman" w:cs="Times New Roman"/>
          <w:sz w:val="22"/>
          <w:szCs w:val="22"/>
        </w:rPr>
        <w:t xml:space="preserve">, Koen W.F. van der </w:t>
      </w:r>
      <w:proofErr w:type="spellStart"/>
      <w:r w:rsidRPr="00A05CB8">
        <w:rPr>
          <w:rFonts w:ascii="Times New Roman" w:hAnsi="Times New Roman" w:cs="Times New Roman"/>
          <w:sz w:val="22"/>
          <w:szCs w:val="22"/>
        </w:rPr>
        <w:t>Laan</w:t>
      </w:r>
      <w:proofErr w:type="spellEnd"/>
      <w:r w:rsidRPr="00A05CB8">
        <w:rPr>
          <w:rFonts w:ascii="Times New Roman" w:hAnsi="Times New Roman" w:cs="Times New Roman"/>
          <w:sz w:val="22"/>
          <w:szCs w:val="22"/>
        </w:rPr>
        <w:t xml:space="preserve">, </w:t>
      </w:r>
      <w:proofErr w:type="spellStart"/>
      <w:r w:rsidRPr="00A05CB8">
        <w:rPr>
          <w:rFonts w:ascii="Times New Roman" w:hAnsi="Times New Roman" w:cs="Times New Roman"/>
          <w:sz w:val="22"/>
          <w:szCs w:val="22"/>
        </w:rPr>
        <w:t>Myrthe</w:t>
      </w:r>
      <w:proofErr w:type="spellEnd"/>
      <w:r w:rsidRPr="00A05CB8">
        <w:rPr>
          <w:rFonts w:ascii="Times New Roman" w:hAnsi="Times New Roman" w:cs="Times New Roman"/>
          <w:sz w:val="22"/>
          <w:szCs w:val="22"/>
        </w:rPr>
        <w:t xml:space="preserve"> M. van der </w:t>
      </w:r>
      <w:proofErr w:type="spellStart"/>
      <w:r w:rsidRPr="00A05CB8">
        <w:rPr>
          <w:rFonts w:ascii="Times New Roman" w:hAnsi="Times New Roman" w:cs="Times New Roman"/>
          <w:sz w:val="22"/>
          <w:szCs w:val="22"/>
        </w:rPr>
        <w:t>Bruggen</w:t>
      </w:r>
      <w:proofErr w:type="spellEnd"/>
      <w:r w:rsidRPr="00A05CB8">
        <w:rPr>
          <w:rFonts w:ascii="Times New Roman" w:hAnsi="Times New Roman" w:cs="Times New Roman"/>
          <w:sz w:val="22"/>
          <w:szCs w:val="22"/>
        </w:rPr>
        <w:t xml:space="preserve">, </w:t>
      </w:r>
      <w:proofErr w:type="spellStart"/>
      <w:r w:rsidRPr="00A05CB8">
        <w:rPr>
          <w:rFonts w:ascii="Times New Roman" w:hAnsi="Times New Roman" w:cs="Times New Roman"/>
          <w:sz w:val="22"/>
          <w:szCs w:val="22"/>
        </w:rPr>
        <w:t>Shaiv</w:t>
      </w:r>
      <w:proofErr w:type="spellEnd"/>
      <w:r w:rsidRPr="00A05CB8">
        <w:rPr>
          <w:rFonts w:ascii="Times New Roman" w:hAnsi="Times New Roman" w:cs="Times New Roman"/>
          <w:sz w:val="22"/>
          <w:szCs w:val="22"/>
        </w:rPr>
        <w:t xml:space="preserve"> Parikh, </w:t>
      </w:r>
      <w:proofErr w:type="spellStart"/>
      <w:r w:rsidRPr="00A05CB8">
        <w:rPr>
          <w:rFonts w:ascii="Times New Roman" w:hAnsi="Times New Roman" w:cs="Times New Roman"/>
          <w:sz w:val="22"/>
          <w:szCs w:val="22"/>
        </w:rPr>
        <w:t>Tammo</w:t>
      </w:r>
      <w:proofErr w:type="spellEnd"/>
      <w:r w:rsidRPr="00A05CB8">
        <w:rPr>
          <w:rFonts w:ascii="Times New Roman" w:hAnsi="Times New Roman" w:cs="Times New Roman"/>
          <w:sz w:val="22"/>
          <w:szCs w:val="22"/>
        </w:rPr>
        <w:t xml:space="preserve"> </w:t>
      </w:r>
      <w:proofErr w:type="spellStart"/>
      <w:r w:rsidRPr="00A05CB8">
        <w:rPr>
          <w:rFonts w:ascii="Times New Roman" w:hAnsi="Times New Roman" w:cs="Times New Roman"/>
          <w:sz w:val="22"/>
          <w:szCs w:val="22"/>
        </w:rPr>
        <w:t>Delhaas</w:t>
      </w:r>
      <w:proofErr w:type="spellEnd"/>
      <w:r w:rsidRPr="00A05CB8">
        <w:rPr>
          <w:rFonts w:ascii="Times New Roman" w:hAnsi="Times New Roman" w:cs="Times New Roman"/>
          <w:sz w:val="22"/>
          <w:szCs w:val="22"/>
        </w:rPr>
        <w:t>, Koen</w:t>
      </w:r>
      <w:r>
        <w:rPr>
          <w:rFonts w:ascii="Times New Roman" w:hAnsi="Times New Roman" w:cs="Times New Roman"/>
          <w:sz w:val="22"/>
          <w:szCs w:val="22"/>
        </w:rPr>
        <w:t xml:space="preserve"> D. </w:t>
      </w:r>
      <w:proofErr w:type="spellStart"/>
      <w:r>
        <w:rPr>
          <w:rFonts w:ascii="Times New Roman" w:hAnsi="Times New Roman" w:cs="Times New Roman"/>
          <w:sz w:val="22"/>
          <w:szCs w:val="22"/>
        </w:rPr>
        <w:t>Reesink</w:t>
      </w:r>
      <w:proofErr w:type="spellEnd"/>
      <w:r>
        <w:rPr>
          <w:rFonts w:ascii="Times New Roman" w:hAnsi="Times New Roman" w:cs="Times New Roman"/>
          <w:sz w:val="22"/>
          <w:szCs w:val="22"/>
        </w:rPr>
        <w:t xml:space="preserve">, Bart </w:t>
      </w:r>
      <w:proofErr w:type="spellStart"/>
      <w:r>
        <w:rPr>
          <w:rFonts w:ascii="Times New Roman" w:hAnsi="Times New Roman" w:cs="Times New Roman"/>
          <w:sz w:val="22"/>
          <w:szCs w:val="22"/>
        </w:rPr>
        <w:t>Spronck</w:t>
      </w:r>
      <w:proofErr w:type="spellEnd"/>
    </w:p>
    <w:p w14:paraId="2FBDE35D" w14:textId="35AB7956" w:rsidR="00CC20EF" w:rsidRDefault="00CC20EF"/>
    <w:p w14:paraId="0E5A9D08" w14:textId="4546E5A4" w:rsidR="00535B77" w:rsidRDefault="00535B77"/>
    <w:p w14:paraId="4BE4A516" w14:textId="430537C4" w:rsidR="00535B77" w:rsidRDefault="00535B77" w:rsidP="00535B77">
      <w:pPr>
        <w:jc w:val="center"/>
        <w:rPr>
          <w:rFonts w:ascii="Times New Roman" w:hAnsi="Times New Roman" w:cs="Times New Roman"/>
          <w:b/>
          <w:bCs/>
          <w:sz w:val="28"/>
          <w:szCs w:val="28"/>
        </w:rPr>
      </w:pPr>
      <w:r w:rsidRPr="00535B77">
        <w:rPr>
          <w:rFonts w:ascii="Times New Roman" w:hAnsi="Times New Roman" w:cs="Times New Roman"/>
          <w:b/>
          <w:bCs/>
          <w:sz w:val="28"/>
          <w:szCs w:val="28"/>
        </w:rPr>
        <w:t xml:space="preserve">Supplemental </w:t>
      </w:r>
      <w:r w:rsidR="005E7A25">
        <w:rPr>
          <w:rFonts w:ascii="Times New Roman" w:hAnsi="Times New Roman" w:cs="Times New Roman"/>
          <w:b/>
          <w:bCs/>
          <w:sz w:val="28"/>
          <w:szCs w:val="28"/>
        </w:rPr>
        <w:t>information</w:t>
      </w:r>
    </w:p>
    <w:p w14:paraId="657684D0" w14:textId="647ACE23" w:rsidR="00535B77" w:rsidRDefault="00535B77" w:rsidP="009E7F11">
      <w:pPr>
        <w:rPr>
          <w:rFonts w:ascii="Times New Roman" w:hAnsi="Times New Roman" w:cs="Times New Roman"/>
          <w:b/>
          <w:bCs/>
          <w:sz w:val="28"/>
          <w:szCs w:val="28"/>
        </w:rPr>
      </w:pPr>
    </w:p>
    <w:p w14:paraId="6FB3CBD4" w14:textId="77777777" w:rsidR="009E7F11" w:rsidRDefault="009E7F11" w:rsidP="009E7F11">
      <w:pPr>
        <w:rPr>
          <w:rFonts w:ascii="Times New Roman" w:hAnsi="Times New Roman" w:cs="Times New Roman"/>
          <w:b/>
          <w:bCs/>
          <w:sz w:val="22"/>
          <w:szCs w:val="22"/>
        </w:rPr>
      </w:pPr>
    </w:p>
    <w:p w14:paraId="6EE94808" w14:textId="77777777" w:rsidR="009E7F11" w:rsidRDefault="009E7F11" w:rsidP="009E7F11">
      <w:pPr>
        <w:rPr>
          <w:rFonts w:ascii="Times New Roman" w:hAnsi="Times New Roman" w:cs="Times New Roman"/>
          <w:b/>
          <w:bCs/>
          <w:sz w:val="22"/>
          <w:szCs w:val="22"/>
        </w:rPr>
      </w:pPr>
    </w:p>
    <w:p w14:paraId="0F94E00C" w14:textId="77777777" w:rsidR="009E7F11" w:rsidRDefault="009E7F11" w:rsidP="009E7F11">
      <w:pPr>
        <w:rPr>
          <w:rFonts w:ascii="Times New Roman" w:hAnsi="Times New Roman" w:cs="Times New Roman"/>
          <w:b/>
          <w:bCs/>
          <w:sz w:val="22"/>
          <w:szCs w:val="22"/>
        </w:rPr>
      </w:pPr>
    </w:p>
    <w:p w14:paraId="5642F84B" w14:textId="067D4A37" w:rsidR="009E7F11" w:rsidRDefault="009E7F11" w:rsidP="0029256F">
      <w:pPr>
        <w:spacing w:line="276" w:lineRule="auto"/>
        <w:rPr>
          <w:rFonts w:ascii="Times New Roman" w:hAnsi="Times New Roman" w:cs="Times New Roman"/>
          <w:b/>
          <w:bCs/>
          <w:sz w:val="22"/>
          <w:szCs w:val="22"/>
        </w:rPr>
      </w:pPr>
      <w:r w:rsidRPr="009E7F11">
        <w:rPr>
          <w:rFonts w:ascii="Times New Roman" w:hAnsi="Times New Roman" w:cs="Times New Roman"/>
          <w:b/>
          <w:bCs/>
          <w:sz w:val="22"/>
          <w:szCs w:val="22"/>
        </w:rPr>
        <w:t>Preconditioning protocol</w:t>
      </w:r>
    </w:p>
    <w:p w14:paraId="01647AED" w14:textId="2CAD9E55" w:rsidR="009E7F11" w:rsidRPr="0029256F" w:rsidRDefault="009E7F11" w:rsidP="0029256F">
      <w:pPr>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After mounting the carotid artery on the pipettes of the biaxial experimental set-up, the preconditioning protocol begins with the experimental estimation of the </w:t>
      </w:r>
      <w:r>
        <w:rPr>
          <w:rFonts w:ascii="Times New Roman" w:hAnsi="Times New Roman" w:cs="Times New Roman"/>
          <w:i/>
          <w:iCs/>
          <w:sz w:val="22"/>
          <w:szCs w:val="22"/>
        </w:rPr>
        <w:t>in vivo</w:t>
      </w:r>
      <w:r>
        <w:rPr>
          <w:rFonts w:ascii="Times New Roman" w:hAnsi="Times New Roman" w:cs="Times New Roman"/>
          <w:sz w:val="22"/>
          <w:szCs w:val="22"/>
        </w:rPr>
        <w:t xml:space="preserve"> axial length of the vessel, which is defined as the length for which the axial force is nearly independent of the intraluminal pressure in the range 10–180 mmHg. The vessel is then stretched </w:t>
      </w:r>
      <w:r w:rsidR="00FC759A">
        <w:rPr>
          <w:rFonts w:ascii="Times New Roman" w:hAnsi="Times New Roman" w:cs="Times New Roman"/>
          <w:sz w:val="22"/>
          <w:szCs w:val="22"/>
        </w:rPr>
        <w:t>to</w:t>
      </w:r>
      <w:r>
        <w:rPr>
          <w:rFonts w:ascii="Times New Roman" w:hAnsi="Times New Roman" w:cs="Times New Roman"/>
          <w:sz w:val="22"/>
          <w:szCs w:val="22"/>
        </w:rPr>
        <w:t xml:space="preserve"> 105% of the estimated </w:t>
      </w:r>
      <w:r>
        <w:rPr>
          <w:rFonts w:ascii="Times New Roman" w:hAnsi="Times New Roman" w:cs="Times New Roman"/>
          <w:i/>
          <w:iCs/>
          <w:sz w:val="22"/>
          <w:szCs w:val="22"/>
        </w:rPr>
        <w:t>in vivo</w:t>
      </w:r>
      <w:r>
        <w:rPr>
          <w:rFonts w:ascii="Times New Roman" w:hAnsi="Times New Roman" w:cs="Times New Roman"/>
          <w:sz w:val="22"/>
          <w:szCs w:val="22"/>
        </w:rPr>
        <w:t xml:space="preserve"> length and two quasi-static pressure sweeps are performed (range 10–180 mmHg). This step is repeated for </w:t>
      </w:r>
      <w:r w:rsidR="0029256F">
        <w:rPr>
          <w:rFonts w:ascii="Times New Roman" w:hAnsi="Times New Roman" w:cs="Times New Roman"/>
          <w:sz w:val="22"/>
          <w:szCs w:val="22"/>
        </w:rPr>
        <w:t xml:space="preserve">the </w:t>
      </w:r>
      <w:r>
        <w:rPr>
          <w:rFonts w:ascii="Times New Roman" w:hAnsi="Times New Roman" w:cs="Times New Roman"/>
          <w:sz w:val="22"/>
          <w:szCs w:val="22"/>
        </w:rPr>
        <w:t xml:space="preserve">axial lengths corresponding to 95% of the </w:t>
      </w:r>
      <w:r>
        <w:rPr>
          <w:rFonts w:ascii="Times New Roman" w:hAnsi="Times New Roman" w:cs="Times New Roman"/>
          <w:i/>
          <w:iCs/>
          <w:sz w:val="22"/>
          <w:szCs w:val="22"/>
        </w:rPr>
        <w:t>in vivo</w:t>
      </w:r>
      <w:r>
        <w:rPr>
          <w:rFonts w:ascii="Times New Roman" w:hAnsi="Times New Roman" w:cs="Times New Roman"/>
          <w:sz w:val="22"/>
          <w:szCs w:val="22"/>
        </w:rPr>
        <w:t xml:space="preserve"> length and to the </w:t>
      </w:r>
      <w:r>
        <w:rPr>
          <w:rFonts w:ascii="Times New Roman" w:hAnsi="Times New Roman" w:cs="Times New Roman"/>
          <w:i/>
          <w:iCs/>
          <w:sz w:val="22"/>
          <w:szCs w:val="22"/>
        </w:rPr>
        <w:t>in vivo</w:t>
      </w:r>
      <w:r>
        <w:rPr>
          <w:rFonts w:ascii="Times New Roman" w:hAnsi="Times New Roman" w:cs="Times New Roman"/>
          <w:sz w:val="22"/>
          <w:szCs w:val="22"/>
        </w:rPr>
        <w:t xml:space="preserve"> length. </w:t>
      </w:r>
      <w:r w:rsidR="0029256F">
        <w:rPr>
          <w:rFonts w:ascii="Times New Roman" w:hAnsi="Times New Roman" w:cs="Times New Roman"/>
          <w:sz w:val="22"/>
          <w:szCs w:val="22"/>
        </w:rPr>
        <w:t xml:space="preserve">These six quasi-static pressure sweeps are then followed by 10 quasi-static axial force sweeps as follows. Two quasi-static axial force sweeps between 0 N and the maximum axial force reached in the quasi-static pressure sweeps are performed for each of these constant intraluminal pressures: 10, 60, 100, 140, 180 mmHg. As the end of the preconditioning, a new estimation of the </w:t>
      </w:r>
      <w:r w:rsidR="0029256F">
        <w:rPr>
          <w:rFonts w:ascii="Times New Roman" w:hAnsi="Times New Roman" w:cs="Times New Roman"/>
          <w:i/>
          <w:iCs/>
          <w:sz w:val="22"/>
          <w:szCs w:val="22"/>
        </w:rPr>
        <w:t xml:space="preserve">in vivo </w:t>
      </w:r>
      <w:r w:rsidR="0029256F">
        <w:rPr>
          <w:rFonts w:ascii="Times New Roman" w:hAnsi="Times New Roman" w:cs="Times New Roman"/>
          <w:sz w:val="22"/>
          <w:szCs w:val="22"/>
        </w:rPr>
        <w:t>axial length is performed to be used in the testing protocol.</w:t>
      </w:r>
    </w:p>
    <w:p w14:paraId="2AD4F983" w14:textId="77777777" w:rsidR="00535B77" w:rsidRDefault="00535B77" w:rsidP="00535B77">
      <w:pPr>
        <w:jc w:val="center"/>
        <w:rPr>
          <w:rFonts w:ascii="Times New Roman" w:hAnsi="Times New Roman" w:cs="Times New Roman"/>
          <w:b/>
          <w:bCs/>
          <w:sz w:val="28"/>
          <w:szCs w:val="28"/>
        </w:rPr>
      </w:pPr>
    </w:p>
    <w:p w14:paraId="143D8E39" w14:textId="043EAF36" w:rsidR="00B5349C" w:rsidRDefault="00B5349C">
      <w:pPr>
        <w:rPr>
          <w:rFonts w:ascii="Times New Roman" w:hAnsi="Times New Roman" w:cs="Times New Roman"/>
          <w:b/>
          <w:bCs/>
          <w:sz w:val="28"/>
          <w:szCs w:val="28"/>
        </w:rPr>
      </w:pPr>
      <w:r>
        <w:rPr>
          <w:rFonts w:ascii="Times New Roman" w:hAnsi="Times New Roman" w:cs="Times New Roman"/>
          <w:b/>
          <w:bCs/>
          <w:sz w:val="28"/>
          <w:szCs w:val="28"/>
        </w:rPr>
        <w:br w:type="page"/>
      </w:r>
    </w:p>
    <w:p w14:paraId="60F06355" w14:textId="4774D395" w:rsidR="00535B77" w:rsidRDefault="00535B77" w:rsidP="00535B77">
      <w:pPr>
        <w:jc w:val="center"/>
        <w:rPr>
          <w:rFonts w:ascii="Times New Roman" w:hAnsi="Times New Roman" w:cs="Times New Roman"/>
          <w:sz w:val="22"/>
          <w:szCs w:val="22"/>
        </w:rPr>
      </w:pPr>
      <w:r>
        <w:rPr>
          <w:rFonts w:ascii="Times New Roman" w:hAnsi="Times New Roman" w:cs="Times New Roman"/>
          <w:noProof/>
          <w:sz w:val="22"/>
          <w:szCs w:val="22"/>
        </w:rPr>
        <w:lastRenderedPageBreak/>
        <w:drawing>
          <wp:inline distT="0" distB="0" distL="0" distR="0" wp14:anchorId="61D029EE" wp14:editId="532C3BA3">
            <wp:extent cx="5433366" cy="290275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5433366" cy="2902757"/>
                    </a:xfrm>
                    <a:prstGeom prst="rect">
                      <a:avLst/>
                    </a:prstGeom>
                  </pic:spPr>
                </pic:pic>
              </a:graphicData>
            </a:graphic>
          </wp:inline>
        </w:drawing>
      </w:r>
    </w:p>
    <w:p w14:paraId="67E5CF6C" w14:textId="321D20A7" w:rsidR="00535B77" w:rsidRPr="00723938" w:rsidRDefault="00535B77" w:rsidP="00535B77">
      <w:pPr>
        <w:jc w:val="both"/>
        <w:rPr>
          <w:rFonts w:ascii="Times New Roman" w:eastAsiaTheme="minorEastAsia" w:hAnsi="Times New Roman" w:cs="Times New Roman"/>
        </w:rPr>
      </w:pPr>
      <w:r w:rsidRPr="00723938">
        <w:rPr>
          <w:rFonts w:ascii="Times New Roman" w:hAnsi="Times New Roman" w:cs="Times New Roman"/>
          <w:b/>
          <w:bCs/>
        </w:rPr>
        <w:t>Figure S1</w:t>
      </w:r>
      <w:r w:rsidRPr="00723938">
        <w:rPr>
          <w:rFonts w:ascii="Times New Roman" w:hAnsi="Times New Roman" w:cs="Times New Roman"/>
        </w:rPr>
        <w:t xml:space="preserve"> – Graphical representation of Fung’s relaxation function (Eq.10) used in this study</w:t>
      </w:r>
      <w:r w:rsidR="00D4376B" w:rsidRPr="00723938">
        <w:rPr>
          <w:rFonts w:ascii="Times New Roman" w:hAnsi="Times New Roman" w:cs="Times New Roman"/>
        </w:rPr>
        <w:t xml:space="preserve"> for </w:t>
      </w:r>
      <m:oMath>
        <m:r>
          <w:rPr>
            <w:rFonts w:ascii="Cambria Math" w:hAnsi="Cambria Math" w:cs="Times New Roman"/>
          </w:rPr>
          <m:t>ν=0.09</m:t>
        </m:r>
      </m:oMath>
      <w:r w:rsidR="00D4376B" w:rsidRPr="00723938">
        <w:rPr>
          <w:rFonts w:ascii="Times New Roman" w:eastAsiaTheme="minorEastAsia" w:hAnsi="Times New Roman" w:cs="Times New Roman"/>
        </w:rPr>
        <w:t xml:space="preserve">, </w:t>
      </w:r>
      <m:oMath>
        <m:sSub>
          <m:sSubPr>
            <m:ctrlPr>
              <w:rPr>
                <w:rFonts w:ascii="Cambria Math" w:eastAsiaTheme="minorEastAsia" w:hAnsi="Cambria Math" w:cs="Times New Roman"/>
                <w:i/>
              </w:rPr>
            </m:ctrlPr>
          </m:sSubPr>
          <m:e>
            <m:r>
              <w:rPr>
                <w:rFonts w:ascii="Cambria Math" w:eastAsiaTheme="minorEastAsia" w:hAnsi="Cambria Math" w:cs="Times New Roman"/>
              </w:rPr>
              <m:t>τ</m:t>
            </m:r>
          </m:e>
          <m:sub>
            <m:r>
              <w:rPr>
                <w:rFonts w:ascii="Cambria Math" w:eastAsiaTheme="minorEastAsia" w:hAnsi="Cambria Math" w:cs="Times New Roman"/>
              </w:rPr>
              <m:t>1</m:t>
            </m:r>
          </m:sub>
        </m:sSub>
        <m:r>
          <w:rPr>
            <w:rFonts w:ascii="Cambria Math" w:eastAsiaTheme="minorEastAsia" w:hAnsi="Cambria Math" w:cs="Times New Roman"/>
          </w:rPr>
          <m:t>=0.05</m:t>
        </m:r>
      </m:oMath>
      <w:r w:rsidR="00D4376B" w:rsidRPr="00723938">
        <w:rPr>
          <w:rFonts w:ascii="Times New Roman" w:eastAsiaTheme="minorEastAsia" w:hAnsi="Times New Roman" w:cs="Times New Roman"/>
        </w:rPr>
        <w:t xml:space="preserve"> s, and </w:t>
      </w:r>
      <m:oMath>
        <m:sSub>
          <m:sSubPr>
            <m:ctrlPr>
              <w:rPr>
                <w:rFonts w:ascii="Cambria Math" w:eastAsiaTheme="minorEastAsia" w:hAnsi="Cambria Math" w:cs="Times New Roman"/>
                <w:i/>
              </w:rPr>
            </m:ctrlPr>
          </m:sSubPr>
          <m:e>
            <m:r>
              <w:rPr>
                <w:rFonts w:ascii="Cambria Math" w:eastAsiaTheme="minorEastAsia" w:hAnsi="Cambria Math" w:cs="Times New Roman"/>
              </w:rPr>
              <m:t>τ</m:t>
            </m:r>
          </m:e>
          <m:sub>
            <m:r>
              <w:rPr>
                <w:rFonts w:ascii="Cambria Math" w:eastAsiaTheme="minorEastAsia" w:hAnsi="Cambria Math" w:cs="Times New Roman"/>
              </w:rPr>
              <m:t>2</m:t>
            </m:r>
          </m:sub>
        </m:sSub>
        <m:r>
          <w:rPr>
            <w:rFonts w:ascii="Cambria Math" w:eastAsiaTheme="minorEastAsia" w:hAnsi="Cambria Math" w:cs="Times New Roman"/>
          </w:rPr>
          <m:t>=100</m:t>
        </m:r>
      </m:oMath>
      <w:r w:rsidR="00D4376B" w:rsidRPr="00723938">
        <w:rPr>
          <w:rFonts w:ascii="Times New Roman" w:eastAsiaTheme="minorEastAsia" w:hAnsi="Times New Roman" w:cs="Times New Roman"/>
        </w:rPr>
        <w:t xml:space="preserve"> s</w:t>
      </w:r>
      <w:r w:rsidRPr="00723938">
        <w:rPr>
          <w:rFonts w:ascii="Times New Roman" w:hAnsi="Times New Roman" w:cs="Times New Roman"/>
        </w:rPr>
        <w:t>.</w:t>
      </w:r>
      <w:r w:rsidR="00D4376B" w:rsidRPr="00723938">
        <w:rPr>
          <w:rFonts w:ascii="Times New Roman" w:hAnsi="Times New Roman" w:cs="Times New Roman"/>
        </w:rPr>
        <w:t xml:space="preserve"> </w:t>
      </w:r>
      <w:r w:rsidRPr="00723938">
        <w:rPr>
          <w:rFonts w:ascii="Times New Roman" w:hAnsi="Times New Roman" w:cs="Times New Roman"/>
        </w:rPr>
        <w:t xml:space="preserve">The end relaxation asymptotic value (i.e., for </w:t>
      </w:r>
      <m:oMath>
        <m:r>
          <w:rPr>
            <w:rFonts w:ascii="Cambria Math" w:hAnsi="Cambria Math" w:cs="Times New Roman"/>
          </w:rPr>
          <m:t>t→+∞</m:t>
        </m:r>
      </m:oMath>
      <w:r w:rsidRPr="00723938">
        <w:rPr>
          <w:rFonts w:ascii="Times New Roman" w:eastAsiaTheme="minorEastAsia" w:hAnsi="Times New Roman" w:cs="Times New Roman"/>
        </w:rPr>
        <w:t xml:space="preserve">) can be analytically calculated from Eq.10 as </w:t>
      </w:r>
      <m:oMath>
        <m:r>
          <w:rPr>
            <w:rFonts w:ascii="Cambria Math" w:eastAsiaTheme="minorEastAsia" w:hAnsi="Cambria Math" w:cs="Times New Roman"/>
          </w:rPr>
          <m:t>G</m:t>
        </m:r>
        <m:d>
          <m:dPr>
            <m:ctrlPr>
              <w:rPr>
                <w:rFonts w:ascii="Cambria Math" w:eastAsiaTheme="minorEastAsia" w:hAnsi="Cambria Math" w:cs="Times New Roman"/>
                <w:i/>
              </w:rPr>
            </m:ctrlPr>
          </m:dPr>
          <m:e>
            <m:r>
              <w:rPr>
                <w:rFonts w:ascii="Cambria Math" w:eastAsiaTheme="minorEastAsia" w:hAnsi="Cambria Math" w:cs="Times New Roman"/>
              </w:rPr>
              <m:t>+∞</m:t>
            </m:r>
          </m:e>
        </m:d>
        <m:r>
          <w:rPr>
            <w:rFonts w:ascii="Cambria Math" w:eastAsiaTheme="minorEastAsia" w:hAnsi="Cambria Math" w:cs="Times New Roman"/>
          </w:rPr>
          <m:t>=1/</m:t>
        </m:r>
        <m:d>
          <m:dPr>
            <m:begChr m:val="["/>
            <m:endChr m:val="]"/>
            <m:ctrlPr>
              <w:rPr>
                <w:rFonts w:ascii="Cambria Math" w:eastAsiaTheme="minorEastAsia" w:hAnsi="Cambria Math" w:cs="Times New Roman"/>
                <w:i/>
              </w:rPr>
            </m:ctrlPr>
          </m:dPr>
          <m:e>
            <m:r>
              <w:rPr>
                <w:rFonts w:ascii="Cambria Math" w:eastAsiaTheme="minorEastAsia" w:hAnsi="Cambria Math" w:cs="Times New Roman"/>
              </w:rPr>
              <m:t>1+ν</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ln</m:t>
                </m:r>
              </m:fName>
              <m:e>
                <m:d>
                  <m:dPr>
                    <m:ctrlPr>
                      <w:rPr>
                        <w:rFonts w:ascii="Cambria Math" w:eastAsiaTheme="minorEastAsia" w:hAnsi="Cambria Math" w:cs="Times New Roman"/>
                        <w:i/>
                      </w:rPr>
                    </m:ctrlPr>
                  </m:dPr>
                  <m:e>
                    <m:f>
                      <m:fPr>
                        <m:ctrlPr>
                          <w:rPr>
                            <w:rFonts w:ascii="Cambria Math" w:eastAsiaTheme="minorEastAsia" w:hAnsi="Cambria Math" w:cs="Times New Roman"/>
                            <w:i/>
                          </w:rPr>
                        </m:ctrlPr>
                      </m:fPr>
                      <m:num>
                        <m:sSub>
                          <m:sSubPr>
                            <m:ctrlPr>
                              <w:rPr>
                                <w:rFonts w:ascii="Cambria Math" w:eastAsiaTheme="minorEastAsia" w:hAnsi="Cambria Math" w:cs="Times New Roman"/>
                                <w:i/>
                              </w:rPr>
                            </m:ctrlPr>
                          </m:sSubPr>
                          <m:e>
                            <m:r>
                              <w:rPr>
                                <w:rFonts w:ascii="Cambria Math" w:eastAsiaTheme="minorEastAsia" w:hAnsi="Cambria Math" w:cs="Times New Roman"/>
                              </w:rPr>
                              <m:t>τ</m:t>
                            </m:r>
                          </m:e>
                          <m:sub>
                            <m:r>
                              <w:rPr>
                                <w:rFonts w:ascii="Cambria Math" w:eastAsiaTheme="minorEastAsia" w:hAnsi="Cambria Math" w:cs="Times New Roman"/>
                              </w:rPr>
                              <m:t>2</m:t>
                            </m:r>
                          </m:sub>
                        </m:sSub>
                      </m:num>
                      <m:den>
                        <m:sSub>
                          <m:sSubPr>
                            <m:ctrlPr>
                              <w:rPr>
                                <w:rFonts w:ascii="Cambria Math" w:eastAsiaTheme="minorEastAsia" w:hAnsi="Cambria Math" w:cs="Times New Roman"/>
                                <w:i/>
                              </w:rPr>
                            </m:ctrlPr>
                          </m:sSubPr>
                          <m:e>
                            <m:r>
                              <w:rPr>
                                <w:rFonts w:ascii="Cambria Math" w:eastAsiaTheme="minorEastAsia" w:hAnsi="Cambria Math" w:cs="Times New Roman"/>
                              </w:rPr>
                              <m:t>τ</m:t>
                            </m:r>
                          </m:e>
                          <m:sub>
                            <m:r>
                              <w:rPr>
                                <w:rFonts w:ascii="Cambria Math" w:eastAsiaTheme="minorEastAsia" w:hAnsi="Cambria Math" w:cs="Times New Roman"/>
                              </w:rPr>
                              <m:t>1</m:t>
                            </m:r>
                          </m:sub>
                        </m:sSub>
                      </m:den>
                    </m:f>
                  </m:e>
                </m:d>
              </m:e>
            </m:func>
          </m:e>
        </m:d>
        <m:r>
          <w:rPr>
            <w:rFonts w:ascii="Cambria Math" w:eastAsiaTheme="minorEastAsia" w:hAnsi="Cambria Math" w:cs="Times New Roman"/>
          </w:rPr>
          <m:t xml:space="preserve"> </m:t>
        </m:r>
      </m:oMath>
      <w:r w:rsidR="00D4376B" w:rsidRPr="00723938">
        <w:rPr>
          <w:rFonts w:ascii="Times New Roman" w:eastAsiaTheme="minorEastAsia" w:hAnsi="Times New Roman" w:cs="Times New Roman"/>
        </w:rPr>
        <w:t xml:space="preserve">, so that the percent of stress relaxation </w:t>
      </w:r>
      <w:r w:rsidR="007C044D">
        <w:rPr>
          <w:rFonts w:ascii="Times New Roman" w:eastAsiaTheme="minorEastAsia" w:hAnsi="Times New Roman" w:cs="Times New Roman"/>
        </w:rPr>
        <w:t xml:space="preserve">for </w:t>
      </w:r>
      <m:oMath>
        <m:r>
          <w:rPr>
            <w:rFonts w:ascii="Cambria Math" w:hAnsi="Cambria Math"/>
          </w:rPr>
          <m:t>t→+</m:t>
        </m:r>
        <m:r>
          <w:rPr>
            <w:rFonts w:ascii="Cambria Math" w:hAnsi="Cambria Math" w:cstheme="minorHAnsi"/>
          </w:rPr>
          <m:t>∞</m:t>
        </m:r>
      </m:oMath>
      <w:r w:rsidR="007C044D">
        <w:rPr>
          <w:rFonts w:cstheme="minorHAnsi"/>
        </w:rPr>
        <w:t xml:space="preserve"> </w:t>
      </w:r>
      <w:r w:rsidR="00D4376B" w:rsidRPr="00723938">
        <w:rPr>
          <w:rFonts w:ascii="Times New Roman" w:eastAsiaTheme="minorEastAsia" w:hAnsi="Times New Roman" w:cs="Times New Roman"/>
        </w:rPr>
        <w:t xml:space="preserve">can be calculated as </w:t>
      </w:r>
      <m:oMath>
        <m:r>
          <w:rPr>
            <w:rFonts w:ascii="Cambria Math" w:eastAsiaTheme="minorEastAsia" w:hAnsi="Cambria Math" w:cs="Times New Roman"/>
          </w:rPr>
          <m:t>[1-G(+∞)]∙100%</m:t>
        </m:r>
      </m:oMath>
      <w:r w:rsidR="00D4376B" w:rsidRPr="00723938">
        <w:rPr>
          <w:rFonts w:ascii="Times New Roman" w:eastAsiaTheme="minorEastAsia" w:hAnsi="Times New Roman" w:cs="Times New Roman"/>
        </w:rPr>
        <w:t>.</w:t>
      </w:r>
    </w:p>
    <w:p w14:paraId="5EDBC544" w14:textId="358017D3" w:rsidR="00B5349C" w:rsidRDefault="00B5349C" w:rsidP="00535B77">
      <w:pPr>
        <w:jc w:val="both"/>
        <w:rPr>
          <w:rFonts w:ascii="Times New Roman" w:eastAsiaTheme="minorEastAsia" w:hAnsi="Times New Roman" w:cs="Times New Roman"/>
          <w:sz w:val="22"/>
          <w:szCs w:val="22"/>
        </w:rPr>
      </w:pPr>
    </w:p>
    <w:p w14:paraId="0E1ED2BF" w14:textId="77777777" w:rsidR="00723938" w:rsidRDefault="00723938" w:rsidP="00535B77">
      <w:pPr>
        <w:jc w:val="both"/>
        <w:rPr>
          <w:rFonts w:ascii="Times New Roman" w:eastAsiaTheme="minorEastAsia" w:hAnsi="Times New Roman" w:cs="Times New Roman"/>
          <w:sz w:val="22"/>
          <w:szCs w:val="22"/>
        </w:rPr>
      </w:pPr>
    </w:p>
    <w:p w14:paraId="17732D36" w14:textId="3F6F8588" w:rsidR="00B5349C" w:rsidRDefault="00B5349C" w:rsidP="00535B77">
      <w:pPr>
        <w:jc w:val="both"/>
        <w:rPr>
          <w:rFonts w:ascii="Times New Roman" w:eastAsiaTheme="minorEastAsia" w:hAnsi="Times New Roman" w:cs="Times New Roman"/>
          <w:sz w:val="22"/>
          <w:szCs w:val="22"/>
        </w:rPr>
      </w:pPr>
    </w:p>
    <w:p w14:paraId="346297ED" w14:textId="77777777" w:rsidR="00723938" w:rsidRDefault="00723938" w:rsidP="00535B77">
      <w:pPr>
        <w:jc w:val="both"/>
        <w:rPr>
          <w:rFonts w:ascii="Times New Roman" w:eastAsiaTheme="minorEastAsia" w:hAnsi="Times New Roman" w:cs="Times New Roman"/>
          <w:sz w:val="22"/>
          <w:szCs w:val="22"/>
        </w:rPr>
      </w:pPr>
    </w:p>
    <w:p w14:paraId="0B39ABF9" w14:textId="49E0AB08" w:rsidR="00B5349C" w:rsidRDefault="00B5349C" w:rsidP="00B5349C">
      <w:pPr>
        <w:jc w:val="center"/>
        <w:rPr>
          <w:rFonts w:ascii="Times New Roman" w:hAnsi="Times New Roman" w:cs="Times New Roman"/>
          <w:sz w:val="22"/>
          <w:szCs w:val="22"/>
        </w:rPr>
      </w:pPr>
      <w:r>
        <w:rPr>
          <w:rFonts w:ascii="Times New Roman" w:hAnsi="Times New Roman" w:cs="Times New Roman"/>
          <w:noProof/>
          <w:sz w:val="22"/>
          <w:szCs w:val="22"/>
        </w:rPr>
        <w:drawing>
          <wp:inline distT="0" distB="0" distL="0" distR="0" wp14:anchorId="55293E72" wp14:editId="715719A7">
            <wp:extent cx="4488000" cy="3060000"/>
            <wp:effectExtent l="0" t="0" r="0" b="0"/>
            <wp:docPr id="2" name="Picture 2" descr="A picture containing text, bridge, fla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bridge, flag&#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4488000" cy="3060000"/>
                    </a:xfrm>
                    <a:prstGeom prst="rect">
                      <a:avLst/>
                    </a:prstGeom>
                  </pic:spPr>
                </pic:pic>
              </a:graphicData>
            </a:graphic>
          </wp:inline>
        </w:drawing>
      </w:r>
    </w:p>
    <w:p w14:paraId="05559631" w14:textId="77777777" w:rsidR="00723938" w:rsidRDefault="00723938" w:rsidP="00723938">
      <w:pPr>
        <w:jc w:val="both"/>
        <w:rPr>
          <w:rFonts w:ascii="Times New Roman" w:hAnsi="Times New Roman" w:cs="Times New Roman"/>
          <w:b/>
          <w:bCs/>
          <w:sz w:val="22"/>
          <w:szCs w:val="22"/>
        </w:rPr>
      </w:pPr>
    </w:p>
    <w:p w14:paraId="7CDBAB96" w14:textId="4CDAF85A" w:rsidR="00723938" w:rsidRPr="00723938" w:rsidRDefault="00723938" w:rsidP="00723938">
      <w:pPr>
        <w:jc w:val="both"/>
        <w:rPr>
          <w:rFonts w:ascii="Times New Roman" w:eastAsiaTheme="minorEastAsia" w:hAnsi="Times New Roman" w:cs="Times New Roman"/>
        </w:rPr>
      </w:pPr>
      <w:r w:rsidRPr="00723938">
        <w:rPr>
          <w:rFonts w:ascii="Times New Roman" w:hAnsi="Times New Roman" w:cs="Times New Roman"/>
          <w:b/>
          <w:bCs/>
        </w:rPr>
        <w:t>Figure S</w:t>
      </w:r>
      <w:r w:rsidR="007C044D">
        <w:rPr>
          <w:rFonts w:ascii="Times New Roman" w:hAnsi="Times New Roman" w:cs="Times New Roman"/>
          <w:b/>
          <w:bCs/>
        </w:rPr>
        <w:t>2</w:t>
      </w:r>
      <w:r w:rsidRPr="00723938">
        <w:rPr>
          <w:rFonts w:ascii="Times New Roman" w:hAnsi="Times New Roman" w:cs="Times New Roman"/>
        </w:rPr>
        <w:t xml:space="preserve"> – Graphical representation of the calculation of the loss factor as the ratio. </w:t>
      </w:r>
    </w:p>
    <w:p w14:paraId="1A34A56F" w14:textId="77777777" w:rsidR="00430620" w:rsidRDefault="00430620" w:rsidP="00B5349C">
      <w:pPr>
        <w:jc w:val="center"/>
        <w:rPr>
          <w:rFonts w:ascii="Times New Roman" w:hAnsi="Times New Roman" w:cs="Times New Roman"/>
          <w:sz w:val="22"/>
          <w:szCs w:val="22"/>
        </w:rPr>
        <w:sectPr w:rsidR="00430620" w:rsidSect="002F3701">
          <w:pgSz w:w="11900" w:h="16840"/>
          <w:pgMar w:top="1440" w:right="1440" w:bottom="1440" w:left="1440" w:header="708" w:footer="708" w:gutter="0"/>
          <w:cols w:space="708"/>
          <w:docGrid w:linePitch="360"/>
        </w:sectPr>
      </w:pPr>
    </w:p>
    <w:p w14:paraId="4B0E40E0" w14:textId="56D03FE3" w:rsidR="00723938" w:rsidRDefault="00430620" w:rsidP="00B5349C">
      <w:pPr>
        <w:jc w:val="center"/>
        <w:rPr>
          <w:rFonts w:ascii="Times New Roman" w:hAnsi="Times New Roman" w:cs="Times New Roman"/>
          <w:sz w:val="22"/>
          <w:szCs w:val="22"/>
        </w:rPr>
      </w:pPr>
      <w:r>
        <w:rPr>
          <w:rFonts w:ascii="Times New Roman" w:hAnsi="Times New Roman" w:cs="Times New Roman"/>
          <w:noProof/>
          <w:sz w:val="22"/>
          <w:szCs w:val="22"/>
        </w:rPr>
        <w:lastRenderedPageBreak/>
        <w:drawing>
          <wp:inline distT="0" distB="0" distL="0" distR="0" wp14:anchorId="7AA1ACAF" wp14:editId="0F5636CE">
            <wp:extent cx="8829774" cy="435684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6">
                      <a:extLst>
                        <a:ext uri="{28A0092B-C50C-407E-A947-70E740481C1C}">
                          <a14:useLocalDpi xmlns:a14="http://schemas.microsoft.com/office/drawing/2010/main" val="0"/>
                        </a:ext>
                      </a:extLst>
                    </a:blip>
                    <a:srcRect l="9662" t="4291" r="3540" b="8847"/>
                    <a:stretch/>
                  </pic:blipFill>
                  <pic:spPr bwMode="auto">
                    <a:xfrm>
                      <a:off x="0" y="0"/>
                      <a:ext cx="8830372" cy="4357142"/>
                    </a:xfrm>
                    <a:prstGeom prst="rect">
                      <a:avLst/>
                    </a:prstGeom>
                    <a:ln>
                      <a:noFill/>
                    </a:ln>
                    <a:extLst>
                      <a:ext uri="{53640926-AAD7-44D8-BBD7-CCE9431645EC}">
                        <a14:shadowObscured xmlns:a14="http://schemas.microsoft.com/office/drawing/2010/main"/>
                      </a:ext>
                    </a:extLst>
                  </pic:spPr>
                </pic:pic>
              </a:graphicData>
            </a:graphic>
          </wp:inline>
        </w:drawing>
      </w:r>
    </w:p>
    <w:p w14:paraId="3F323070" w14:textId="0D92C120" w:rsidR="00430620" w:rsidRDefault="00430620" w:rsidP="00430620">
      <w:pPr>
        <w:jc w:val="both"/>
        <w:rPr>
          <w:rFonts w:ascii="Arial" w:hAnsi="Arial" w:cs="Arial"/>
        </w:rPr>
      </w:pPr>
      <w:r w:rsidRPr="001700E6">
        <w:rPr>
          <w:rFonts w:ascii="Times New Roman" w:hAnsi="Times New Roman" w:cs="Times New Roman"/>
          <w:b/>
          <w:bCs/>
        </w:rPr>
        <w:t>Figure S3</w:t>
      </w:r>
      <w:r w:rsidRPr="001700E6">
        <w:rPr>
          <w:rFonts w:ascii="Times New Roman" w:hAnsi="Times New Roman" w:cs="Times New Roman"/>
        </w:rPr>
        <w:t xml:space="preserve"> – Panel </w:t>
      </w:r>
      <w:r w:rsidRPr="001700E6">
        <w:rPr>
          <w:rFonts w:ascii="Times New Roman" w:hAnsi="Times New Roman" w:cs="Times New Roman"/>
          <w:b/>
          <w:bCs/>
        </w:rPr>
        <w:t>A–E:</w:t>
      </w:r>
      <w:r w:rsidRPr="001700E6">
        <w:rPr>
          <w:rFonts w:ascii="Times New Roman" w:hAnsi="Times New Roman" w:cs="Times New Roman"/>
        </w:rPr>
        <w:t xml:space="preserve"> Dynamic to static stiffness ratio as a function of pressure and loading frequency for the mouse carotids I–V, respectively, as predicted by the constituent-based quasi-linear viscoelastic model. Panel </w:t>
      </w:r>
      <w:r w:rsidRPr="001700E6">
        <w:rPr>
          <w:rFonts w:ascii="Times New Roman" w:hAnsi="Times New Roman" w:cs="Times New Roman"/>
          <w:b/>
          <w:bCs/>
        </w:rPr>
        <w:t>F–J</w:t>
      </w:r>
      <w:r w:rsidRPr="001700E6">
        <w:rPr>
          <w:rFonts w:ascii="Times New Roman" w:hAnsi="Times New Roman" w:cs="Times New Roman"/>
        </w:rPr>
        <w:t xml:space="preserve">: Contribution of elastin to the wall viscoelastic behaviour for carotids I–V, respectively. Panel </w:t>
      </w:r>
      <w:r w:rsidRPr="001700E6">
        <w:rPr>
          <w:rFonts w:ascii="Times New Roman" w:hAnsi="Times New Roman" w:cs="Times New Roman"/>
          <w:b/>
          <w:bCs/>
        </w:rPr>
        <w:t>K–O</w:t>
      </w:r>
      <w:r w:rsidRPr="001700E6">
        <w:rPr>
          <w:rFonts w:ascii="Times New Roman" w:hAnsi="Times New Roman" w:cs="Times New Roman"/>
        </w:rPr>
        <w:t>: Contribution of collagen to the wall viscoelastic behaviour for carotids I–V, respectively</w:t>
      </w:r>
      <w:r w:rsidRPr="001700E6">
        <w:rPr>
          <w:rFonts w:ascii="Arial" w:hAnsi="Arial" w:cs="Arial"/>
        </w:rPr>
        <w:t>.</w:t>
      </w:r>
    </w:p>
    <w:p w14:paraId="5207B234" w14:textId="0C4C5CF8" w:rsidR="00743B9E" w:rsidRDefault="00743B9E" w:rsidP="00430620">
      <w:pPr>
        <w:jc w:val="both"/>
        <w:rPr>
          <w:rFonts w:ascii="Arial" w:hAnsi="Arial" w:cs="Arial"/>
        </w:rPr>
      </w:pPr>
    </w:p>
    <w:p w14:paraId="55DBDB97" w14:textId="77777777" w:rsidR="00430620" w:rsidRDefault="00430620">
      <w:pPr>
        <w:rPr>
          <w:rFonts w:ascii="Arial" w:hAnsi="Arial" w:cs="Arial"/>
          <w:sz w:val="20"/>
          <w:szCs w:val="20"/>
        </w:rPr>
      </w:pPr>
      <w:r>
        <w:rPr>
          <w:rFonts w:ascii="Arial" w:hAnsi="Arial" w:cs="Arial"/>
          <w:sz w:val="20"/>
          <w:szCs w:val="20"/>
        </w:rPr>
        <w:br w:type="page"/>
      </w:r>
    </w:p>
    <w:p w14:paraId="6E840652" w14:textId="77777777" w:rsidR="00430620" w:rsidRDefault="00430620" w:rsidP="00430620">
      <w:pPr>
        <w:jc w:val="center"/>
        <w:rPr>
          <w:rFonts w:ascii="Times New Roman" w:hAnsi="Times New Roman" w:cs="Times New Roman"/>
          <w:sz w:val="22"/>
          <w:szCs w:val="22"/>
        </w:rPr>
      </w:pPr>
      <w:r>
        <w:rPr>
          <w:rFonts w:ascii="Times New Roman" w:hAnsi="Times New Roman" w:cs="Times New Roman"/>
          <w:noProof/>
          <w:sz w:val="22"/>
          <w:szCs w:val="22"/>
        </w:rPr>
        <w:lastRenderedPageBreak/>
        <w:drawing>
          <wp:inline distT="0" distB="0" distL="0" distR="0" wp14:anchorId="6A15F6A0" wp14:editId="5ED8F743">
            <wp:extent cx="8832215" cy="44335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7">
                      <a:extLst>
                        <a:ext uri="{28A0092B-C50C-407E-A947-70E740481C1C}">
                          <a14:useLocalDpi xmlns:a14="http://schemas.microsoft.com/office/drawing/2010/main" val="0"/>
                        </a:ext>
                      </a:extLst>
                    </a:blip>
                    <a:srcRect l="9571" t="3963" r="3243" b="7389"/>
                    <a:stretch/>
                  </pic:blipFill>
                  <pic:spPr bwMode="auto">
                    <a:xfrm>
                      <a:off x="0" y="0"/>
                      <a:ext cx="8832950" cy="4433939"/>
                    </a:xfrm>
                    <a:prstGeom prst="rect">
                      <a:avLst/>
                    </a:prstGeom>
                    <a:ln>
                      <a:noFill/>
                    </a:ln>
                    <a:extLst>
                      <a:ext uri="{53640926-AAD7-44D8-BBD7-CCE9431645EC}">
                        <a14:shadowObscured xmlns:a14="http://schemas.microsoft.com/office/drawing/2010/main"/>
                      </a:ext>
                    </a:extLst>
                  </pic:spPr>
                </pic:pic>
              </a:graphicData>
            </a:graphic>
          </wp:inline>
        </w:drawing>
      </w:r>
    </w:p>
    <w:p w14:paraId="55912AB7" w14:textId="77777777" w:rsidR="00C653BD" w:rsidRDefault="00430620" w:rsidP="00430620">
      <w:pPr>
        <w:jc w:val="both"/>
        <w:rPr>
          <w:rFonts w:ascii="Arial" w:hAnsi="Arial" w:cs="Arial"/>
        </w:rPr>
        <w:sectPr w:rsidR="00C653BD" w:rsidSect="00430620">
          <w:pgSz w:w="16840" w:h="11900" w:orient="landscape"/>
          <w:pgMar w:top="1440" w:right="1440" w:bottom="1440" w:left="1440" w:header="708" w:footer="708" w:gutter="0"/>
          <w:cols w:space="708"/>
          <w:docGrid w:linePitch="360"/>
        </w:sectPr>
      </w:pPr>
      <w:r w:rsidRPr="001700E6">
        <w:rPr>
          <w:rFonts w:ascii="Times New Roman" w:hAnsi="Times New Roman" w:cs="Times New Roman"/>
          <w:b/>
          <w:bCs/>
        </w:rPr>
        <w:t>Figure S4</w:t>
      </w:r>
      <w:r w:rsidRPr="001700E6">
        <w:rPr>
          <w:rFonts w:ascii="Times New Roman" w:hAnsi="Times New Roman" w:cs="Times New Roman"/>
        </w:rPr>
        <w:t xml:space="preserve"> – Panel </w:t>
      </w:r>
      <w:r w:rsidRPr="001700E6">
        <w:rPr>
          <w:rFonts w:ascii="Times New Roman" w:hAnsi="Times New Roman" w:cs="Times New Roman"/>
          <w:b/>
          <w:bCs/>
        </w:rPr>
        <w:t>A–E:</w:t>
      </w:r>
      <w:r w:rsidRPr="001700E6">
        <w:rPr>
          <w:rFonts w:ascii="Times New Roman" w:hAnsi="Times New Roman" w:cs="Times New Roman"/>
        </w:rPr>
        <w:t xml:space="preserve"> Dynamic to static stiffness ratio as a function of pressure and loading frequency for the mouse carotids I–V, respectively, as predicted by the standard quasi-linear viscoelastic model. Panel </w:t>
      </w:r>
      <w:r w:rsidRPr="001700E6">
        <w:rPr>
          <w:rFonts w:ascii="Times New Roman" w:hAnsi="Times New Roman" w:cs="Times New Roman"/>
          <w:b/>
          <w:bCs/>
        </w:rPr>
        <w:t>F–J</w:t>
      </w:r>
      <w:r w:rsidRPr="001700E6">
        <w:rPr>
          <w:rFonts w:ascii="Times New Roman" w:hAnsi="Times New Roman" w:cs="Times New Roman"/>
        </w:rPr>
        <w:t xml:space="preserve">: Contribution of elastin to the wall viscoelastic behaviour for carotids I–V, respectively. Panel </w:t>
      </w:r>
      <w:r w:rsidRPr="001700E6">
        <w:rPr>
          <w:rFonts w:ascii="Times New Roman" w:hAnsi="Times New Roman" w:cs="Times New Roman"/>
          <w:b/>
          <w:bCs/>
        </w:rPr>
        <w:t>K–O</w:t>
      </w:r>
      <w:r w:rsidRPr="001700E6">
        <w:rPr>
          <w:rFonts w:ascii="Times New Roman" w:hAnsi="Times New Roman" w:cs="Times New Roman"/>
        </w:rPr>
        <w:t>: Contribution of collagen to the wall viscoelastic behaviour for carotids I–V, respectively</w:t>
      </w:r>
      <w:r w:rsidRPr="001700E6">
        <w:rPr>
          <w:rFonts w:ascii="Arial" w:hAnsi="Arial" w:cs="Arial"/>
        </w:rPr>
        <w:t>.</w:t>
      </w:r>
    </w:p>
    <w:p w14:paraId="7A61B14C" w14:textId="77EEBE02" w:rsidR="00430620" w:rsidRDefault="00C653BD" w:rsidP="00430620">
      <w:pPr>
        <w:jc w:val="both"/>
        <w:rPr>
          <w:rFonts w:ascii="Arial" w:hAnsi="Arial" w:cs="Arial"/>
          <w:sz w:val="20"/>
          <w:szCs w:val="20"/>
        </w:rPr>
      </w:pPr>
      <w:r>
        <w:rPr>
          <w:rFonts w:ascii="Arial" w:hAnsi="Arial" w:cs="Arial"/>
          <w:noProof/>
          <w:sz w:val="20"/>
          <w:szCs w:val="20"/>
        </w:rPr>
        <w:lastRenderedPageBreak/>
        <w:drawing>
          <wp:inline distT="0" distB="0" distL="0" distR="0" wp14:anchorId="3201B3D1" wp14:editId="7D9CC578">
            <wp:extent cx="5727700" cy="1963395"/>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963395"/>
                    </a:xfrm>
                    <a:prstGeom prst="rect">
                      <a:avLst/>
                    </a:prstGeom>
                  </pic:spPr>
                </pic:pic>
              </a:graphicData>
            </a:graphic>
          </wp:inline>
        </w:drawing>
      </w:r>
    </w:p>
    <w:p w14:paraId="1CFC3C9A" w14:textId="4492C05F" w:rsidR="00C653BD" w:rsidRDefault="00C653BD" w:rsidP="00430620">
      <w:pPr>
        <w:jc w:val="both"/>
        <w:rPr>
          <w:rFonts w:ascii="Times New Roman" w:hAnsi="Times New Roman" w:cs="Times New Roman"/>
        </w:rPr>
      </w:pPr>
      <w:r w:rsidRPr="00C653BD">
        <w:rPr>
          <w:rFonts w:ascii="Times New Roman" w:hAnsi="Times New Roman" w:cs="Times New Roman"/>
          <w:b/>
          <w:bCs/>
        </w:rPr>
        <w:t>Figure S5</w:t>
      </w:r>
      <w:r>
        <w:rPr>
          <w:rFonts w:ascii="Times New Roman" w:hAnsi="Times New Roman" w:cs="Times New Roman"/>
        </w:rPr>
        <w:t xml:space="preserve"> – Experimental dynamic-to-quasi-static stiffness ratio calculated after (Panel </w:t>
      </w:r>
      <w:r w:rsidRPr="008022FA">
        <w:rPr>
          <w:rFonts w:ascii="Times New Roman" w:hAnsi="Times New Roman" w:cs="Times New Roman"/>
          <w:b/>
          <w:bCs/>
        </w:rPr>
        <w:t>A</w:t>
      </w:r>
      <w:r>
        <w:rPr>
          <w:rFonts w:ascii="Times New Roman" w:hAnsi="Times New Roman" w:cs="Times New Roman"/>
        </w:rPr>
        <w:t xml:space="preserve">) and before (Panel </w:t>
      </w:r>
      <w:r w:rsidRPr="008022FA">
        <w:rPr>
          <w:rFonts w:ascii="Times New Roman" w:hAnsi="Times New Roman" w:cs="Times New Roman"/>
          <w:b/>
          <w:bCs/>
        </w:rPr>
        <w:t>B</w:t>
      </w:r>
      <w:r>
        <w:rPr>
          <w:rFonts w:ascii="Times New Roman" w:hAnsi="Times New Roman" w:cs="Times New Roman"/>
        </w:rPr>
        <w:t>) the pressure-diameter synchronisation adjustments described in Section 3.3.1. As visible, this ad-hoc signal alignment did not affect the pressure-dependency of the</w:t>
      </w:r>
      <w:r w:rsidRPr="00C653BD">
        <w:rPr>
          <w:rFonts w:ascii="Times New Roman" w:hAnsi="Times New Roman" w:cs="Times New Roman"/>
        </w:rPr>
        <w:t xml:space="preserve"> </w:t>
      </w:r>
      <w:r>
        <w:rPr>
          <w:rFonts w:ascii="Times New Roman" w:hAnsi="Times New Roman" w:cs="Times New Roman"/>
        </w:rPr>
        <w:t>dynamic-to-quasi-static stiffness ratio.</w:t>
      </w:r>
    </w:p>
    <w:p w14:paraId="4CEAE017" w14:textId="69A3BB8D" w:rsidR="001A33D1" w:rsidRDefault="001A33D1" w:rsidP="00430620">
      <w:pPr>
        <w:jc w:val="both"/>
        <w:rPr>
          <w:rFonts w:ascii="Times New Roman" w:hAnsi="Times New Roman" w:cs="Times New Roman"/>
        </w:rPr>
      </w:pPr>
    </w:p>
    <w:p w14:paraId="495F1153" w14:textId="5F2875B7" w:rsidR="001A33D1" w:rsidRDefault="001A33D1" w:rsidP="00430620">
      <w:pPr>
        <w:jc w:val="both"/>
        <w:rPr>
          <w:rFonts w:ascii="Times New Roman" w:hAnsi="Times New Roman" w:cs="Times New Roman"/>
        </w:rPr>
      </w:pPr>
    </w:p>
    <w:p w14:paraId="2E38E225" w14:textId="77777777" w:rsidR="001A33D1" w:rsidRDefault="001A33D1" w:rsidP="00430620">
      <w:pPr>
        <w:jc w:val="both"/>
        <w:rPr>
          <w:rFonts w:ascii="Times New Roman" w:hAnsi="Times New Roman" w:cs="Times New Roman"/>
        </w:rPr>
      </w:pPr>
    </w:p>
    <w:p w14:paraId="769EC15F" w14:textId="436D3F90" w:rsidR="0033153C" w:rsidRDefault="0033153C" w:rsidP="00430620">
      <w:pPr>
        <w:jc w:val="both"/>
        <w:rPr>
          <w:rFonts w:ascii="Times New Roman" w:hAnsi="Times New Roman" w:cs="Times New Roman"/>
        </w:rPr>
      </w:pPr>
    </w:p>
    <w:p w14:paraId="512C6070" w14:textId="2E7C7C75" w:rsidR="0033153C" w:rsidRDefault="0033153C" w:rsidP="00430620">
      <w:pPr>
        <w:jc w:val="both"/>
        <w:rPr>
          <w:rFonts w:ascii="Times New Roman" w:hAnsi="Times New Roman" w:cs="Times New Roman"/>
        </w:rPr>
      </w:pPr>
    </w:p>
    <w:p w14:paraId="78BF7130" w14:textId="636632B9" w:rsidR="0033153C" w:rsidRDefault="0033153C" w:rsidP="00430620">
      <w:pPr>
        <w:jc w:val="both"/>
        <w:rPr>
          <w:rFonts w:ascii="Times New Roman" w:hAnsi="Times New Roman" w:cs="Times New Roman"/>
        </w:rPr>
      </w:pPr>
    </w:p>
    <w:p w14:paraId="62B4DFD0" w14:textId="315167FC" w:rsidR="0033153C" w:rsidRDefault="00E732C1" w:rsidP="00430620">
      <w:pPr>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5E832184" wp14:editId="3123D6B8">
                <wp:simplePos x="0" y="0"/>
                <wp:positionH relativeFrom="column">
                  <wp:posOffset>2485896</wp:posOffset>
                </wp:positionH>
                <wp:positionV relativeFrom="paragraph">
                  <wp:posOffset>1104900</wp:posOffset>
                </wp:positionV>
                <wp:extent cx="534691" cy="371960"/>
                <wp:effectExtent l="0" t="0" r="0" b="0"/>
                <wp:wrapNone/>
                <wp:docPr id="9" name="Text Box 9"/>
                <wp:cNvGraphicFramePr/>
                <a:graphic xmlns:a="http://schemas.openxmlformats.org/drawingml/2006/main">
                  <a:graphicData uri="http://schemas.microsoft.com/office/word/2010/wordprocessingShape">
                    <wps:wsp>
                      <wps:cNvSpPr txBox="1"/>
                      <wps:spPr>
                        <a:xfrm>
                          <a:off x="0" y="0"/>
                          <a:ext cx="534691" cy="371960"/>
                        </a:xfrm>
                        <a:prstGeom prst="rect">
                          <a:avLst/>
                        </a:prstGeom>
                        <a:noFill/>
                        <a:ln w="6350">
                          <a:noFill/>
                        </a:ln>
                      </wps:spPr>
                      <wps:txbx>
                        <w:txbxContent>
                          <w:p w14:paraId="06FA0272" w14:textId="1E2B4C24" w:rsidR="00E732C1" w:rsidRPr="00E732C1" w:rsidRDefault="00E732C1">
                            <w:pPr>
                              <w:rPr>
                                <w:rFonts w:ascii="Arial" w:hAnsi="Arial" w:cs="Arial"/>
                                <w:b/>
                                <w:bCs/>
                                <w:sz w:val="21"/>
                                <w:szCs w:val="21"/>
                                <w:lang w:val="it-IT"/>
                              </w:rPr>
                            </w:pPr>
                            <w:r w:rsidRPr="00E732C1">
                              <w:rPr>
                                <w:rFonts w:ascii="Arial" w:hAnsi="Arial" w:cs="Arial"/>
                                <w:b/>
                                <w:bCs/>
                                <w:sz w:val="21"/>
                                <w:szCs w:val="21"/>
                                <w:lang w:val="it-IT"/>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832184" id="_x0000_t202" coordsize="21600,21600" o:spt="202" path="m,l,21600r21600,l21600,xe">
                <v:stroke joinstyle="miter"/>
                <v:path gradientshapeok="t" o:connecttype="rect"/>
              </v:shapetype>
              <v:shape id="Text Box 9" o:spid="_x0000_s1026" type="#_x0000_t202" style="position:absolute;left:0;text-align:left;margin-left:195.75pt;margin-top:87pt;width:42.1pt;height:29.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" filled="f" stroked="f" strokeweight=".5pt">
                <v:textbox>
                  <w:txbxContent>
                    <w:p w14:paraId="06FA0272" w14:textId="1E2B4C24" w:rsidR="00E732C1" w:rsidRPr="00E732C1" w:rsidRDefault="00E732C1">
                      <w:pPr>
                        <w:rPr>
                          <w:rFonts w:ascii="Arial" w:hAnsi="Arial" w:cs="Arial"/>
                          <w:b/>
                          <w:bCs/>
                          <w:sz w:val="21"/>
                          <w:szCs w:val="21"/>
                          <w:lang w:val="it-IT"/>
                        </w:rPr>
                      </w:pPr>
                      <w:r w:rsidRPr="00E732C1">
                        <w:rPr>
                          <w:rFonts w:ascii="Arial" w:hAnsi="Arial" w:cs="Arial"/>
                          <w:b/>
                          <w:bCs/>
                          <w:sz w:val="21"/>
                          <w:szCs w:val="21"/>
                          <w:lang w:val="it-IT"/>
                        </w:rPr>
                        <w:t>A</w:t>
                      </w:r>
                    </w:p>
                  </w:txbxContent>
                </v:textbox>
              </v:shape>
            </w:pict>
          </mc:Fallback>
        </mc:AlternateContent>
      </w:r>
      <w:r>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14943DFD" wp14:editId="19AE9A24">
                <wp:simplePos x="0" y="0"/>
                <wp:positionH relativeFrom="column">
                  <wp:posOffset>5343805</wp:posOffset>
                </wp:positionH>
                <wp:positionV relativeFrom="paragraph">
                  <wp:posOffset>1102435</wp:posOffset>
                </wp:positionV>
                <wp:extent cx="534691" cy="37196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534691" cy="371960"/>
                        </a:xfrm>
                        <a:prstGeom prst="rect">
                          <a:avLst/>
                        </a:prstGeom>
                        <a:noFill/>
                        <a:ln w="6350">
                          <a:noFill/>
                        </a:ln>
                      </wps:spPr>
                      <wps:txbx>
                        <w:txbxContent>
                          <w:p w14:paraId="65F9F145" w14:textId="5097FA5C" w:rsidR="00E732C1" w:rsidRPr="00E732C1" w:rsidRDefault="00E732C1" w:rsidP="00E732C1">
                            <w:pPr>
                              <w:rPr>
                                <w:rFonts w:ascii="Arial" w:hAnsi="Arial" w:cs="Arial"/>
                                <w:b/>
                                <w:bCs/>
                                <w:sz w:val="21"/>
                                <w:szCs w:val="21"/>
                                <w:lang w:val="it-IT"/>
                              </w:rPr>
                            </w:pPr>
                            <w:r>
                              <w:rPr>
                                <w:rFonts w:ascii="Arial" w:hAnsi="Arial" w:cs="Arial"/>
                                <w:b/>
                                <w:bCs/>
                                <w:sz w:val="21"/>
                                <w:szCs w:val="21"/>
                                <w:lang w:val="it-IT"/>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943DFD" id="Text Box 10" o:spid="_x0000_s1027" type="#_x0000_t202" style="position:absolute;left:0;text-align:left;margin-left:420.75pt;margin-top:86.8pt;width:42.1pt;height:29.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" filled="f" stroked="f" strokeweight=".5pt">
                <v:textbox>
                  <w:txbxContent>
                    <w:p w14:paraId="65F9F145" w14:textId="5097FA5C" w:rsidR="00E732C1" w:rsidRPr="00E732C1" w:rsidRDefault="00E732C1" w:rsidP="00E732C1">
                      <w:pPr>
                        <w:rPr>
                          <w:rFonts w:ascii="Arial" w:hAnsi="Arial" w:cs="Arial"/>
                          <w:b/>
                          <w:bCs/>
                          <w:sz w:val="21"/>
                          <w:szCs w:val="21"/>
                          <w:lang w:val="it-IT"/>
                        </w:rPr>
                      </w:pPr>
                      <w:r>
                        <w:rPr>
                          <w:rFonts w:ascii="Arial" w:hAnsi="Arial" w:cs="Arial"/>
                          <w:b/>
                          <w:bCs/>
                          <w:sz w:val="21"/>
                          <w:szCs w:val="21"/>
                          <w:lang w:val="it-IT"/>
                        </w:rPr>
                        <w:t>B</w:t>
                      </w:r>
                    </w:p>
                  </w:txbxContent>
                </v:textbox>
              </v:shape>
            </w:pict>
          </mc:Fallback>
        </mc:AlternateContent>
      </w:r>
      <w:r w:rsidR="0033153C">
        <w:rPr>
          <w:rFonts w:ascii="Times New Roman" w:hAnsi="Times New Roman" w:cs="Times New Roman"/>
          <w:noProof/>
        </w:rPr>
        <w:drawing>
          <wp:inline distT="0" distB="0" distL="0" distR="0" wp14:anchorId="0CF22ABB" wp14:editId="1C5B4294">
            <wp:extent cx="5766841" cy="3168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9">
                      <a:extLst>
                        <a:ext uri="{28A0092B-C50C-407E-A947-70E740481C1C}">
                          <a14:useLocalDpi xmlns:a14="http://schemas.microsoft.com/office/drawing/2010/main" val="0"/>
                        </a:ext>
                      </a:extLst>
                    </a:blip>
                    <a:srcRect l="995" r="19049"/>
                    <a:stretch/>
                  </pic:blipFill>
                  <pic:spPr bwMode="auto">
                    <a:xfrm>
                      <a:off x="0" y="0"/>
                      <a:ext cx="5766841" cy="3168000"/>
                    </a:xfrm>
                    <a:prstGeom prst="rect">
                      <a:avLst/>
                    </a:prstGeom>
                    <a:ln>
                      <a:noFill/>
                    </a:ln>
                    <a:extLst>
                      <a:ext uri="{53640926-AAD7-44D8-BBD7-CCE9431645EC}">
                        <a14:shadowObscured xmlns:a14="http://schemas.microsoft.com/office/drawing/2010/main"/>
                      </a:ext>
                    </a:extLst>
                  </pic:spPr>
                </pic:pic>
              </a:graphicData>
            </a:graphic>
          </wp:inline>
        </w:drawing>
      </w:r>
    </w:p>
    <w:p w14:paraId="15849706" w14:textId="68F490A8" w:rsidR="00150A26" w:rsidRPr="00C653BD" w:rsidRDefault="00150A26" w:rsidP="00430620">
      <w:pPr>
        <w:jc w:val="both"/>
        <w:rPr>
          <w:rFonts w:ascii="Times New Roman" w:hAnsi="Times New Roman" w:cs="Times New Roman"/>
        </w:rPr>
      </w:pPr>
      <w:r w:rsidRPr="00150A26">
        <w:rPr>
          <w:rFonts w:ascii="Times New Roman" w:hAnsi="Times New Roman" w:cs="Times New Roman"/>
          <w:b/>
          <w:bCs/>
        </w:rPr>
        <w:t>Figure S6</w:t>
      </w:r>
      <w:r>
        <w:rPr>
          <w:rFonts w:ascii="Times New Roman" w:hAnsi="Times New Roman" w:cs="Times New Roman"/>
        </w:rPr>
        <w:t xml:space="preserve"> – Three-dimensional graph illustrating the deformation space explored through the quasi-static experimental protocol used in this study.</w:t>
      </w:r>
      <w:r w:rsidR="00E732C1">
        <w:rPr>
          <w:rFonts w:ascii="Times New Roman" w:hAnsi="Times New Roman" w:cs="Times New Roman"/>
        </w:rPr>
        <w:t xml:space="preserve"> Panel A shows the intraluminal pressure plotted as a function of the vessel axial length and outer diameter for the eight quasi-static experimental steps included in our protocol.</w:t>
      </w:r>
      <w:r>
        <w:rPr>
          <w:rFonts w:ascii="Times New Roman" w:hAnsi="Times New Roman" w:cs="Times New Roman"/>
        </w:rPr>
        <w:t xml:space="preserve"> </w:t>
      </w:r>
      <w:r w:rsidR="00E732C1">
        <w:rPr>
          <w:rFonts w:ascii="Times New Roman" w:hAnsi="Times New Roman" w:cs="Times New Roman"/>
        </w:rPr>
        <w:t xml:space="preserve">Panel B shows the axial force plotted as a function of the vessel axial length and outer diameter for the same experimental steps. </w:t>
      </w:r>
      <w:r>
        <w:rPr>
          <w:rFonts w:ascii="Times New Roman" w:hAnsi="Times New Roman" w:cs="Times New Roman"/>
        </w:rPr>
        <w:t>The proposed protocol provides a thorough characterisation of the artery mechanical behaviour in pseudo-physiological loading conditions. This enhances the physiological relevance of the proposed constituent-based quasi-linear viscoelastic model.</w:t>
      </w:r>
    </w:p>
    <w:sectPr w:rsidR="00150A26" w:rsidRPr="00C653BD" w:rsidSect="00C653BD">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B77"/>
    <w:rsid w:val="00150A26"/>
    <w:rsid w:val="001700E6"/>
    <w:rsid w:val="001A33D1"/>
    <w:rsid w:val="0029256F"/>
    <w:rsid w:val="002F3701"/>
    <w:rsid w:val="0033153C"/>
    <w:rsid w:val="00430620"/>
    <w:rsid w:val="00535B77"/>
    <w:rsid w:val="005E7A25"/>
    <w:rsid w:val="006B2C8A"/>
    <w:rsid w:val="00723938"/>
    <w:rsid w:val="00743B9E"/>
    <w:rsid w:val="007C044D"/>
    <w:rsid w:val="008022FA"/>
    <w:rsid w:val="009A6E64"/>
    <w:rsid w:val="009E7F11"/>
    <w:rsid w:val="00B5349C"/>
    <w:rsid w:val="00C653BD"/>
    <w:rsid w:val="00CC20EF"/>
    <w:rsid w:val="00D4376B"/>
    <w:rsid w:val="00E732C1"/>
    <w:rsid w:val="00FC75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65454"/>
  <w15:chartTrackingRefBased/>
  <w15:docId w15:val="{8C6D7BAF-9365-8B42-B116-B97989DA4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5B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35B7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148</TotalTime>
  <Pages>5</Pages>
  <Words>554</Words>
  <Characters>3161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Alessandro Giudici (Doctoral Researcher)</dc:creator>
  <cp:keywords/>
  <dc:description/>
  <cp:lastModifiedBy>Alessandro Giudici (Doctoral Researcher)</cp:lastModifiedBy>
  <cp:revision>13</cp:revision>
  <dcterms:created xsi:type="dcterms:W3CDTF">2022-07-11T09:00:00Z</dcterms:created>
  <dcterms:modified xsi:type="dcterms:W3CDTF">2022-11-25T07:58:00Z</dcterms:modified>
</cp:coreProperties>
</file>